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85C7B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8"/>
          <w:szCs w:val="28"/>
          <w14:textFill>
            <w14:solidFill>
              <w14:schemeClr w14:val="tx1"/>
            </w14:solidFill>
          </w14:textFill>
        </w:rPr>
      </w:pPr>
    </w:p>
    <w:p w14:paraId="53271A5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8"/>
          <w:szCs w:val="28"/>
          <w14:textFill>
            <w14:solidFill>
              <w14:schemeClr w14:val="tx1"/>
            </w14:solidFill>
          </w14:textFill>
        </w:rPr>
      </w:pPr>
    </w:p>
    <w:p w14:paraId="106E7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0"/>
        <w:rPr>
          <w:rFonts w:eastAsia="方正小标宋_GBK"/>
          <w:bCs/>
          <w:color w:val="000000" w:themeColor="text1"/>
          <w:kern w:val="21"/>
          <w:sz w:val="72"/>
          <w:szCs w:val="72"/>
          <w14:textFill>
            <w14:solidFill>
              <w14:schemeClr w14:val="tx1"/>
            </w14:solidFill>
          </w14:textFill>
        </w:rPr>
      </w:pPr>
      <w:bookmarkStart w:id="0" w:name="_Toc31467"/>
      <w:bookmarkStart w:id="1" w:name="_Toc22077"/>
      <w:bookmarkStart w:id="2" w:name="_Toc27050"/>
      <w:bookmarkStart w:id="3" w:name="_Toc17948"/>
      <w:bookmarkStart w:id="4" w:name="_Toc6374"/>
      <w:r>
        <w:rPr>
          <w:rFonts w:eastAsia="方正小标宋_GBK"/>
          <w:bCs/>
          <w:color w:val="000000" w:themeColor="text1"/>
          <w:kern w:val="21"/>
          <w:sz w:val="72"/>
          <w:szCs w:val="72"/>
          <w14:textFill>
            <w14:solidFill>
              <w14:schemeClr w14:val="tx1"/>
            </w14:solidFill>
          </w14:textFill>
        </w:rPr>
        <w:t>建设项目环境影响报告表</w:t>
      </w:r>
      <w:bookmarkEnd w:id="0"/>
      <w:bookmarkEnd w:id="1"/>
      <w:bookmarkEnd w:id="2"/>
      <w:bookmarkEnd w:id="3"/>
      <w:bookmarkEnd w:id="4"/>
    </w:p>
    <w:p w14:paraId="7A4357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楷体_GB2312"/>
          <w:bCs/>
          <w:color w:val="000000" w:themeColor="text1"/>
          <w:sz w:val="48"/>
          <w:szCs w:val="48"/>
          <w14:textFill>
            <w14:solidFill>
              <w14:schemeClr w14:val="tx1"/>
            </w14:solidFill>
          </w14:textFill>
        </w:rPr>
      </w:pPr>
      <w:r>
        <w:rPr>
          <w:rFonts w:eastAsia="楷体_GB2312"/>
          <w:bCs/>
          <w:color w:val="000000" w:themeColor="text1"/>
          <w:sz w:val="48"/>
          <w:szCs w:val="48"/>
          <w14:textFill>
            <w14:solidFill>
              <w14:schemeClr w14:val="tx1"/>
            </w14:solidFill>
          </w14:textFill>
        </w:rPr>
        <w:t>（污染影响类）</w:t>
      </w:r>
    </w:p>
    <w:p w14:paraId="1E92C5D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b/>
          <w:bCs/>
          <w:color w:val="000000" w:themeColor="text1"/>
          <w:sz w:val="32"/>
          <w14:textFill>
            <w14:solidFill>
              <w14:schemeClr w14:val="tx1"/>
            </w14:solidFill>
          </w14:textFill>
        </w:rPr>
      </w:pPr>
    </w:p>
    <w:p w14:paraId="5BA1F99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b/>
          <w:bCs/>
          <w:color w:val="000000" w:themeColor="text1"/>
          <w:sz w:val="32"/>
          <w14:textFill>
            <w14:solidFill>
              <w14:schemeClr w14:val="tx1"/>
            </w14:solidFill>
          </w14:textFill>
        </w:rPr>
      </w:pPr>
    </w:p>
    <w:p w14:paraId="26241DA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b/>
          <w:bCs/>
          <w:color w:val="000000" w:themeColor="text1"/>
          <w:sz w:val="32"/>
          <w14:textFill>
            <w14:solidFill>
              <w14:schemeClr w14:val="tx1"/>
            </w14:solidFill>
          </w14:textFill>
        </w:rPr>
      </w:pPr>
    </w:p>
    <w:p w14:paraId="16D7E83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b/>
          <w:bCs/>
          <w:color w:val="000000" w:themeColor="text1"/>
          <w:sz w:val="32"/>
          <w14:textFill>
            <w14:solidFill>
              <w14:schemeClr w14:val="tx1"/>
            </w14:solidFill>
          </w14:textFill>
        </w:rPr>
      </w:pPr>
    </w:p>
    <w:p w14:paraId="4AAFDEE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b/>
          <w:bCs/>
          <w:color w:val="000000" w:themeColor="text1"/>
          <w:sz w:val="32"/>
          <w14:textFill>
            <w14:solidFill>
              <w14:schemeClr w14:val="tx1"/>
            </w14:solidFill>
          </w14:textFill>
        </w:rPr>
      </w:pPr>
    </w:p>
    <w:p w14:paraId="077C39F6">
      <w:pPr>
        <w:pStyle w:val="17"/>
        <w:keepNext w:val="0"/>
        <w:keepLines w:val="0"/>
        <w:pageBreakBefore w:val="0"/>
        <w:widowControl w:val="0"/>
        <w:kinsoku/>
        <w:wordWrap/>
        <w:overflowPunct/>
        <w:topLinePunct w:val="0"/>
        <w:autoSpaceDE/>
        <w:autoSpaceDN/>
        <w:bidi w:val="0"/>
        <w:adjustRightInd/>
        <w:snapToGrid/>
        <w:spacing w:after="0" w:afterLines="0"/>
        <w:ind w:left="0" w:leftChars="0" w:firstLine="0" w:firstLineChars="0"/>
        <w:jc w:val="center"/>
        <w:textAlignment w:val="auto"/>
        <w:rPr>
          <w:rFonts w:hint="eastAsia" w:eastAsia="宋体"/>
          <w:b w:val="0"/>
          <w:bCs w:val="0"/>
          <w:color w:val="000000" w:themeColor="text1"/>
          <w:u w:val="single"/>
          <w:lang w:val="en-US" w:eastAsia="zh-CN"/>
          <w14:textFill>
            <w14:solidFill>
              <w14:schemeClr w14:val="tx1"/>
            </w14:solidFill>
          </w14:textFill>
        </w:rPr>
      </w:pPr>
    </w:p>
    <w:p w14:paraId="168CFE86">
      <w:pPr>
        <w:spacing w:line="360" w:lineRule="auto"/>
        <w:ind w:left="1807" w:hanging="1807" w:hangingChars="500"/>
        <w:jc w:val="left"/>
        <w:rPr>
          <w:rFonts w:hint="eastAsia" w:eastAsia="仿宋"/>
          <w:b/>
          <w:color w:val="000000" w:themeColor="text1"/>
          <w:sz w:val="36"/>
          <w:szCs w:val="36"/>
          <w:lang w:val="en-US" w:eastAsia="zh-CN"/>
          <w14:textFill>
            <w14:solidFill>
              <w14:schemeClr w14:val="tx1"/>
            </w14:solidFill>
          </w14:textFill>
        </w:rPr>
      </w:pPr>
      <w:r>
        <w:rPr>
          <w:rFonts w:eastAsia="仿宋"/>
          <w:b/>
          <w:bCs/>
          <w:color w:val="000000" w:themeColor="text1"/>
          <w:sz w:val="36"/>
          <w:szCs w:val="36"/>
          <w14:textFill>
            <w14:solidFill>
              <w14:schemeClr w14:val="tx1"/>
            </w14:solidFill>
          </w14:textFill>
        </w:rPr>
        <w:t>项目名称</w:t>
      </w:r>
      <w:r>
        <w:rPr>
          <w:rFonts w:hint="eastAsia" w:eastAsia="仿宋"/>
          <w:b/>
          <w:bCs/>
          <w:color w:val="000000" w:themeColor="text1"/>
          <w:sz w:val="36"/>
          <w:szCs w:val="36"/>
          <w14:textFill>
            <w14:solidFill>
              <w14:schemeClr w14:val="tx1"/>
            </w14:solidFill>
          </w14:textFill>
        </w:rPr>
        <w:t>：</w:t>
      </w:r>
      <w:r>
        <w:rPr>
          <w:rFonts w:hint="eastAsia" w:eastAsia="仿宋"/>
          <w:b/>
          <w:bCs/>
          <w:color w:val="000000" w:themeColor="text1"/>
          <w:sz w:val="36"/>
          <w:szCs w:val="36"/>
          <w:u w:val="single"/>
          <w:lang w:val="en-US" w:eastAsia="zh-CN"/>
          <w14:textFill>
            <w14:solidFill>
              <w14:schemeClr w14:val="tx1"/>
            </w14:solidFill>
          </w14:textFill>
        </w:rPr>
        <w:t>南阳恒卓机械制造有限公司机械制造设备生产项目</w:t>
      </w:r>
    </w:p>
    <w:p w14:paraId="4C9AE648">
      <w:pPr>
        <w:spacing w:line="360" w:lineRule="auto"/>
        <w:ind w:left="3050" w:hanging="3050" w:hangingChars="844"/>
        <w:rPr>
          <w:rFonts w:eastAsia="仿宋"/>
          <w:bCs/>
          <w:color w:val="000000" w:themeColor="text1"/>
          <w:sz w:val="36"/>
          <w:szCs w:val="36"/>
          <w:u w:val="single"/>
          <w14:textFill>
            <w14:solidFill>
              <w14:schemeClr w14:val="tx1"/>
            </w14:solidFill>
          </w14:textFill>
        </w:rPr>
      </w:pPr>
      <w:r>
        <w:rPr>
          <w:rFonts w:eastAsia="仿宋"/>
          <w:b/>
          <w:bCs/>
          <w:color w:val="000000" w:themeColor="text1"/>
          <w:sz w:val="36"/>
          <w:szCs w:val="36"/>
          <w14:textFill>
            <w14:solidFill>
              <w14:schemeClr w14:val="tx1"/>
            </w14:solidFill>
          </w14:textFill>
        </w:rPr>
        <w:t>建设单位（盖章）：</w:t>
      </w:r>
      <w:r>
        <w:rPr>
          <w:rFonts w:eastAsia="仿宋"/>
          <w:b/>
          <w:color w:val="000000" w:themeColor="text1"/>
          <w:sz w:val="36"/>
          <w:szCs w:val="36"/>
          <w:u w:val="single"/>
          <w14:textFill>
            <w14:solidFill>
              <w14:schemeClr w14:val="tx1"/>
            </w14:solidFill>
          </w14:textFill>
        </w:rPr>
        <w:t xml:space="preserve"> </w:t>
      </w:r>
      <w:r>
        <w:rPr>
          <w:rFonts w:hint="eastAsia" w:eastAsia="仿宋"/>
          <w:b/>
          <w:color w:val="000000" w:themeColor="text1"/>
          <w:sz w:val="36"/>
          <w:szCs w:val="36"/>
          <w:u w:val="single"/>
          <w14:textFill>
            <w14:solidFill>
              <w14:schemeClr w14:val="tx1"/>
            </w14:solidFill>
          </w14:textFill>
        </w:rPr>
        <w:t xml:space="preserve"> </w:t>
      </w:r>
      <w:r>
        <w:rPr>
          <w:rFonts w:hint="eastAsia" w:eastAsia="仿宋"/>
          <w:b/>
          <w:color w:val="000000" w:themeColor="text1"/>
          <w:sz w:val="36"/>
          <w:szCs w:val="36"/>
          <w:u w:val="single"/>
          <w:lang w:val="en-US" w:eastAsia="zh-CN"/>
          <w14:textFill>
            <w14:solidFill>
              <w14:schemeClr w14:val="tx1"/>
            </w14:solidFill>
          </w14:textFill>
        </w:rPr>
        <w:t xml:space="preserve">     南阳恒卓机械</w:t>
      </w:r>
      <w:r>
        <w:rPr>
          <w:rFonts w:hint="eastAsia" w:ascii="Times New Roman" w:hAnsi="Times New Roman" w:eastAsia="仿宋" w:cs="Times New Roman"/>
          <w:b/>
          <w:color w:val="000000" w:themeColor="text1"/>
          <w:sz w:val="36"/>
          <w:szCs w:val="36"/>
          <w:u w:val="single"/>
          <w:lang w:val="en-US" w:eastAsia="zh-CN"/>
          <w14:textFill>
            <w14:solidFill>
              <w14:schemeClr w14:val="tx1"/>
            </w14:solidFill>
          </w14:textFill>
        </w:rPr>
        <w:t>制造</w:t>
      </w:r>
      <w:r>
        <w:rPr>
          <w:rFonts w:hint="eastAsia" w:eastAsia="仿宋"/>
          <w:b/>
          <w:color w:val="000000" w:themeColor="text1"/>
          <w:sz w:val="36"/>
          <w:szCs w:val="36"/>
          <w:u w:val="single"/>
          <w:lang w:val="en-US" w:eastAsia="zh-CN"/>
          <w14:textFill>
            <w14:solidFill>
              <w14:schemeClr w14:val="tx1"/>
            </w14:solidFill>
          </w14:textFill>
        </w:rPr>
        <w:t xml:space="preserve">有限公司     </w:t>
      </w:r>
    </w:p>
    <w:p w14:paraId="12B638EE">
      <w:pPr>
        <w:spacing w:line="360" w:lineRule="auto"/>
        <w:ind w:left="3050" w:hanging="3050" w:hangingChars="844"/>
        <w:rPr>
          <w:rFonts w:eastAsia="仿宋"/>
          <w:b/>
          <w:color w:val="000000" w:themeColor="text1"/>
          <w:sz w:val="36"/>
          <w:szCs w:val="36"/>
          <w14:textFill>
            <w14:solidFill>
              <w14:schemeClr w14:val="tx1"/>
            </w14:solidFill>
          </w14:textFill>
        </w:rPr>
      </w:pPr>
      <w:r>
        <w:rPr>
          <w:rFonts w:eastAsia="仿宋"/>
          <w:b/>
          <w:bCs/>
          <w:color w:val="000000" w:themeColor="text1"/>
          <w:sz w:val="36"/>
          <w:szCs w:val="36"/>
          <w14:textFill>
            <w14:solidFill>
              <w14:schemeClr w14:val="tx1"/>
            </w14:solidFill>
          </w14:textFill>
        </w:rPr>
        <w:t>编制日期：</w:t>
      </w:r>
      <w:r>
        <w:rPr>
          <w:rFonts w:eastAsia="仿宋"/>
          <w:b/>
          <w:color w:val="000000" w:themeColor="text1"/>
          <w:sz w:val="36"/>
          <w:szCs w:val="36"/>
          <w:u w:val="single"/>
          <w14:textFill>
            <w14:solidFill>
              <w14:schemeClr w14:val="tx1"/>
            </w14:solidFill>
          </w14:textFill>
        </w:rPr>
        <w:t xml:space="preserve">            </w:t>
      </w:r>
      <w:r>
        <w:rPr>
          <w:rFonts w:hint="eastAsia" w:eastAsia="仿宋"/>
          <w:b/>
          <w:color w:val="000000" w:themeColor="text1"/>
          <w:sz w:val="36"/>
          <w:szCs w:val="36"/>
          <w:u w:val="single"/>
          <w14:textFill>
            <w14:solidFill>
              <w14:schemeClr w14:val="tx1"/>
            </w14:solidFill>
          </w14:textFill>
        </w:rPr>
        <w:t xml:space="preserve">  二</w:t>
      </w:r>
      <w:r>
        <w:rPr>
          <w:rFonts w:hint="eastAsia" w:eastAsia="仿宋"/>
          <w:b/>
          <w:color w:val="000000" w:themeColor="text1"/>
          <w:sz w:val="36"/>
          <w:szCs w:val="36"/>
          <w:u w:val="single"/>
          <w:lang w:val="en-US" w:eastAsia="zh-CN"/>
          <w14:textFill>
            <w14:solidFill>
              <w14:schemeClr w14:val="tx1"/>
            </w14:solidFill>
          </w14:textFill>
        </w:rPr>
        <w:t>〇</w:t>
      </w:r>
      <w:r>
        <w:rPr>
          <w:rFonts w:hint="eastAsia" w:eastAsia="仿宋"/>
          <w:b/>
          <w:color w:val="000000" w:themeColor="text1"/>
          <w:sz w:val="36"/>
          <w:szCs w:val="36"/>
          <w:u w:val="single"/>
          <w14:textFill>
            <w14:solidFill>
              <w14:schemeClr w14:val="tx1"/>
            </w14:solidFill>
          </w14:textFill>
        </w:rPr>
        <w:t>二</w:t>
      </w:r>
      <w:r>
        <w:rPr>
          <w:rFonts w:hint="eastAsia" w:eastAsia="仿宋"/>
          <w:b/>
          <w:color w:val="000000" w:themeColor="text1"/>
          <w:sz w:val="36"/>
          <w:szCs w:val="36"/>
          <w:u w:val="single"/>
          <w:lang w:val="en-US" w:eastAsia="zh-CN"/>
          <w14:textFill>
            <w14:solidFill>
              <w14:schemeClr w14:val="tx1"/>
            </w14:solidFill>
          </w14:textFill>
        </w:rPr>
        <w:t>六</w:t>
      </w:r>
      <w:r>
        <w:rPr>
          <w:rFonts w:eastAsia="仿宋"/>
          <w:b/>
          <w:color w:val="000000" w:themeColor="text1"/>
          <w:sz w:val="36"/>
          <w:szCs w:val="36"/>
          <w:u w:val="single"/>
          <w14:textFill>
            <w14:solidFill>
              <w14:schemeClr w14:val="tx1"/>
            </w14:solidFill>
          </w14:textFill>
        </w:rPr>
        <w:t>年</w:t>
      </w:r>
      <w:r>
        <w:rPr>
          <w:rFonts w:hint="eastAsia" w:eastAsia="仿宋"/>
          <w:b/>
          <w:color w:val="000000" w:themeColor="text1"/>
          <w:sz w:val="36"/>
          <w:szCs w:val="36"/>
          <w:u w:val="single"/>
          <w:lang w:val="en-US" w:eastAsia="zh-CN"/>
          <w14:textFill>
            <w14:solidFill>
              <w14:schemeClr w14:val="tx1"/>
            </w14:solidFill>
          </w14:textFill>
        </w:rPr>
        <w:t>二</w:t>
      </w:r>
      <w:r>
        <w:rPr>
          <w:rFonts w:eastAsia="仿宋"/>
          <w:b/>
          <w:color w:val="000000" w:themeColor="text1"/>
          <w:sz w:val="36"/>
          <w:szCs w:val="36"/>
          <w:u w:val="single"/>
          <w14:textFill>
            <w14:solidFill>
              <w14:schemeClr w14:val="tx1"/>
            </w14:solidFill>
          </w14:textFill>
        </w:rPr>
        <w:t>月</w:t>
      </w:r>
      <w:r>
        <w:rPr>
          <w:rFonts w:hint="eastAsia" w:eastAsia="仿宋"/>
          <w:b/>
          <w:color w:val="000000" w:themeColor="text1"/>
          <w:sz w:val="36"/>
          <w:szCs w:val="36"/>
          <w:u w:val="single"/>
          <w:lang w:val="en-US" w:eastAsia="zh-CN"/>
          <w14:textFill>
            <w14:solidFill>
              <w14:schemeClr w14:val="tx1"/>
            </w14:solidFill>
          </w14:textFill>
        </w:rPr>
        <w:t xml:space="preserve">    </w:t>
      </w:r>
      <w:r>
        <w:rPr>
          <w:rFonts w:hint="eastAsia" w:eastAsia="仿宋"/>
          <w:b/>
          <w:color w:val="000000" w:themeColor="text1"/>
          <w:sz w:val="36"/>
          <w:szCs w:val="36"/>
          <w:u w:val="single"/>
          <w14:textFill>
            <w14:solidFill>
              <w14:schemeClr w14:val="tx1"/>
            </w14:solidFill>
          </w14:textFill>
        </w:rPr>
        <w:t xml:space="preserve">    </w:t>
      </w:r>
      <w:r>
        <w:rPr>
          <w:rFonts w:eastAsia="仿宋"/>
          <w:b/>
          <w:color w:val="000000" w:themeColor="text1"/>
          <w:sz w:val="36"/>
          <w:szCs w:val="36"/>
          <w:u w:val="single"/>
          <w14:textFill>
            <w14:solidFill>
              <w14:schemeClr w14:val="tx1"/>
            </w14:solidFill>
          </w14:textFill>
        </w:rPr>
        <w:t xml:space="preserve">        </w:t>
      </w:r>
    </w:p>
    <w:p w14:paraId="7F4786D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Cs/>
          <w:color w:val="000000" w:themeColor="text1"/>
          <w:sz w:val="32"/>
          <w14:textFill>
            <w14:solidFill>
              <w14:schemeClr w14:val="tx1"/>
            </w14:solidFill>
          </w14:textFill>
        </w:rPr>
      </w:pPr>
    </w:p>
    <w:p w14:paraId="11AE6C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sz w:val="32"/>
          <w14:textFill>
            <w14:solidFill>
              <w14:schemeClr w14:val="tx1"/>
            </w14:solidFill>
          </w14:textFill>
        </w:rPr>
      </w:pPr>
    </w:p>
    <w:p w14:paraId="1D1A8D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sz w:val="32"/>
          <w14:textFill>
            <w14:solidFill>
              <w14:schemeClr w14:val="tx1"/>
            </w14:solidFill>
          </w14:textFill>
        </w:rPr>
      </w:pPr>
    </w:p>
    <w:p w14:paraId="15F3A3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bCs/>
          <w:color w:val="000000" w:themeColor="text1"/>
          <w:sz w:val="32"/>
          <w14:textFill>
            <w14:solidFill>
              <w14:schemeClr w14:val="tx1"/>
            </w14:solidFill>
          </w14:textFill>
        </w:rPr>
      </w:pPr>
    </w:p>
    <w:p w14:paraId="5DB4E9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eastAsia="楷体_GB2312"/>
          <w:color w:val="000000" w:themeColor="text1"/>
          <w:sz w:val="36"/>
          <w:szCs w:val="36"/>
          <w14:textFill>
            <w14:solidFill>
              <w14:schemeClr w14:val="tx1"/>
            </w14:solidFill>
          </w14:textFill>
        </w:rPr>
      </w:pPr>
    </w:p>
    <w:p w14:paraId="7538C8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eastAsia="楷体_GB2312"/>
          <w:color w:val="000000" w:themeColor="text1"/>
          <w:sz w:val="36"/>
          <w:szCs w:val="36"/>
          <w14:textFill>
            <w14:solidFill>
              <w14:schemeClr w14:val="tx1"/>
            </w14:solidFill>
          </w14:textFill>
        </w:rPr>
      </w:pPr>
    </w:p>
    <w:p w14:paraId="7035377F">
      <w:pPr>
        <w:pStyle w:val="26"/>
        <w:keepNext w:val="0"/>
        <w:keepLines w:val="0"/>
        <w:pageBreakBefore w:val="0"/>
        <w:widowControl/>
        <w:kinsoku/>
        <w:wordWrap/>
        <w:overflowPunct/>
        <w:topLinePunct w:val="0"/>
        <w:autoSpaceDE/>
        <w:autoSpaceDN/>
        <w:bidi w:val="0"/>
        <w:adjustRightInd/>
        <w:snapToGrid/>
        <w:spacing w:before="0" w:beforeAutospacing="0" w:after="0" w:afterAutospacing="0"/>
        <w:ind w:firstLine="0" w:firstLineChars="0"/>
        <w:jc w:val="center"/>
        <w:textAlignment w:val="auto"/>
        <w:outlineLvl w:val="0"/>
        <w:rPr>
          <w:rFonts w:hint="eastAsia" w:eastAsia="楷体_GB2312"/>
          <w:color w:val="000000" w:themeColor="text1"/>
          <w:sz w:val="36"/>
          <w:szCs w:val="36"/>
          <w14:textFill>
            <w14:solidFill>
              <w14:schemeClr w14:val="tx1"/>
            </w14:solidFill>
          </w14:textFill>
        </w:rPr>
      </w:pPr>
      <w:bookmarkStart w:id="5" w:name="_Toc13371"/>
      <w:bookmarkStart w:id="6" w:name="_Toc8612"/>
      <w:bookmarkStart w:id="7" w:name="_Toc11673"/>
      <w:bookmarkStart w:id="8" w:name="_Toc10280"/>
      <w:r>
        <w:rPr>
          <w:rFonts w:eastAsia="楷体_GB2312"/>
          <w:color w:val="000000" w:themeColor="text1"/>
          <w:sz w:val="36"/>
          <w:szCs w:val="36"/>
          <w14:textFill>
            <w14:solidFill>
              <w14:schemeClr w14:val="tx1"/>
            </w14:solidFill>
          </w14:textFill>
        </w:rPr>
        <w:t>中华人民共和国生态环境部制</w:t>
      </w:r>
      <w:bookmarkEnd w:id="5"/>
      <w:bookmarkEnd w:id="6"/>
      <w:bookmarkEnd w:id="7"/>
      <w:bookmarkEnd w:id="8"/>
    </w:p>
    <w:p w14:paraId="574687F2">
      <w:pPr>
        <w:pStyle w:val="26"/>
        <w:jc w:val="center"/>
        <w:outlineLvl w:val="0"/>
        <w:rPr>
          <w:rFonts w:hint="eastAsia" w:eastAsia="楷体_GB2312"/>
          <w:color w:val="000000" w:themeColor="text1"/>
          <w:sz w:val="36"/>
          <w:szCs w:val="36"/>
          <w14:textFill>
            <w14:solidFill>
              <w14:schemeClr w14:val="tx1"/>
            </w14:solidFill>
          </w14:textFill>
        </w:rPr>
        <w:sectPr>
          <w:headerReference r:id="rId5" w:type="first"/>
          <w:footerReference r:id="rId6" w:type="default"/>
          <w:pgSz w:w="11905" w:h="16838"/>
          <w:pgMar w:top="1440" w:right="1083" w:bottom="1440" w:left="1083" w:header="851" w:footer="992" w:gutter="0"/>
          <w:pgBorders>
            <w:top w:val="none" w:sz="0" w:space="0"/>
            <w:left w:val="none" w:sz="0" w:space="0"/>
            <w:bottom w:val="none" w:sz="0" w:space="0"/>
            <w:right w:val="none" w:sz="0" w:space="0"/>
          </w:pgBorders>
          <w:pgNumType w:start="1"/>
          <w:cols w:space="720" w:num="1"/>
          <w:docGrid w:type="lines" w:linePitch="312" w:charSpace="0"/>
        </w:sectPr>
      </w:pPr>
    </w:p>
    <w:sdt>
      <w:sdtPr>
        <w:rPr>
          <w:rFonts w:ascii="宋体" w:hAnsi="宋体" w:eastAsia="宋体" w:cs="Times New Roman"/>
          <w:kern w:val="2"/>
          <w:sz w:val="21"/>
          <w:szCs w:val="24"/>
          <w:lang w:val="en-US" w:eastAsia="zh-CN" w:bidi="ar-SA"/>
        </w:rPr>
        <w:id w:val="147481520"/>
        <w15:color w:val="DBDBDB"/>
        <w:docPartObj>
          <w:docPartGallery w:val="Table of Contents"/>
          <w:docPartUnique/>
        </w:docPartObj>
      </w:sdtPr>
      <w:sdtEndPr>
        <w:rPr>
          <w:rFonts w:hint="eastAsia" w:ascii="宋体" w:hAnsi="宋体" w:eastAsia="楷体_GB2312" w:cs="Times New Roman"/>
          <w:color w:val="000000" w:themeColor="text1"/>
          <w:kern w:val="0"/>
          <w:sz w:val="24"/>
          <w:szCs w:val="36"/>
          <w:lang w:val="en-US" w:eastAsia="zh-CN" w:bidi="ar-SA"/>
          <w14:textFill>
            <w14:solidFill>
              <w14:schemeClr w14:val="tx1"/>
            </w14:solidFill>
          </w14:textFill>
        </w:rPr>
      </w:sdtEndPr>
      <w:sdtContent>
        <w:p w14:paraId="2B0A1747">
          <w:pPr>
            <w:spacing w:before="0" w:beforeLines="0" w:after="0" w:afterLines="0" w:line="240" w:lineRule="auto"/>
            <w:ind w:left="0" w:leftChars="0" w:right="0" w:rightChars="0" w:firstLine="0" w:firstLineChars="0"/>
            <w:jc w:val="center"/>
            <w:rPr>
              <w:sz w:val="36"/>
              <w:szCs w:val="36"/>
            </w:rPr>
          </w:pPr>
          <w:r>
            <w:rPr>
              <w:rFonts w:hint="eastAsia" w:ascii="黑体" w:hAnsi="黑体" w:eastAsia="黑体" w:cs="黑体"/>
              <w:sz w:val="36"/>
              <w:szCs w:val="36"/>
            </w:rPr>
            <w:t>目</w:t>
          </w:r>
          <w:r>
            <w:rPr>
              <w:rFonts w:hint="eastAsia" w:ascii="黑体" w:hAnsi="黑体" w:eastAsia="黑体" w:cs="黑体"/>
              <w:sz w:val="36"/>
              <w:szCs w:val="36"/>
              <w:lang w:val="en-US" w:eastAsia="zh-CN"/>
            </w:rPr>
            <w:t xml:space="preserve"> </w:t>
          </w:r>
          <w:r>
            <w:rPr>
              <w:rFonts w:hint="eastAsia" w:ascii="黑体" w:hAnsi="黑体" w:eastAsia="黑体" w:cs="黑体"/>
              <w:sz w:val="36"/>
              <w:szCs w:val="36"/>
            </w:rPr>
            <w:t>录</w:t>
          </w:r>
        </w:p>
        <w:p w14:paraId="337642FE">
          <w:pPr>
            <w:pStyle w:val="20"/>
            <w:tabs>
              <w:tab w:val="right" w:leader="dot" w:pos="9739"/>
            </w:tabs>
            <w:ind w:left="0" w:leftChars="0" w:firstLine="0" w:firstLineChars="0"/>
          </w:pPr>
          <w:r>
            <w:rPr>
              <w:rFonts w:hint="eastAsia" w:eastAsia="楷体_GB2312"/>
              <w:color w:val="000000" w:themeColor="text1"/>
              <w:sz w:val="36"/>
              <w:szCs w:val="36"/>
              <w14:textFill>
                <w14:solidFill>
                  <w14:schemeClr w14:val="tx1"/>
                </w14:solidFill>
              </w14:textFill>
            </w:rPr>
            <w:fldChar w:fldCharType="begin"/>
          </w:r>
          <w:r>
            <w:rPr>
              <w:rFonts w:hint="eastAsia" w:eastAsia="楷体_GB2312"/>
              <w:color w:val="000000" w:themeColor="text1"/>
              <w:sz w:val="36"/>
              <w:szCs w:val="36"/>
              <w14:textFill>
                <w14:solidFill>
                  <w14:schemeClr w14:val="tx1"/>
                </w14:solidFill>
              </w14:textFill>
            </w:rPr>
            <w:instrText xml:space="preserve">TOC \o "1-1" \h \u </w:instrText>
          </w:r>
          <w:r>
            <w:rPr>
              <w:rFonts w:hint="eastAsia" w:eastAsia="楷体_GB2312"/>
              <w:color w:val="000000" w:themeColor="text1"/>
              <w:sz w:val="36"/>
              <w:szCs w:val="36"/>
              <w14:textFill>
                <w14:solidFill>
                  <w14:schemeClr w14:val="tx1"/>
                </w14:solidFill>
              </w14:textFill>
            </w:rPr>
            <w:fldChar w:fldCharType="separate"/>
          </w:r>
        </w:p>
        <w:p w14:paraId="68E55BB9">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_Toc5281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bCs/>
              <w:szCs w:val="30"/>
            </w:rPr>
            <w:t>一、建设项目基本情况</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_Toc5281 \h </w:instrText>
          </w:r>
          <w:r>
            <w:rPr>
              <w:rFonts w:hint="default" w:ascii="Times New Roman" w:hAnsi="Times New Roman" w:eastAsia="黑体" w:cs="Times New Roman"/>
            </w:rPr>
            <w:fldChar w:fldCharType="separate"/>
          </w:r>
          <w:r>
            <w:rPr>
              <w:rFonts w:hint="default" w:ascii="Times New Roman" w:hAnsi="Times New Roman" w:eastAsia="黑体" w:cs="Times New Roman"/>
            </w:rPr>
            <w:t>1</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4799EB66">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_Toc14465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二、建设项目工程分析</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_Toc14465 \h </w:instrText>
          </w:r>
          <w:r>
            <w:rPr>
              <w:rFonts w:hint="default" w:ascii="Times New Roman" w:hAnsi="Times New Roman" w:eastAsia="黑体" w:cs="Times New Roman"/>
            </w:rPr>
            <w:fldChar w:fldCharType="separate"/>
          </w:r>
          <w:r>
            <w:rPr>
              <w:rFonts w:hint="default" w:ascii="Times New Roman" w:hAnsi="Times New Roman" w:eastAsia="黑体" w:cs="Times New Roman"/>
            </w:rPr>
            <w:t>52</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798B1DA6">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_Toc28075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三、区域环境质量现状、环境保护目标及评价标准</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_Toc28075 \h </w:instrText>
          </w:r>
          <w:r>
            <w:rPr>
              <w:rFonts w:hint="default" w:ascii="Times New Roman" w:hAnsi="Times New Roman" w:eastAsia="黑体" w:cs="Times New Roman"/>
            </w:rPr>
            <w:fldChar w:fldCharType="separate"/>
          </w:r>
          <w:r>
            <w:rPr>
              <w:rFonts w:hint="default" w:ascii="Times New Roman" w:hAnsi="Times New Roman" w:eastAsia="黑体" w:cs="Times New Roman"/>
            </w:rPr>
            <w:t>67</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5ED28AA">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_Toc10431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lang w:val="en-US" w:eastAsia="zh-CN"/>
            </w:rPr>
            <w:t>四</w:t>
          </w:r>
          <w:r>
            <w:rPr>
              <w:rFonts w:hint="default" w:ascii="Times New Roman" w:hAnsi="Times New Roman" w:eastAsia="黑体" w:cs="Times New Roman"/>
            </w:rPr>
            <w:t>、主要环境影响和保护措施</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_Toc10431 \h </w:instrText>
          </w:r>
          <w:r>
            <w:rPr>
              <w:rFonts w:hint="default" w:ascii="Times New Roman" w:hAnsi="Times New Roman" w:eastAsia="黑体" w:cs="Times New Roman"/>
            </w:rPr>
            <w:fldChar w:fldCharType="separate"/>
          </w:r>
          <w:r>
            <w:rPr>
              <w:rFonts w:hint="default" w:ascii="Times New Roman" w:hAnsi="Times New Roman" w:eastAsia="黑体" w:cs="Times New Roman"/>
            </w:rPr>
            <w:t>73</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079B1F2B">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_Toc28928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五、环境保护措施监督检查清单</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_Toc28928 \h </w:instrText>
          </w:r>
          <w:r>
            <w:rPr>
              <w:rFonts w:hint="default" w:ascii="Times New Roman" w:hAnsi="Times New Roman" w:eastAsia="黑体" w:cs="Times New Roman"/>
            </w:rPr>
            <w:fldChar w:fldCharType="separate"/>
          </w:r>
          <w:r>
            <w:rPr>
              <w:rFonts w:hint="default" w:ascii="Times New Roman" w:hAnsi="Times New Roman" w:eastAsia="黑体" w:cs="Times New Roman"/>
            </w:rPr>
            <w:t>105</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124B281">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_Toc20528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六、结论</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_Toc20528 \h </w:instrText>
          </w:r>
          <w:r>
            <w:rPr>
              <w:rFonts w:hint="default" w:ascii="Times New Roman" w:hAnsi="Times New Roman" w:eastAsia="黑体" w:cs="Times New Roman"/>
            </w:rPr>
            <w:fldChar w:fldCharType="separate"/>
          </w:r>
          <w:r>
            <w:rPr>
              <w:rFonts w:hint="default" w:ascii="Times New Roman" w:hAnsi="Times New Roman" w:eastAsia="黑体" w:cs="Times New Roman"/>
            </w:rPr>
            <w:t>108</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B13073F">
          <w:pPr>
            <w:pStyle w:val="20"/>
            <w:tabs>
              <w:tab w:val="right" w:leader="dot" w:pos="9739"/>
            </w:tabs>
            <w:ind w:left="0" w:leftChars="0" w:firstLine="0" w:firstLineChars="0"/>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_Toc23922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snapToGrid w:val="0"/>
              <w:szCs w:val="32"/>
            </w:rPr>
            <w:t>附表</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_Toc23922 \h </w:instrText>
          </w:r>
          <w:r>
            <w:rPr>
              <w:rFonts w:hint="default" w:ascii="Times New Roman" w:hAnsi="Times New Roman" w:eastAsia="黑体" w:cs="Times New Roman"/>
            </w:rPr>
            <w:fldChar w:fldCharType="separate"/>
          </w:r>
          <w:r>
            <w:rPr>
              <w:rFonts w:hint="default" w:ascii="Times New Roman" w:hAnsi="Times New Roman" w:eastAsia="黑体" w:cs="Times New Roman"/>
            </w:rPr>
            <w:t>109</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62499ECB">
          <w:pPr>
            <w:pStyle w:val="20"/>
            <w:tabs>
              <w:tab w:val="right" w:leader="dot" w:pos="9739"/>
            </w:tabs>
            <w:ind w:left="0" w:leftChars="0" w:firstLine="0" w:firstLineChars="0"/>
          </w:pPr>
        </w:p>
        <w:p w14:paraId="15404610">
          <w:pPr>
            <w:ind w:left="0" w:leftChars="0" w:firstLine="0" w:firstLineChars="0"/>
            <w:rPr>
              <w:rFonts w:hint="default" w:ascii="Times New Roman" w:hAnsi="Times New Roman" w:eastAsia="黑体" w:cs="Times New Roman"/>
              <w:sz w:val="28"/>
              <w:szCs w:val="28"/>
            </w:rPr>
          </w:pPr>
          <w:r>
            <w:rPr>
              <w:rFonts w:hint="default" w:ascii="Times New Roman" w:hAnsi="Times New Roman" w:eastAsia="黑体" w:cs="Times New Roman"/>
              <w:sz w:val="28"/>
              <w:szCs w:val="28"/>
              <w:lang w:val="en-US" w:eastAsia="zh-CN"/>
            </w:rPr>
            <w:t>南阳恒卓机械制造有限公司机械制造设备生产项目</w:t>
          </w:r>
          <w:r>
            <w:rPr>
              <w:rFonts w:hint="default" w:ascii="Times New Roman" w:hAnsi="Times New Roman" w:eastAsia="黑体" w:cs="Times New Roman"/>
              <w:sz w:val="28"/>
              <w:szCs w:val="28"/>
            </w:rPr>
            <w:t>大气环境影响专项评价报告</w:t>
          </w:r>
        </w:p>
        <w:p w14:paraId="166D7263">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_Toc12226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i w:val="0"/>
              <w:kern w:val="44"/>
              <w:szCs w:val="36"/>
              <w:lang w:val="en-US" w:eastAsia="zh-CN" w:bidi="ar-SA"/>
            </w:rPr>
            <w:t xml:space="preserve">第1章 </w:t>
          </w:r>
          <w:r>
            <w:rPr>
              <w:rFonts w:hint="default" w:ascii="Times New Roman" w:hAnsi="Times New Roman" w:eastAsia="黑体" w:cs="Times New Roman"/>
              <w:szCs w:val="36"/>
            </w:rPr>
            <w:t>总则</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_Toc12226 \h </w:instrText>
          </w:r>
          <w:r>
            <w:rPr>
              <w:rFonts w:hint="default" w:ascii="Times New Roman" w:hAnsi="Times New Roman" w:eastAsia="黑体" w:cs="Times New Roman"/>
            </w:rPr>
            <w:fldChar w:fldCharType="separate"/>
          </w:r>
          <w:r>
            <w:rPr>
              <w:rFonts w:hint="default" w:ascii="Times New Roman" w:hAnsi="Times New Roman" w:eastAsia="黑体" w:cs="Times New Roman"/>
            </w:rPr>
            <w:t>1</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1371599">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_Toc27186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第2章 工程分析</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_Toc27186 \h </w:instrText>
          </w:r>
          <w:r>
            <w:rPr>
              <w:rFonts w:hint="default" w:ascii="Times New Roman" w:hAnsi="Times New Roman" w:eastAsia="黑体" w:cs="Times New Roman"/>
            </w:rPr>
            <w:fldChar w:fldCharType="separate"/>
          </w:r>
          <w:r>
            <w:rPr>
              <w:rFonts w:hint="default" w:ascii="Times New Roman" w:hAnsi="Times New Roman" w:eastAsia="黑体" w:cs="Times New Roman"/>
            </w:rPr>
            <w:t>6</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18DD19D2">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_Toc28119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第3章 环境空气质量现状评价</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_Toc28119 \h </w:instrText>
          </w:r>
          <w:r>
            <w:rPr>
              <w:rFonts w:hint="default" w:ascii="Times New Roman" w:hAnsi="Times New Roman" w:eastAsia="黑体" w:cs="Times New Roman"/>
            </w:rPr>
            <w:fldChar w:fldCharType="separate"/>
          </w:r>
          <w:r>
            <w:rPr>
              <w:rFonts w:hint="default" w:ascii="Times New Roman" w:hAnsi="Times New Roman" w:eastAsia="黑体" w:cs="Times New Roman"/>
            </w:rPr>
            <w:t>19</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56CB28F1">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_Toc3325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第4章 大气环境影响评价</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_Toc3325 \h </w:instrText>
          </w:r>
          <w:r>
            <w:rPr>
              <w:rFonts w:hint="default" w:ascii="Times New Roman" w:hAnsi="Times New Roman" w:eastAsia="黑体" w:cs="Times New Roman"/>
            </w:rPr>
            <w:fldChar w:fldCharType="separate"/>
          </w:r>
          <w:r>
            <w:rPr>
              <w:rFonts w:hint="default" w:ascii="Times New Roman" w:hAnsi="Times New Roman" w:eastAsia="黑体" w:cs="Times New Roman"/>
            </w:rPr>
            <w:t>22</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6866792">
          <w:pPr>
            <w:pStyle w:val="20"/>
            <w:tabs>
              <w:tab w:val="right" w:leader="dot" w:pos="9739"/>
            </w:tabs>
            <w:ind w:left="0" w:leftChars="0" w:firstLine="0" w:firstLineChars="0"/>
            <w:rPr>
              <w:rFonts w:hint="default" w:ascii="Times New Roman" w:hAnsi="Times New Roman" w:eastAsia="黑体" w:cs="Times New Roman"/>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_Toc10365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第5章 环境保护措施及可行性论证</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_Toc10365 \h </w:instrText>
          </w:r>
          <w:r>
            <w:rPr>
              <w:rFonts w:hint="default" w:ascii="Times New Roman" w:hAnsi="Times New Roman" w:eastAsia="黑体" w:cs="Times New Roman"/>
            </w:rPr>
            <w:fldChar w:fldCharType="separate"/>
          </w:r>
          <w:r>
            <w:rPr>
              <w:rFonts w:hint="default" w:ascii="Times New Roman" w:hAnsi="Times New Roman" w:eastAsia="黑体" w:cs="Times New Roman"/>
            </w:rPr>
            <w:t>29</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49420710">
          <w:pPr>
            <w:pStyle w:val="20"/>
            <w:tabs>
              <w:tab w:val="right" w:leader="dot" w:pos="9739"/>
            </w:tabs>
            <w:ind w:left="0" w:leftChars="0" w:firstLine="0" w:firstLineChars="0"/>
            <w:rPr>
              <w:rFonts w:hint="default" w:ascii="Times New Roman" w:hAnsi="Times New Roman" w:eastAsia="黑体" w:cs="Times New Roman"/>
              <w:color w:val="000000" w:themeColor="text1"/>
              <w:szCs w:val="36"/>
              <w14:textFill>
                <w14:solidFill>
                  <w14:schemeClr w14:val="tx1"/>
                </w14:solidFill>
              </w14:textFill>
            </w:rPr>
          </w:pPr>
          <w:r>
            <w:rPr>
              <w:rFonts w:hint="default" w:ascii="Times New Roman" w:hAnsi="Times New Roman" w:eastAsia="黑体" w:cs="Times New Roman"/>
              <w:color w:val="000000" w:themeColor="text1"/>
              <w:szCs w:val="36"/>
              <w14:textFill>
                <w14:solidFill>
                  <w14:schemeClr w14:val="tx1"/>
                </w14:solidFill>
              </w14:textFill>
            </w:rPr>
            <w:fldChar w:fldCharType="begin"/>
          </w:r>
          <w:r>
            <w:rPr>
              <w:rFonts w:hint="default" w:ascii="Times New Roman" w:hAnsi="Times New Roman" w:eastAsia="黑体" w:cs="Times New Roman"/>
              <w:szCs w:val="36"/>
            </w:rPr>
            <w:instrText xml:space="preserve"> HYPERLINK \l _Toc17809 </w:instrText>
          </w:r>
          <w:r>
            <w:rPr>
              <w:rFonts w:hint="default" w:ascii="Times New Roman" w:hAnsi="Times New Roman" w:eastAsia="黑体" w:cs="Times New Roman"/>
              <w:szCs w:val="36"/>
            </w:rPr>
            <w:fldChar w:fldCharType="separate"/>
          </w:r>
          <w:r>
            <w:rPr>
              <w:rFonts w:hint="default" w:ascii="Times New Roman" w:hAnsi="Times New Roman" w:eastAsia="黑体" w:cs="Times New Roman"/>
            </w:rPr>
            <w:t>第6章 结论</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_Toc17809 \h </w:instrText>
          </w:r>
          <w:r>
            <w:rPr>
              <w:rFonts w:hint="default" w:ascii="Times New Roman" w:hAnsi="Times New Roman" w:eastAsia="黑体" w:cs="Times New Roman"/>
            </w:rPr>
            <w:fldChar w:fldCharType="separate"/>
          </w:r>
          <w:r>
            <w:rPr>
              <w:rFonts w:hint="default" w:ascii="Times New Roman" w:hAnsi="Times New Roman" w:eastAsia="黑体" w:cs="Times New Roman"/>
            </w:rPr>
            <w:t>34</w:t>
          </w:r>
          <w:r>
            <w:rPr>
              <w:rFonts w:hint="default" w:ascii="Times New Roman" w:hAnsi="Times New Roman" w:eastAsia="黑体" w:cs="Times New Roman"/>
            </w:rPr>
            <w:fldChar w:fldCharType="end"/>
          </w:r>
          <w:r>
            <w:rPr>
              <w:rFonts w:hint="default" w:ascii="Times New Roman" w:hAnsi="Times New Roman" w:eastAsia="黑体" w:cs="Times New Roman"/>
              <w:color w:val="000000" w:themeColor="text1"/>
              <w:szCs w:val="36"/>
              <w14:textFill>
                <w14:solidFill>
                  <w14:schemeClr w14:val="tx1"/>
                </w14:solidFill>
              </w14:textFill>
            </w:rPr>
            <w:fldChar w:fldCharType="end"/>
          </w:r>
        </w:p>
        <w:p w14:paraId="2100F96C">
          <w:pPr>
            <w:ind w:left="0" w:leftChars="0" w:firstLine="0" w:firstLineChars="0"/>
            <w:rPr>
              <w:rFonts w:hint="default" w:ascii="Times New Roman" w:hAnsi="Times New Roman" w:eastAsia="黑体" w:cs="Times New Roman"/>
              <w:color w:val="000000" w:themeColor="text1"/>
              <w:szCs w:val="36"/>
              <w14:textFill>
                <w14:solidFill>
                  <w14:schemeClr w14:val="tx1"/>
                </w14:solidFill>
              </w14:textFill>
            </w:rPr>
          </w:pPr>
        </w:p>
        <w:p w14:paraId="73F705CC">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黑体" w:cs="Times New Roman"/>
              <w:b w:val="0"/>
              <w:bCs w:val="0"/>
              <w:sz w:val="28"/>
              <w:szCs w:val="28"/>
              <w:lang w:val="en-US" w:eastAsia="zh-CN"/>
            </w:rPr>
          </w:pPr>
          <w:r>
            <w:rPr>
              <w:rFonts w:hint="default" w:ascii="Times New Roman" w:hAnsi="Times New Roman" w:eastAsia="黑体" w:cs="Times New Roman"/>
              <w:b w:val="0"/>
              <w:bCs w:val="0"/>
              <w:sz w:val="28"/>
              <w:szCs w:val="28"/>
              <w:lang w:val="en-US" w:eastAsia="zh-CN"/>
            </w:rPr>
            <w:t>附图</w:t>
          </w:r>
        </w:p>
        <w:p w14:paraId="480AFADD">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附图1  项目地理位置图</w:t>
          </w:r>
        </w:p>
        <w:p w14:paraId="3B4EF441">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附图2  项目周围环境概况示意图</w:t>
          </w:r>
        </w:p>
        <w:p w14:paraId="502662E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附图3  厂区平面布置图</w:t>
          </w:r>
        </w:p>
        <w:p w14:paraId="26A92BA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附图4  项目在镇平县先进制造业开发区发展规划中的位置示意图</w:t>
          </w:r>
        </w:p>
        <w:p w14:paraId="1C64F4DF">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附图5  项目在镇平县先进制造业开发区产业功能布局图中的位置示意图</w:t>
          </w:r>
        </w:p>
        <w:p w14:paraId="75C978B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附图6  项目在镇平县先进制造业开发区用地功能布局图中的位置示意图</w:t>
          </w:r>
        </w:p>
        <w:p w14:paraId="0E825F7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附图7  项目在镇平县先进制造业开发区污水工程规划图中的位置示意图</w:t>
          </w:r>
        </w:p>
        <w:p w14:paraId="49D8E28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附图8  项目与河南省三线一单综合信息应用平台中位置示意图</w:t>
          </w:r>
        </w:p>
        <w:p w14:paraId="16FE1B74">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sz w:val="24"/>
              <w:szCs w:val="24"/>
              <w:lang w:val="en-US" w:eastAsia="zh-CN"/>
            </w:rPr>
          </w:pPr>
          <w:r>
            <w:rPr>
              <w:rFonts w:hint="eastAsia"/>
              <w:sz w:val="24"/>
              <w:szCs w:val="24"/>
              <w:lang w:val="en-US" w:eastAsia="zh-CN"/>
            </w:rPr>
            <w:t>附图9  现场照片</w:t>
          </w:r>
        </w:p>
        <w:p w14:paraId="0771C99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黑体" w:cs="Times New Roman"/>
              <w:b w:val="0"/>
              <w:bCs w:val="0"/>
              <w:sz w:val="28"/>
              <w:szCs w:val="28"/>
              <w:lang w:val="en-US" w:eastAsia="zh-CN"/>
            </w:rPr>
          </w:pPr>
          <w:r>
            <w:rPr>
              <w:rFonts w:hint="default" w:ascii="Times New Roman" w:hAnsi="Times New Roman" w:eastAsia="黑体" w:cs="Times New Roman"/>
              <w:b w:val="0"/>
              <w:bCs w:val="0"/>
              <w:sz w:val="28"/>
              <w:szCs w:val="28"/>
              <w:lang w:val="en-US" w:eastAsia="zh-CN"/>
            </w:rPr>
            <w:t>附</w:t>
          </w:r>
          <w:r>
            <w:rPr>
              <w:rFonts w:hint="eastAsia" w:ascii="Times New Roman" w:hAnsi="Times New Roman" w:eastAsia="黑体" w:cs="Times New Roman"/>
              <w:b w:val="0"/>
              <w:bCs w:val="0"/>
              <w:sz w:val="28"/>
              <w:szCs w:val="28"/>
              <w:lang w:val="en-US" w:eastAsia="zh-CN"/>
            </w:rPr>
            <w:t>件</w:t>
          </w:r>
        </w:p>
        <w:p w14:paraId="5E60A99D">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附件1  委托书</w:t>
          </w:r>
        </w:p>
        <w:p w14:paraId="43283BC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附件2  备案证明</w:t>
          </w:r>
        </w:p>
        <w:p w14:paraId="7440BB4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附件3  入驻证明</w:t>
          </w:r>
        </w:p>
        <w:p w14:paraId="76192664">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附件4  原辅材料MSDS</w:t>
          </w:r>
        </w:p>
        <w:p w14:paraId="0C38681A">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附件5  租赁协议</w:t>
          </w:r>
        </w:p>
        <w:p w14:paraId="38EFC01D">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附件6  营业执照</w:t>
          </w:r>
        </w:p>
        <w:p w14:paraId="4311505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sz w:val="24"/>
              <w:szCs w:val="24"/>
              <w:lang w:val="en-US" w:eastAsia="zh-CN"/>
            </w:rPr>
          </w:pPr>
          <w:r>
            <w:rPr>
              <w:rFonts w:hint="default"/>
              <w:sz w:val="24"/>
              <w:szCs w:val="24"/>
              <w:lang w:val="en-US" w:eastAsia="zh-CN"/>
            </w:rPr>
            <w:t>附件7  法人身份证</w:t>
          </w:r>
        </w:p>
        <w:p w14:paraId="210C2554">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黑体" w:cs="Times New Roman"/>
              <w:color w:val="000000" w:themeColor="text1"/>
              <w:szCs w:val="36"/>
              <w14:textFill>
                <w14:solidFill>
                  <w14:schemeClr w14:val="tx1"/>
                </w14:solidFill>
              </w14:textFill>
            </w:rPr>
          </w:pPr>
          <w:r>
            <w:rPr>
              <w:rFonts w:hint="default"/>
              <w:sz w:val="24"/>
              <w:szCs w:val="24"/>
              <w:lang w:val="en-US" w:eastAsia="zh-CN"/>
            </w:rPr>
            <w:t>附件8  河南省三线一单项目智能研判分析报告</w:t>
          </w:r>
        </w:p>
        <w:p w14:paraId="5B07ECAE">
          <w:pPr>
            <w:pStyle w:val="26"/>
            <w:jc w:val="center"/>
            <w:outlineLvl w:val="0"/>
            <w:rPr>
              <w:rFonts w:hint="eastAsia" w:ascii="宋体" w:hAnsi="宋体" w:eastAsia="楷体_GB2312" w:cs="Times New Roman"/>
              <w:color w:val="000000" w:themeColor="text1"/>
              <w:kern w:val="0"/>
              <w:sz w:val="24"/>
              <w:szCs w:val="36"/>
              <w:lang w:val="en-US" w:eastAsia="zh-CN" w:bidi="ar-SA"/>
              <w14:textFill>
                <w14:solidFill>
                  <w14:schemeClr w14:val="tx1"/>
                </w14:solidFill>
              </w14:textFill>
            </w:rPr>
          </w:pPr>
          <w:r>
            <w:rPr>
              <w:rFonts w:hint="eastAsia" w:eastAsia="楷体_GB2312"/>
              <w:color w:val="000000" w:themeColor="text1"/>
              <w:szCs w:val="36"/>
              <w14:textFill>
                <w14:solidFill>
                  <w14:schemeClr w14:val="tx1"/>
                </w14:solidFill>
              </w14:textFill>
            </w:rPr>
            <w:fldChar w:fldCharType="end"/>
          </w:r>
        </w:p>
      </w:sdtContent>
    </w:sdt>
    <w:p w14:paraId="028B991C">
      <w:pPr>
        <w:pStyle w:val="26"/>
        <w:jc w:val="center"/>
        <w:outlineLvl w:val="0"/>
        <w:rPr>
          <w:rFonts w:hint="eastAsia" w:ascii="宋体" w:hAnsi="宋体" w:eastAsia="楷体_GB2312" w:cs="Times New Roman"/>
          <w:color w:val="000000" w:themeColor="text1"/>
          <w:kern w:val="0"/>
          <w:sz w:val="24"/>
          <w:szCs w:val="36"/>
          <w:lang w:val="en-US" w:eastAsia="zh-CN" w:bidi="ar-SA"/>
          <w14:textFill>
            <w14:solidFill>
              <w14:schemeClr w14:val="tx1"/>
            </w14:solidFill>
          </w14:textFill>
        </w:rPr>
        <w:sectPr>
          <w:pgSz w:w="11905" w:h="16838"/>
          <w:pgMar w:top="1440" w:right="1083" w:bottom="1440" w:left="1083"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281DDF48">
      <w:pPr>
        <w:pStyle w:val="2"/>
        <w:spacing w:before="31" w:after="6"/>
        <w:jc w:val="center"/>
        <w:rPr>
          <w:rFonts w:hint="eastAsia" w:ascii="黑体" w:hAnsi="黑体" w:eastAsia="黑体" w:cs="黑体"/>
          <w:b w:val="0"/>
          <w:bCs/>
          <w:color w:val="000000" w:themeColor="text1"/>
          <w:sz w:val="30"/>
          <w:szCs w:val="30"/>
          <w14:textFill>
            <w14:solidFill>
              <w14:schemeClr w14:val="tx1"/>
            </w14:solidFill>
          </w14:textFill>
        </w:rPr>
      </w:pPr>
      <w:bookmarkStart w:id="9" w:name="_Toc5281"/>
      <w:bookmarkStart w:id="10" w:name="_Toc23257"/>
      <w:bookmarkStart w:id="11" w:name="_Toc24972"/>
      <w:r>
        <w:rPr>
          <w:rFonts w:hint="eastAsia" w:ascii="黑体" w:hAnsi="黑体" w:eastAsia="黑体" w:cs="黑体"/>
          <w:b w:val="0"/>
          <w:bCs/>
          <w:color w:val="000000" w:themeColor="text1"/>
          <w:sz w:val="30"/>
          <w:szCs w:val="30"/>
          <w14:textFill>
            <w14:solidFill>
              <w14:schemeClr w14:val="tx1"/>
            </w14:solidFill>
          </w14:textFill>
        </w:rPr>
        <w:t>一、建设项目基本情况</w:t>
      </w:r>
      <w:bookmarkEnd w:id="9"/>
      <w:bookmarkEnd w:id="10"/>
      <w:bookmarkEnd w:id="11"/>
    </w:p>
    <w:tbl>
      <w:tblPr>
        <w:tblStyle w:val="29"/>
        <w:tblW w:w="4997" w:type="pct"/>
        <w:jc w:val="center"/>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fixed"/>
        <w:tblCellMar>
          <w:top w:w="0" w:type="dxa"/>
          <w:left w:w="28" w:type="dxa"/>
          <w:bottom w:w="0" w:type="dxa"/>
          <w:right w:w="28" w:type="dxa"/>
        </w:tblCellMar>
      </w:tblPr>
      <w:tblGrid>
        <w:gridCol w:w="640"/>
        <w:gridCol w:w="824"/>
        <w:gridCol w:w="2523"/>
        <w:gridCol w:w="1798"/>
        <w:gridCol w:w="2999"/>
      </w:tblGrid>
      <w:tr w14:paraId="57877138">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77B71086">
            <w:pPr>
              <w:keepNext w:val="0"/>
              <w:keepLines w:val="0"/>
              <w:pageBreakBefore w:val="0"/>
              <w:topLinePunct w:val="0"/>
              <w:bidi w:val="0"/>
              <w:spacing w:line="240" w:lineRule="auto"/>
              <w:ind w:firstLine="0" w:firstLineChars="0"/>
              <w:jc w:val="center"/>
              <w:rPr>
                <w:rFonts w:hint="eastAsia"/>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建设项目</w:t>
            </w:r>
          </w:p>
          <w:p w14:paraId="5CEA41E5">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名称</w:t>
            </w:r>
          </w:p>
        </w:tc>
        <w:tc>
          <w:tcPr>
            <w:tcW w:w="4166" w:type="pct"/>
            <w:gridSpan w:val="3"/>
            <w:vAlign w:val="center"/>
          </w:tcPr>
          <w:p w14:paraId="5B833FFD">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lang w:val="en-US" w:eastAsia="zh-CN"/>
                <w14:textFill>
                  <w14:solidFill>
                    <w14:schemeClr w14:val="tx1"/>
                  </w14:solidFill>
                </w14:textFill>
              </w:rPr>
              <w:t>南阳恒卓机械制造有限公司机械制造设备生产项目</w:t>
            </w:r>
          </w:p>
        </w:tc>
      </w:tr>
      <w:tr w14:paraId="2FEF5C5E">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045E4D8A">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项目代码</w:t>
            </w:r>
          </w:p>
        </w:tc>
        <w:tc>
          <w:tcPr>
            <w:tcW w:w="4166" w:type="pct"/>
            <w:gridSpan w:val="3"/>
            <w:vAlign w:val="center"/>
          </w:tcPr>
          <w:p w14:paraId="61B99DCC">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default" w:eastAsiaTheme="minorEastAsia"/>
                <w:color w:val="000000" w:themeColor="text1"/>
                <w:szCs w:val="24"/>
                <w:lang w:val="en-US" w:eastAsia="zh-CN"/>
                <w14:textFill>
                  <w14:solidFill>
                    <w14:schemeClr w14:val="tx1"/>
                  </w14:solidFill>
                </w14:textFill>
              </w:rPr>
              <w:t>2512-411324-04-01-514977</w:t>
            </w:r>
          </w:p>
        </w:tc>
      </w:tr>
      <w:tr w14:paraId="699020F1">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625DE24E">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建设单位</w:t>
            </w:r>
          </w:p>
          <w:p w14:paraId="60D678FD">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联系人</w:t>
            </w:r>
          </w:p>
        </w:tc>
        <w:tc>
          <w:tcPr>
            <w:tcW w:w="1436" w:type="pct"/>
            <w:vAlign w:val="center"/>
          </w:tcPr>
          <w:p w14:paraId="26456B7F">
            <w:pPr>
              <w:keepNext w:val="0"/>
              <w:keepLines w:val="0"/>
              <w:pageBreakBefore w:val="0"/>
              <w:topLinePunct w:val="0"/>
              <w:bidi w:val="0"/>
              <w:spacing w:line="240" w:lineRule="auto"/>
              <w:ind w:firstLine="0" w:firstLineChars="0"/>
              <w:jc w:val="center"/>
              <w:rPr>
                <w:rFonts w:hint="eastAsia" w:eastAsiaTheme="minorEastAsia"/>
                <w:color w:val="000000" w:themeColor="text1"/>
                <w:szCs w:val="24"/>
                <w:lang w:eastAsia="zh-CN"/>
                <w14:textFill>
                  <w14:solidFill>
                    <w14:schemeClr w14:val="tx1"/>
                  </w14:solidFill>
                </w14:textFill>
              </w:rPr>
            </w:pPr>
            <w:r>
              <w:rPr>
                <w:rFonts w:hint="eastAsia" w:eastAsiaTheme="minorEastAsia"/>
                <w:color w:val="000000" w:themeColor="text1"/>
                <w:szCs w:val="24"/>
                <w:lang w:eastAsia="zh-CN"/>
                <w14:textFill>
                  <w14:solidFill>
                    <w14:schemeClr w14:val="tx1"/>
                  </w14:solidFill>
                </w14:textFill>
              </w:rPr>
              <w:t>尹向伟</w:t>
            </w:r>
          </w:p>
        </w:tc>
        <w:tc>
          <w:tcPr>
            <w:tcW w:w="1023" w:type="pct"/>
            <w:vAlign w:val="center"/>
          </w:tcPr>
          <w:p w14:paraId="7FC1F35C">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联系方式</w:t>
            </w:r>
          </w:p>
        </w:tc>
        <w:tc>
          <w:tcPr>
            <w:tcW w:w="1707" w:type="pct"/>
            <w:vAlign w:val="center"/>
          </w:tcPr>
          <w:p w14:paraId="5C0CC5BE">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default" w:eastAsiaTheme="minorEastAsia"/>
                <w:color w:val="000000" w:themeColor="text1"/>
                <w:szCs w:val="24"/>
                <w:lang w:val="en-US" w:eastAsia="zh-CN"/>
                <w14:textFill>
                  <w14:solidFill>
                    <w14:schemeClr w14:val="tx1"/>
                  </w14:solidFill>
                </w14:textFill>
              </w:rPr>
              <w:t>18237430015</w:t>
            </w:r>
          </w:p>
        </w:tc>
      </w:tr>
      <w:tr w14:paraId="334452C9">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48DAE104">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建设地点</w:t>
            </w:r>
          </w:p>
        </w:tc>
        <w:tc>
          <w:tcPr>
            <w:tcW w:w="4166" w:type="pct"/>
            <w:gridSpan w:val="3"/>
            <w:vAlign w:val="center"/>
          </w:tcPr>
          <w:p w14:paraId="1D2FF1CE">
            <w:pPr>
              <w:keepNext w:val="0"/>
              <w:keepLines w:val="0"/>
              <w:pageBreakBefore w:val="0"/>
              <w:topLinePunct w:val="0"/>
              <w:bidi w:val="0"/>
              <w:spacing w:line="240" w:lineRule="auto"/>
              <w:ind w:firstLine="0" w:firstLineChars="0"/>
              <w:jc w:val="center"/>
              <w:rPr>
                <w:rFonts w:hint="eastAsia" w:eastAsia="宋体"/>
                <w:color w:val="000000" w:themeColor="text1"/>
                <w:szCs w:val="24"/>
                <w:lang w:eastAsia="zh-CN"/>
                <w14:textFill>
                  <w14:solidFill>
                    <w14:schemeClr w14:val="tx1"/>
                  </w14:solidFill>
                </w14:textFill>
              </w:rPr>
            </w:pP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p>
        </w:tc>
      </w:tr>
      <w:tr w14:paraId="0A1306BD">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65FDCF1F">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地理坐标</w:t>
            </w:r>
          </w:p>
        </w:tc>
        <w:tc>
          <w:tcPr>
            <w:tcW w:w="4166" w:type="pct"/>
            <w:gridSpan w:val="3"/>
            <w:vAlign w:val="center"/>
          </w:tcPr>
          <w:p w14:paraId="226866DB">
            <w:pPr>
              <w:keepNext w:val="0"/>
              <w:keepLines w:val="0"/>
              <w:pageBreakBefore w:val="0"/>
              <w:topLinePunct w:val="0"/>
              <w:bidi w:val="0"/>
              <w:spacing w:line="240" w:lineRule="auto"/>
              <w:ind w:firstLine="0" w:firstLineChars="0"/>
              <w:jc w:val="center"/>
              <w:rPr>
                <w:rFonts w:cs="Times New Roman"/>
                <w:color w:val="000000" w:themeColor="text1"/>
                <w:szCs w:val="24"/>
                <w:highlight w:val="yellow"/>
                <w14:textFill>
                  <w14:solidFill>
                    <w14:schemeClr w14:val="tx1"/>
                  </w14:solidFill>
                </w14:textFill>
              </w:rPr>
            </w:pP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u w:val="single"/>
                <w:lang w:val="en-US" w:eastAsia="zh-CN"/>
                <w14:textFill>
                  <w14:solidFill>
                    <w14:schemeClr w14:val="tx1"/>
                  </w14:solidFill>
                </w14:textFill>
              </w:rPr>
              <w:t xml:space="preserve"> 112 </w:t>
            </w:r>
            <w:r>
              <w:rPr>
                <w:rFonts w:hint="eastAsia" w:cs="Times New Roman"/>
                <w:color w:val="000000" w:themeColor="text1"/>
                <w:szCs w:val="24"/>
                <w:highlight w:val="none"/>
                <w:lang w:val="en-US" w:eastAsia="zh-CN"/>
                <w14:textFill>
                  <w14:solidFill>
                    <w14:schemeClr w14:val="tx1"/>
                  </w14:solidFill>
                </w14:textFill>
              </w:rPr>
              <w:t>度</w:t>
            </w:r>
            <w:r>
              <w:rPr>
                <w:rFonts w:hint="eastAsia" w:cs="Times New Roman"/>
                <w:color w:val="000000" w:themeColor="text1"/>
                <w:szCs w:val="24"/>
                <w:highlight w:val="none"/>
                <w:u w:val="single"/>
                <w:lang w:val="en-US" w:eastAsia="zh-CN"/>
                <w14:textFill>
                  <w14:solidFill>
                    <w14:schemeClr w14:val="tx1"/>
                  </w14:solidFill>
                </w14:textFill>
              </w:rPr>
              <w:t xml:space="preserve"> 11 </w:t>
            </w:r>
            <w:r>
              <w:rPr>
                <w:rFonts w:hint="eastAsia" w:cs="Times New Roman"/>
                <w:color w:val="000000" w:themeColor="text1"/>
                <w:szCs w:val="24"/>
                <w:highlight w:val="none"/>
                <w:lang w:val="en-US" w:eastAsia="zh-CN"/>
                <w14:textFill>
                  <w14:solidFill>
                    <w14:schemeClr w14:val="tx1"/>
                  </w14:solidFill>
                </w14:textFill>
              </w:rPr>
              <w:t>分</w:t>
            </w:r>
            <w:r>
              <w:rPr>
                <w:rFonts w:hint="eastAsia" w:cs="Times New Roman"/>
                <w:color w:val="000000" w:themeColor="text1"/>
                <w:szCs w:val="24"/>
                <w:highlight w:val="none"/>
                <w:u w:val="single"/>
                <w:lang w:val="en-US" w:eastAsia="zh-CN"/>
                <w14:textFill>
                  <w14:solidFill>
                    <w14:schemeClr w14:val="tx1"/>
                  </w14:solidFill>
                </w14:textFill>
              </w:rPr>
              <w:t xml:space="preserve"> 54.248 </w:t>
            </w:r>
            <w:r>
              <w:rPr>
                <w:rFonts w:hint="eastAsia" w:cs="Times New Roman"/>
                <w:color w:val="000000" w:themeColor="text1"/>
                <w:szCs w:val="24"/>
                <w:highlight w:val="none"/>
                <w:lang w:val="en-US" w:eastAsia="zh-CN"/>
                <w14:textFill>
                  <w14:solidFill>
                    <w14:schemeClr w14:val="tx1"/>
                  </w14:solidFill>
                </w14:textFill>
              </w:rPr>
              <w:t>秒</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u w:val="single"/>
                <w:lang w:val="en-US" w:eastAsia="zh-CN"/>
                <w14:textFill>
                  <w14:solidFill>
                    <w14:schemeClr w14:val="tx1"/>
                  </w14:solidFill>
                </w14:textFill>
              </w:rPr>
              <w:t xml:space="preserve"> 33</w:t>
            </w:r>
            <w:r>
              <w:rPr>
                <w:rFonts w:hint="eastAsia" w:cs="Times New Roman"/>
                <w:color w:val="000000" w:themeColor="text1"/>
                <w:szCs w:val="24"/>
                <w:highlight w:val="none"/>
                <w:lang w:val="en-US" w:eastAsia="zh-CN"/>
                <w14:textFill>
                  <w14:solidFill>
                    <w14:schemeClr w14:val="tx1"/>
                  </w14:solidFill>
                </w14:textFill>
              </w:rPr>
              <w:t>度</w:t>
            </w:r>
            <w:r>
              <w:rPr>
                <w:rFonts w:hint="eastAsia" w:cs="Times New Roman"/>
                <w:color w:val="000000" w:themeColor="text1"/>
                <w:szCs w:val="24"/>
                <w:highlight w:val="none"/>
                <w:u w:val="single"/>
                <w:lang w:val="en-US" w:eastAsia="zh-CN"/>
                <w14:textFill>
                  <w14:solidFill>
                    <w14:schemeClr w14:val="tx1"/>
                  </w14:solidFill>
                </w14:textFill>
              </w:rPr>
              <w:t xml:space="preserve"> 2 </w:t>
            </w:r>
            <w:r>
              <w:rPr>
                <w:rFonts w:hint="eastAsia" w:cs="Times New Roman"/>
                <w:color w:val="000000" w:themeColor="text1"/>
                <w:szCs w:val="24"/>
                <w:highlight w:val="none"/>
                <w:lang w:val="en-US" w:eastAsia="zh-CN"/>
                <w14:textFill>
                  <w14:solidFill>
                    <w14:schemeClr w14:val="tx1"/>
                  </w14:solidFill>
                </w14:textFill>
              </w:rPr>
              <w:t>分</w:t>
            </w:r>
            <w:r>
              <w:rPr>
                <w:rFonts w:hint="eastAsia" w:cs="Times New Roman"/>
                <w:color w:val="000000" w:themeColor="text1"/>
                <w:szCs w:val="24"/>
                <w:highlight w:val="none"/>
                <w:u w:val="single"/>
                <w:lang w:val="en-US" w:eastAsia="zh-CN"/>
                <w14:textFill>
                  <w14:solidFill>
                    <w14:schemeClr w14:val="tx1"/>
                  </w14:solidFill>
                </w14:textFill>
              </w:rPr>
              <w:t xml:space="preserve"> 30.269 </w:t>
            </w:r>
            <w:r>
              <w:rPr>
                <w:rFonts w:hint="eastAsia" w:cs="Times New Roman"/>
                <w:color w:val="000000" w:themeColor="text1"/>
                <w:szCs w:val="24"/>
                <w:highlight w:val="none"/>
                <w:lang w:val="en-US" w:eastAsia="zh-CN"/>
                <w14:textFill>
                  <w14:solidFill>
                    <w14:schemeClr w14:val="tx1"/>
                  </w14:solidFill>
                </w14:textFill>
              </w:rPr>
              <w:t>秒</w:t>
            </w:r>
            <w:r>
              <w:rPr>
                <w:rFonts w:cs="Times New Roman"/>
                <w:color w:val="000000" w:themeColor="text1"/>
                <w:szCs w:val="24"/>
                <w:highlight w:val="none"/>
                <w14:textFill>
                  <w14:solidFill>
                    <w14:schemeClr w14:val="tx1"/>
                  </w14:solidFill>
                </w14:textFill>
              </w:rPr>
              <w:t>）</w:t>
            </w:r>
          </w:p>
        </w:tc>
      </w:tr>
      <w:tr w14:paraId="3C9F4E53">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2DDC96AC">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国民经济</w:t>
            </w:r>
          </w:p>
          <w:p w14:paraId="033008A3">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行业类别</w:t>
            </w:r>
          </w:p>
        </w:tc>
        <w:tc>
          <w:tcPr>
            <w:tcW w:w="1436" w:type="pct"/>
            <w:vAlign w:val="center"/>
          </w:tcPr>
          <w:p w14:paraId="721B6669">
            <w:pPr>
              <w:keepNext w:val="0"/>
              <w:keepLines w:val="0"/>
              <w:pageBreakBefore w:val="0"/>
              <w:topLinePunct w:val="0"/>
              <w:bidi w:val="0"/>
              <w:spacing w:line="240" w:lineRule="auto"/>
              <w:ind w:firstLine="0" w:firstLineChars="0"/>
              <w:jc w:val="left"/>
              <w:rPr>
                <w:rFonts w:hint="default" w:eastAsia="宋体"/>
                <w:color w:val="000000" w:themeColor="text1"/>
                <w:szCs w:val="24"/>
                <w:lang w:val="en-US" w:eastAsia="zh-CN"/>
                <w14:textFill>
                  <w14:solidFill>
                    <w14:schemeClr w14:val="tx1"/>
                  </w14:solidFill>
                </w14:textFill>
              </w:rPr>
            </w:pPr>
            <w:r>
              <w:rPr>
                <w:sz w:val="24"/>
              </w:rPr>
              <w:t>C339</w:t>
            </w:r>
            <w:r>
              <w:rPr>
                <w:rFonts w:hint="eastAsia"/>
                <w:sz w:val="24"/>
                <w:lang w:val="en-US" w:eastAsia="zh-CN"/>
              </w:rPr>
              <w:t>1黑</w:t>
            </w:r>
            <w:r>
              <w:rPr>
                <w:sz w:val="24"/>
              </w:rPr>
              <w:t>色金属铸造</w:t>
            </w:r>
          </w:p>
        </w:tc>
        <w:tc>
          <w:tcPr>
            <w:tcW w:w="1023" w:type="pct"/>
            <w:vAlign w:val="center"/>
          </w:tcPr>
          <w:p w14:paraId="1A53742F">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建设项目</w:t>
            </w:r>
          </w:p>
          <w:p w14:paraId="265690C1">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行业类别</w:t>
            </w:r>
          </w:p>
        </w:tc>
        <w:tc>
          <w:tcPr>
            <w:tcW w:w="1707" w:type="pct"/>
            <w:vAlign w:val="center"/>
          </w:tcPr>
          <w:p w14:paraId="498B85C4">
            <w:pPr>
              <w:keepNext w:val="0"/>
              <w:keepLines w:val="0"/>
              <w:pageBreakBefore w:val="0"/>
              <w:widowControl w:val="0"/>
              <w:kinsoku w:val="0"/>
              <w:wordWrap/>
              <w:overflowPunct w:val="0"/>
              <w:topLinePunct w:val="0"/>
              <w:autoSpaceDE w:val="0"/>
              <w:autoSpaceDN w:val="0"/>
              <w:bidi w:val="0"/>
              <w:adjustRightInd w:val="0"/>
              <w:snapToGrid/>
              <w:spacing w:line="240" w:lineRule="auto"/>
              <w:ind w:firstLine="0" w:firstLineChars="0"/>
              <w:jc w:val="left"/>
              <w:textAlignment w:val="auto"/>
              <w:rPr>
                <w:rFonts w:hint="default" w:cs="Times New Roman" w:eastAsiaTheme="minorEastAsia"/>
                <w:color w:val="000000" w:themeColor="text1"/>
                <w:szCs w:val="24"/>
                <w:lang w:val="en-US" w:eastAsia="zh-CN"/>
                <w14:textFill>
                  <w14:solidFill>
                    <w14:schemeClr w14:val="tx1"/>
                  </w14:solidFill>
                </w14:textFill>
              </w:rPr>
            </w:pPr>
            <w:bookmarkStart w:id="12" w:name="OLE_LINK1"/>
            <w:r>
              <w:rPr>
                <w:color w:val="000000"/>
                <w:sz w:val="24"/>
              </w:rPr>
              <w:t>三十、金属制品业 3</w:t>
            </w:r>
            <w:r>
              <w:rPr>
                <w:rFonts w:hint="eastAsia"/>
                <w:color w:val="000000"/>
                <w:sz w:val="24"/>
              </w:rPr>
              <w:t>3</w:t>
            </w:r>
            <w:r>
              <w:rPr>
                <w:color w:val="000000"/>
                <w:sz w:val="24"/>
              </w:rPr>
              <w:t>_68、铸造及其他金属金属制品制造 339—其他</w:t>
            </w:r>
            <w:r>
              <w:rPr>
                <w:rFonts w:hint="eastAsia"/>
                <w:color w:val="000000"/>
                <w:sz w:val="24"/>
              </w:rPr>
              <w:t>（</w:t>
            </w:r>
            <w:r>
              <w:rPr>
                <w:color w:val="000000"/>
                <w:sz w:val="24"/>
              </w:rPr>
              <w:t>仅分割、焊接、组装的除外</w:t>
            </w:r>
            <w:r>
              <w:rPr>
                <w:rFonts w:hint="eastAsia"/>
                <w:color w:val="000000"/>
                <w:sz w:val="24"/>
              </w:rPr>
              <w:t>）</w:t>
            </w:r>
            <w:bookmarkEnd w:id="12"/>
          </w:p>
        </w:tc>
      </w:tr>
      <w:tr w14:paraId="6A192366">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59160041">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建设性质</w:t>
            </w:r>
          </w:p>
        </w:tc>
        <w:tc>
          <w:tcPr>
            <w:tcW w:w="1436" w:type="pct"/>
            <w:vAlign w:val="center"/>
          </w:tcPr>
          <w:p w14:paraId="357A7B6E">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sym w:font="Wingdings 2" w:char="0052"/>
            </w:r>
            <w:r>
              <w:rPr>
                <w:rFonts w:hint="eastAsia" w:ascii="宋体" w:hAnsi="宋体" w:cs="宋体"/>
                <w:color w:val="000000" w:themeColor="text1"/>
                <w:szCs w:val="24"/>
                <w14:textFill>
                  <w14:solidFill>
                    <w14:schemeClr w14:val="tx1"/>
                  </w14:solidFill>
                </w14:textFill>
              </w:rPr>
              <w:t>新建（迁建）</w:t>
            </w:r>
          </w:p>
          <w:p w14:paraId="418B04B5">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14:textFill>
                  <w14:solidFill>
                    <w14:schemeClr w14:val="tx1"/>
                  </w14:solidFill>
                </w14:textFill>
              </w:rPr>
              <w:t>改建</w:t>
            </w:r>
          </w:p>
          <w:p w14:paraId="16B5327E">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lang w:eastAsia="zh-CN"/>
                <w14:textFill>
                  <w14:solidFill>
                    <w14:schemeClr w14:val="tx1"/>
                  </w14:solidFill>
                </w14:textFill>
              </w:rPr>
              <w:t>□</w:t>
            </w:r>
            <w:r>
              <w:rPr>
                <w:rFonts w:hint="eastAsia" w:ascii="宋体" w:hAnsi="宋体" w:cs="宋体"/>
                <w:color w:val="000000" w:themeColor="text1"/>
                <w:szCs w:val="24"/>
                <w14:textFill>
                  <w14:solidFill>
                    <w14:schemeClr w14:val="tx1"/>
                  </w14:solidFill>
                </w14:textFill>
              </w:rPr>
              <w:t>扩建</w:t>
            </w:r>
          </w:p>
          <w:p w14:paraId="0B179977">
            <w:pPr>
              <w:keepNext w:val="0"/>
              <w:keepLines w:val="0"/>
              <w:pageBreakBefore w:val="0"/>
              <w:topLinePunct w:val="0"/>
              <w:bidi w:val="0"/>
              <w:spacing w:line="240" w:lineRule="auto"/>
              <w:ind w:firstLine="0" w:firstLineChars="0"/>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□技术改造</w:t>
            </w:r>
          </w:p>
        </w:tc>
        <w:tc>
          <w:tcPr>
            <w:tcW w:w="1023" w:type="pct"/>
            <w:vAlign w:val="center"/>
          </w:tcPr>
          <w:p w14:paraId="090856E0">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建设项目</w:t>
            </w:r>
          </w:p>
          <w:p w14:paraId="7E7CAF18">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申报情形</w:t>
            </w:r>
          </w:p>
        </w:tc>
        <w:tc>
          <w:tcPr>
            <w:tcW w:w="1707" w:type="pct"/>
            <w:vAlign w:val="center"/>
          </w:tcPr>
          <w:p w14:paraId="27FDD6FE">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sym w:font="Wingdings 2" w:char="0052"/>
            </w:r>
            <w:r>
              <w:rPr>
                <w:rFonts w:hint="eastAsia" w:ascii="宋体" w:hAnsi="宋体" w:cs="宋体"/>
                <w:color w:val="000000" w:themeColor="text1"/>
                <w:szCs w:val="24"/>
                <w14:textFill>
                  <w14:solidFill>
                    <w14:schemeClr w14:val="tx1"/>
                  </w14:solidFill>
                </w14:textFill>
              </w:rPr>
              <w:t>首次申报项目</w:t>
            </w:r>
          </w:p>
          <w:p w14:paraId="3EE4ACF7">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□不予批准后再次申报项目</w:t>
            </w:r>
          </w:p>
          <w:p w14:paraId="7B44EB43">
            <w:pPr>
              <w:keepNext w:val="0"/>
              <w:keepLines w:val="0"/>
              <w:pageBreakBefore w:val="0"/>
              <w:topLinePunct w:val="0"/>
              <w:bidi w:val="0"/>
              <w:spacing w:line="240" w:lineRule="auto"/>
              <w:ind w:firstLine="0" w:firstLineChars="0"/>
              <w:jc w:val="left"/>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sym w:font="Wingdings 2" w:char="00A3"/>
            </w:r>
            <w:r>
              <w:rPr>
                <w:rFonts w:hint="eastAsia" w:ascii="宋体" w:hAnsi="宋体" w:cs="宋体"/>
                <w:color w:val="000000" w:themeColor="text1"/>
                <w:szCs w:val="24"/>
                <w14:textFill>
                  <w14:solidFill>
                    <w14:schemeClr w14:val="tx1"/>
                  </w14:solidFill>
                </w14:textFill>
              </w:rPr>
              <w:t>超五年重新审核项目</w:t>
            </w:r>
          </w:p>
          <w:p w14:paraId="229CD2EE">
            <w:pPr>
              <w:keepNext w:val="0"/>
              <w:keepLines w:val="0"/>
              <w:pageBreakBefore w:val="0"/>
              <w:topLinePunct w:val="0"/>
              <w:bidi w:val="0"/>
              <w:spacing w:line="240" w:lineRule="auto"/>
              <w:ind w:firstLine="0" w:firstLineChars="0"/>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□重大变动重新报批项目</w:t>
            </w:r>
          </w:p>
        </w:tc>
      </w:tr>
      <w:tr w14:paraId="10C6B790">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368FBB59">
            <w:pPr>
              <w:keepNext w:val="0"/>
              <w:keepLines w:val="0"/>
              <w:pageBreakBefore w:val="0"/>
              <w:topLinePunct w:val="0"/>
              <w:bidi w:val="0"/>
              <w:spacing w:line="240" w:lineRule="auto"/>
              <w:ind w:firstLine="0" w:firstLineChars="0"/>
              <w:jc w:val="center"/>
              <w:rPr>
                <w:rFonts w:hint="eastAsia"/>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项目备案</w:t>
            </w:r>
          </w:p>
          <w:p w14:paraId="72ABA7F3">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部门</w:t>
            </w:r>
          </w:p>
        </w:tc>
        <w:tc>
          <w:tcPr>
            <w:tcW w:w="1436" w:type="pct"/>
            <w:vAlign w:val="center"/>
          </w:tcPr>
          <w:p w14:paraId="310F076D">
            <w:pPr>
              <w:keepNext w:val="0"/>
              <w:keepLines w:val="0"/>
              <w:pageBreakBefore w:val="0"/>
              <w:topLinePunct w:val="0"/>
              <w:bidi w:val="0"/>
              <w:spacing w:line="240" w:lineRule="auto"/>
              <w:ind w:firstLine="0" w:firstLineChars="0"/>
              <w:jc w:val="center"/>
              <w:rPr>
                <w:rFonts w:hint="default"/>
                <w:color w:val="000000" w:themeColor="text1"/>
                <w:szCs w:val="24"/>
                <w:lang w:val="en-US"/>
                <w14:textFill>
                  <w14:solidFill>
                    <w14:schemeClr w14:val="tx1"/>
                  </w14:solidFill>
                </w14:textFill>
              </w:rPr>
            </w:pPr>
            <w:r>
              <w:rPr>
                <w:color w:val="000000"/>
                <w:sz w:val="24"/>
              </w:rPr>
              <w:t>镇平县发展和改革委员会</w:t>
            </w:r>
          </w:p>
        </w:tc>
        <w:tc>
          <w:tcPr>
            <w:tcW w:w="1023" w:type="pct"/>
            <w:vAlign w:val="center"/>
          </w:tcPr>
          <w:p w14:paraId="567667C8">
            <w:pPr>
              <w:keepNext w:val="0"/>
              <w:keepLines w:val="0"/>
              <w:pageBreakBefore w:val="0"/>
              <w:topLinePunct w:val="0"/>
              <w:bidi w:val="0"/>
              <w:spacing w:line="240" w:lineRule="auto"/>
              <w:ind w:firstLine="0" w:firstLineChars="0"/>
              <w:jc w:val="center"/>
              <w:rPr>
                <w:rFonts w:hint="eastAsia"/>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项目备案</w:t>
            </w:r>
          </w:p>
          <w:p w14:paraId="1CAE4A2F">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文号</w:t>
            </w:r>
          </w:p>
        </w:tc>
        <w:tc>
          <w:tcPr>
            <w:tcW w:w="1707" w:type="pct"/>
            <w:vAlign w:val="center"/>
          </w:tcPr>
          <w:p w14:paraId="515FC3C2">
            <w:pPr>
              <w:keepNext w:val="0"/>
              <w:keepLines w:val="0"/>
              <w:pageBreakBefore w:val="0"/>
              <w:topLinePunct w:val="0"/>
              <w:bidi w:val="0"/>
              <w:spacing w:line="240" w:lineRule="auto"/>
              <w:ind w:firstLine="0" w:firstLineChars="0"/>
              <w:jc w:val="center"/>
              <w:rPr>
                <w:rFonts w:hint="eastAsia" w:eastAsiaTheme="minorEastAsia"/>
                <w:color w:val="000000" w:themeColor="text1"/>
                <w:szCs w:val="24"/>
                <w:lang w:eastAsia="zh-CN"/>
                <w14:textFill>
                  <w14:solidFill>
                    <w14:schemeClr w14:val="tx1"/>
                  </w14:solidFill>
                </w14:textFill>
              </w:rPr>
            </w:pPr>
            <w:r>
              <w:rPr>
                <w:rFonts w:hint="default" w:eastAsiaTheme="minorEastAsia"/>
                <w:color w:val="000000" w:themeColor="text1"/>
                <w:szCs w:val="24"/>
                <w:lang w:val="en-US" w:eastAsia="zh-CN"/>
                <w14:textFill>
                  <w14:solidFill>
                    <w14:schemeClr w14:val="tx1"/>
                  </w14:solidFill>
                </w14:textFill>
              </w:rPr>
              <w:t>2512-411324-04-01-514977</w:t>
            </w:r>
          </w:p>
        </w:tc>
      </w:tr>
      <w:tr w14:paraId="30CEABA9">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1282617A">
            <w:pPr>
              <w:keepNext w:val="0"/>
              <w:keepLines w:val="0"/>
              <w:pageBreakBefore w:val="0"/>
              <w:topLinePunct w:val="0"/>
              <w:bidi w:val="0"/>
              <w:spacing w:line="240" w:lineRule="auto"/>
              <w:ind w:firstLine="0" w:firstLineChars="0"/>
              <w:jc w:val="center"/>
              <w:rPr>
                <w:rFonts w:hint="eastAsia"/>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总投资</w:t>
            </w:r>
          </w:p>
          <w:p w14:paraId="35A08FCE">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（万元）</w:t>
            </w:r>
          </w:p>
        </w:tc>
        <w:tc>
          <w:tcPr>
            <w:tcW w:w="1436" w:type="pct"/>
            <w:vAlign w:val="center"/>
          </w:tcPr>
          <w:p w14:paraId="5E0B7E86">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default" w:eastAsiaTheme="minorEastAsia"/>
                <w:color w:val="000000" w:themeColor="text1"/>
                <w:szCs w:val="24"/>
                <w:lang w:val="en-US" w:eastAsia="zh-CN"/>
                <w14:textFill>
                  <w14:solidFill>
                    <w14:schemeClr w14:val="tx1"/>
                  </w14:solidFill>
                </w14:textFill>
              </w:rPr>
              <w:t>5300万元</w:t>
            </w:r>
          </w:p>
        </w:tc>
        <w:tc>
          <w:tcPr>
            <w:tcW w:w="1023" w:type="pct"/>
            <w:vAlign w:val="center"/>
          </w:tcPr>
          <w:p w14:paraId="448E0B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环保投资</w:t>
            </w:r>
          </w:p>
          <w:p w14:paraId="65363939">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（万元）</w:t>
            </w:r>
          </w:p>
        </w:tc>
        <w:tc>
          <w:tcPr>
            <w:tcW w:w="1707" w:type="pct"/>
            <w:vAlign w:val="center"/>
          </w:tcPr>
          <w:p w14:paraId="1D24119C">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eastAsia" w:eastAsiaTheme="minorEastAsia"/>
                <w:color w:val="000000" w:themeColor="text1"/>
                <w:szCs w:val="24"/>
                <w:lang w:val="en-US" w:eastAsia="zh-CN"/>
                <w14:textFill>
                  <w14:solidFill>
                    <w14:schemeClr w14:val="tx1"/>
                  </w14:solidFill>
                </w14:textFill>
              </w:rPr>
              <w:t>93</w:t>
            </w:r>
          </w:p>
        </w:tc>
      </w:tr>
      <w:tr w14:paraId="04C2922C">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355C293B">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环保投资</w:t>
            </w:r>
          </w:p>
          <w:p w14:paraId="2C8790FD">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占比（%）</w:t>
            </w:r>
          </w:p>
        </w:tc>
        <w:tc>
          <w:tcPr>
            <w:tcW w:w="1436" w:type="pct"/>
            <w:vAlign w:val="center"/>
          </w:tcPr>
          <w:p w14:paraId="7099E3B2">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eastAsia" w:eastAsiaTheme="minorEastAsia"/>
                <w:color w:val="000000" w:themeColor="text1"/>
                <w:szCs w:val="24"/>
                <w:lang w:val="en-US" w:eastAsia="zh-CN"/>
                <w14:textFill>
                  <w14:solidFill>
                    <w14:schemeClr w14:val="tx1"/>
                  </w14:solidFill>
                </w14:textFill>
              </w:rPr>
              <w:t>1.75</w:t>
            </w:r>
          </w:p>
        </w:tc>
        <w:tc>
          <w:tcPr>
            <w:tcW w:w="1023" w:type="pct"/>
            <w:vAlign w:val="center"/>
          </w:tcPr>
          <w:p w14:paraId="49496CB9">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施工工期</w:t>
            </w:r>
          </w:p>
        </w:tc>
        <w:tc>
          <w:tcPr>
            <w:tcW w:w="1707" w:type="pct"/>
            <w:vAlign w:val="center"/>
          </w:tcPr>
          <w:p w14:paraId="21134F6C">
            <w:pPr>
              <w:keepNext w:val="0"/>
              <w:keepLines w:val="0"/>
              <w:pageBreakBefore w:val="0"/>
              <w:topLinePunct w:val="0"/>
              <w:bidi w:val="0"/>
              <w:spacing w:line="240" w:lineRule="auto"/>
              <w:ind w:firstLine="0" w:firstLineChars="0"/>
              <w:jc w:val="center"/>
              <w:rPr>
                <w:rFonts w:hint="eastAsia" w:eastAsiaTheme="minorEastAsia"/>
                <w:color w:val="000000" w:themeColor="text1"/>
                <w:szCs w:val="24"/>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3个月</w:t>
            </w:r>
          </w:p>
        </w:tc>
      </w:tr>
      <w:tr w14:paraId="4042F5C8">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2651099F">
            <w:pPr>
              <w:keepNext w:val="0"/>
              <w:keepLines w:val="0"/>
              <w:pageBreakBefore w:val="0"/>
              <w:topLinePunct w:val="0"/>
              <w:bidi w:val="0"/>
              <w:spacing w:line="240" w:lineRule="auto"/>
              <w:ind w:firstLine="0" w:firstLineChars="0"/>
              <w:jc w:val="center"/>
              <w:rPr>
                <w:rFonts w:hint="eastAsia"/>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是否开工</w:t>
            </w:r>
          </w:p>
          <w:p w14:paraId="7D07D47C">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建设</w:t>
            </w:r>
          </w:p>
        </w:tc>
        <w:tc>
          <w:tcPr>
            <w:tcW w:w="1436" w:type="pct"/>
            <w:vAlign w:val="center"/>
          </w:tcPr>
          <w:p w14:paraId="24047D22">
            <w:pPr>
              <w:keepNext w:val="0"/>
              <w:keepLines w:val="0"/>
              <w:pageBreakBefore w:val="0"/>
              <w:topLinePunct w:val="0"/>
              <w:bidi w:val="0"/>
              <w:spacing w:line="240" w:lineRule="auto"/>
              <w:ind w:firstLine="0" w:firstLineChars="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sym w:font="Wingdings 2" w:char="0052"/>
            </w:r>
            <w:r>
              <w:rPr>
                <w:rFonts w:hint="eastAsia"/>
                <w:color w:val="000000" w:themeColor="text1"/>
                <w:szCs w:val="24"/>
                <w14:textFill>
                  <w14:solidFill>
                    <w14:schemeClr w14:val="tx1"/>
                  </w14:solidFill>
                </w14:textFill>
              </w:rPr>
              <w:t>否</w:t>
            </w:r>
          </w:p>
          <w:p w14:paraId="07454570">
            <w:pPr>
              <w:keepNext w:val="0"/>
              <w:keepLines w:val="0"/>
              <w:pageBreakBefore w:val="0"/>
              <w:topLinePunct w:val="0"/>
              <w:bidi w:val="0"/>
              <w:spacing w:line="240" w:lineRule="auto"/>
              <w:ind w:firstLine="0" w:firstLineChars="0"/>
              <w:rPr>
                <w:rFonts w:hint="default" w:eastAsiaTheme="minorEastAsia"/>
                <w:color w:val="000000" w:themeColor="text1"/>
                <w:szCs w:val="24"/>
                <w:lang w:val="en-US" w:eastAsia="zh-CN"/>
                <w14:textFill>
                  <w14:solidFill>
                    <w14:schemeClr w14:val="tx1"/>
                  </w14:solidFill>
                </w14:textFill>
              </w:rPr>
            </w:pPr>
            <w:r>
              <w:rPr>
                <w:rFonts w:hint="eastAsia"/>
                <w:color w:val="000000" w:themeColor="text1"/>
                <w:szCs w:val="24"/>
                <w14:textFill>
                  <w14:solidFill>
                    <w14:schemeClr w14:val="tx1"/>
                  </w14:solidFill>
                </w14:textFill>
              </w:rPr>
              <w:sym w:font="Wingdings 2" w:char="00A3"/>
            </w:r>
            <w:r>
              <w:rPr>
                <w:rFonts w:hint="eastAsia"/>
                <w:color w:val="000000" w:themeColor="text1"/>
                <w:szCs w:val="24"/>
                <w14:textFill>
                  <w14:solidFill>
                    <w14:schemeClr w14:val="tx1"/>
                  </w14:solidFill>
                </w14:textFill>
              </w:rPr>
              <w:t>是</w:t>
            </w:r>
            <w:r>
              <w:rPr>
                <w:rFonts w:hint="eastAsia"/>
                <w:color w:val="000000" w:themeColor="text1"/>
                <w:szCs w:val="24"/>
                <w:u w:val="single"/>
                <w14:textFill>
                  <w14:solidFill>
                    <w14:schemeClr w14:val="tx1"/>
                  </w14:solidFill>
                </w14:textFill>
              </w:rPr>
              <w:t xml:space="preserve">            </w:t>
            </w:r>
            <w:r>
              <w:rPr>
                <w:rFonts w:hint="eastAsia"/>
                <w:color w:val="000000" w:themeColor="text1"/>
                <w:szCs w:val="24"/>
                <w:u w:val="single"/>
                <w:lang w:val="en-US" w:eastAsia="zh-CN"/>
                <w14:textFill>
                  <w14:solidFill>
                    <w14:schemeClr w14:val="tx1"/>
                  </w14:solidFill>
                </w14:textFill>
              </w:rPr>
              <w:t xml:space="preserve">   </w:t>
            </w:r>
          </w:p>
        </w:tc>
        <w:tc>
          <w:tcPr>
            <w:tcW w:w="1023" w:type="pct"/>
            <w:vAlign w:val="center"/>
          </w:tcPr>
          <w:p w14:paraId="6793D282">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用地面积（m</w:t>
            </w:r>
            <w:r>
              <w:rPr>
                <w:rFonts w:hint="eastAsia"/>
                <w:color w:val="000000" w:themeColor="text1"/>
                <w:szCs w:val="24"/>
                <w:vertAlign w:val="superscript"/>
                <w14:textFill>
                  <w14:solidFill>
                    <w14:schemeClr w14:val="tx1"/>
                  </w14:solidFill>
                </w14:textFill>
              </w:rPr>
              <w:t>2</w:t>
            </w:r>
            <w:r>
              <w:rPr>
                <w:rFonts w:hint="eastAsia"/>
                <w:color w:val="000000" w:themeColor="text1"/>
                <w:szCs w:val="24"/>
                <w14:textFill>
                  <w14:solidFill>
                    <w14:schemeClr w14:val="tx1"/>
                  </w14:solidFill>
                </w14:textFill>
              </w:rPr>
              <w:t>）</w:t>
            </w:r>
          </w:p>
        </w:tc>
        <w:tc>
          <w:tcPr>
            <w:tcW w:w="1707" w:type="pct"/>
            <w:vAlign w:val="center"/>
          </w:tcPr>
          <w:p w14:paraId="4EC26552">
            <w:pPr>
              <w:keepNext w:val="0"/>
              <w:keepLines w:val="0"/>
              <w:pageBreakBefore w:val="0"/>
              <w:topLinePunct w:val="0"/>
              <w:bidi w:val="0"/>
              <w:spacing w:line="240" w:lineRule="auto"/>
              <w:ind w:firstLine="0" w:firstLineChars="0"/>
              <w:jc w:val="center"/>
              <w:rPr>
                <w:rFonts w:hint="default" w:eastAsiaTheme="minorEastAsia"/>
                <w:color w:val="000000" w:themeColor="text1"/>
                <w:szCs w:val="24"/>
                <w:lang w:val="en-US" w:eastAsia="zh-CN"/>
                <w14:textFill>
                  <w14:solidFill>
                    <w14:schemeClr w14:val="tx1"/>
                  </w14:solidFill>
                </w14:textFill>
              </w:rPr>
            </w:pPr>
            <w:r>
              <w:rPr>
                <w:rFonts w:hint="eastAsia" w:eastAsiaTheme="minorEastAsia"/>
                <w:color w:val="000000" w:themeColor="text1"/>
                <w:szCs w:val="24"/>
                <w:lang w:val="en-US" w:eastAsia="zh-CN"/>
                <w14:textFill>
                  <w14:solidFill>
                    <w14:schemeClr w14:val="tx1"/>
                  </w14:solidFill>
                </w14:textFill>
              </w:rPr>
              <w:t>7000</w:t>
            </w:r>
          </w:p>
        </w:tc>
      </w:tr>
      <w:tr w14:paraId="523B100E">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6CB58FE3">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专项评价设置情况</w:t>
            </w:r>
          </w:p>
        </w:tc>
        <w:tc>
          <w:tcPr>
            <w:tcW w:w="4166" w:type="pct"/>
            <w:gridSpan w:val="3"/>
            <w:vAlign w:val="center"/>
          </w:tcPr>
          <w:p w14:paraId="2C52B90E">
            <w:pPr>
              <w:bidi w:val="0"/>
              <w:ind w:left="0" w:leftChars="0" w:firstLine="0" w:firstLineChars="0"/>
            </w:pPr>
            <w:r>
              <w:rPr>
                <w:rFonts w:hint="eastAsia"/>
              </w:rPr>
              <w:t>根据生态环境部印发的《建设项目环境影响报告表编制技术指南》（污染影响类）（试行），确定本项目需要设置大气专项评价，详见下表。</w:t>
            </w:r>
          </w:p>
          <w:p w14:paraId="6A5548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b w:val="0"/>
                <w:bCs w:val="0"/>
                <w:sz w:val="24"/>
              </w:rPr>
            </w:pPr>
            <w:r>
              <w:rPr>
                <w:rFonts w:hint="default" w:ascii="Times New Roman" w:hAnsi="Times New Roman" w:eastAsia="黑体" w:cs="Times New Roman"/>
                <w:b w:val="0"/>
                <w:bCs w:val="0"/>
                <w:sz w:val="24"/>
              </w:rPr>
              <w:t>表1-1  专项评价设置原则表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932"/>
              <w:gridCol w:w="3306"/>
            </w:tblGrid>
            <w:tr w14:paraId="4A8EE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218FC9D9">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专项评价类别</w:t>
                  </w:r>
                </w:p>
              </w:tc>
              <w:tc>
                <w:tcPr>
                  <w:tcW w:w="2021" w:type="pct"/>
                  <w:noWrap w:val="0"/>
                  <w:vAlign w:val="center"/>
                </w:tcPr>
                <w:p w14:paraId="79EB46AF">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设置原则</w:t>
                  </w:r>
                </w:p>
              </w:tc>
              <w:tc>
                <w:tcPr>
                  <w:tcW w:w="2279" w:type="pct"/>
                  <w:noWrap w:val="0"/>
                  <w:vAlign w:val="center"/>
                </w:tcPr>
                <w:p w14:paraId="44DC0431">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项目情况</w:t>
                  </w:r>
                </w:p>
              </w:tc>
            </w:tr>
            <w:tr w14:paraId="4FA00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4C92B464">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大气</w:t>
                  </w:r>
                </w:p>
              </w:tc>
              <w:tc>
                <w:tcPr>
                  <w:tcW w:w="2021" w:type="pct"/>
                  <w:noWrap w:val="0"/>
                  <w:vAlign w:val="center"/>
                </w:tcPr>
                <w:p w14:paraId="23E4DAB4">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排放废气含有毒有害污染物</w:t>
                  </w:r>
                  <w:r>
                    <w:rPr>
                      <w:sz w:val="21"/>
                      <w:szCs w:val="21"/>
                      <w:vertAlign w:val="superscript"/>
                    </w:rPr>
                    <w:t>1</w:t>
                  </w:r>
                  <w:r>
                    <w:rPr>
                      <w:sz w:val="21"/>
                      <w:szCs w:val="21"/>
                    </w:rPr>
                    <w:t>、二噁英、苯并[a]芘、氰化物、氯气且厂界外500米范围内有环境空气保护目标</w:t>
                  </w:r>
                  <w:r>
                    <w:rPr>
                      <w:sz w:val="21"/>
                      <w:szCs w:val="21"/>
                      <w:vertAlign w:val="superscript"/>
                    </w:rPr>
                    <w:t>2</w:t>
                  </w:r>
                  <w:r>
                    <w:rPr>
                      <w:sz w:val="21"/>
                      <w:szCs w:val="21"/>
                    </w:rPr>
                    <w:t>的建设项目。</w:t>
                  </w:r>
                </w:p>
              </w:tc>
              <w:tc>
                <w:tcPr>
                  <w:tcW w:w="2279" w:type="pct"/>
                  <w:noWrap w:val="0"/>
                  <w:vAlign w:val="center"/>
                </w:tcPr>
                <w:p w14:paraId="2156064C">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项目运营期废气排放包含甲醛</w:t>
                  </w:r>
                  <w:r>
                    <w:rPr>
                      <w:rFonts w:hint="eastAsia"/>
                      <w:sz w:val="21"/>
                      <w:szCs w:val="21"/>
                      <w:lang w:eastAsia="zh-CN"/>
                    </w:rPr>
                    <w:t>，</w:t>
                  </w:r>
                  <w:r>
                    <w:rPr>
                      <w:sz w:val="21"/>
                      <w:szCs w:val="21"/>
                    </w:rPr>
                    <w:t>且500米范围内有环境敏感点，因此，本项目需要设置大气专项评价。</w:t>
                  </w:r>
                </w:p>
              </w:tc>
            </w:tr>
            <w:tr w14:paraId="5A0A0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3A998D76">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地表水</w:t>
                  </w:r>
                </w:p>
              </w:tc>
              <w:tc>
                <w:tcPr>
                  <w:tcW w:w="2021" w:type="pct"/>
                  <w:noWrap w:val="0"/>
                  <w:vAlign w:val="center"/>
                </w:tcPr>
                <w:p w14:paraId="352ED742">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新增工业废水直排建设项目（槽罐车外送污水处理厂的除外）；新增废水直排的污水集中处理厂。</w:t>
                  </w:r>
                </w:p>
              </w:tc>
              <w:tc>
                <w:tcPr>
                  <w:tcW w:w="2279" w:type="pct"/>
                  <w:noWrap w:val="0"/>
                  <w:vAlign w:val="center"/>
                </w:tcPr>
                <w:p w14:paraId="5A89343A">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rFonts w:hint="default"/>
                      <w:sz w:val="21"/>
                      <w:szCs w:val="21"/>
                    </w:rPr>
                    <w:t>本项目</w:t>
                  </w:r>
                  <w:r>
                    <w:rPr>
                      <w:rFonts w:hint="default"/>
                      <w:sz w:val="21"/>
                      <w:szCs w:val="21"/>
                      <w:lang w:val="en-US" w:eastAsia="zh-CN"/>
                    </w:rPr>
                    <w:t>营运期职工生活污水经化粪池处理后</w:t>
                  </w:r>
                  <w:r>
                    <w:rPr>
                      <w:rFonts w:hint="eastAsia"/>
                      <w:sz w:val="21"/>
                      <w:szCs w:val="21"/>
                      <w:lang w:val="en-US" w:eastAsia="zh-CN"/>
                    </w:rPr>
                    <w:t>排入建设大道污水管网，最终经镇平县第二污水处理厂处理达标后排入赵河</w:t>
                  </w:r>
                  <w:r>
                    <w:rPr>
                      <w:sz w:val="21"/>
                      <w:szCs w:val="21"/>
                    </w:rPr>
                    <w:t>，因此，本项目不设置地表水专项评价。</w:t>
                  </w:r>
                </w:p>
              </w:tc>
            </w:tr>
            <w:tr w14:paraId="20E73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4FE03890">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环境风险</w:t>
                  </w:r>
                </w:p>
              </w:tc>
              <w:tc>
                <w:tcPr>
                  <w:tcW w:w="2021" w:type="pct"/>
                  <w:noWrap w:val="0"/>
                  <w:vAlign w:val="center"/>
                </w:tcPr>
                <w:p w14:paraId="5FDC4223">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有毒有害和易燃易爆危险物质存储量超过临界量</w:t>
                  </w:r>
                  <w:r>
                    <w:rPr>
                      <w:sz w:val="21"/>
                      <w:szCs w:val="21"/>
                      <w:vertAlign w:val="superscript"/>
                    </w:rPr>
                    <w:t>3</w:t>
                  </w:r>
                  <w:r>
                    <w:rPr>
                      <w:sz w:val="21"/>
                      <w:szCs w:val="21"/>
                    </w:rPr>
                    <w:t>的建设项目。</w:t>
                  </w:r>
                </w:p>
              </w:tc>
              <w:tc>
                <w:tcPr>
                  <w:tcW w:w="2279" w:type="pct"/>
                  <w:noWrap w:val="0"/>
                  <w:vAlign w:val="center"/>
                </w:tcPr>
                <w:p w14:paraId="2D218489">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项目营运期有毒有害和易燃易爆危险物质存储量未超过临界量；因此，本项目不设置环境风险专项评价。</w:t>
                  </w:r>
                </w:p>
              </w:tc>
            </w:tr>
            <w:tr w14:paraId="026C8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5B910216">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生态</w:t>
                  </w:r>
                </w:p>
              </w:tc>
              <w:tc>
                <w:tcPr>
                  <w:tcW w:w="2021" w:type="pct"/>
                  <w:noWrap w:val="0"/>
                  <w:vAlign w:val="center"/>
                </w:tcPr>
                <w:p w14:paraId="63F1B0BF">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取水口下游500米范围内有重要水生生物的自然产卵场、索饵场、越冬场和洄游通道的新增河道取水的污染类建设项目。</w:t>
                  </w:r>
                </w:p>
              </w:tc>
              <w:tc>
                <w:tcPr>
                  <w:tcW w:w="2279" w:type="pct"/>
                  <w:noWrap w:val="0"/>
                  <w:vAlign w:val="center"/>
                </w:tcPr>
                <w:p w14:paraId="2D93E7DC">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项目用水为</w:t>
                  </w:r>
                  <w:r>
                    <w:rPr>
                      <w:kern w:val="0"/>
                      <w:sz w:val="21"/>
                      <w:szCs w:val="21"/>
                    </w:rPr>
                    <w:t>由</w:t>
                  </w:r>
                  <w:r>
                    <w:rPr>
                      <w:bCs/>
                      <w:sz w:val="21"/>
                      <w:szCs w:val="21"/>
                    </w:rPr>
                    <w:t>市政供水系统提供</w:t>
                  </w:r>
                  <w:r>
                    <w:rPr>
                      <w:sz w:val="21"/>
                      <w:szCs w:val="21"/>
                    </w:rPr>
                    <w:t>，不涉及外环境取水。因此，本项目不设置生态专项评价。</w:t>
                  </w:r>
                </w:p>
              </w:tc>
            </w:tr>
            <w:tr w14:paraId="371B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8" w:type="pct"/>
                  <w:noWrap w:val="0"/>
                  <w:vAlign w:val="center"/>
                </w:tcPr>
                <w:p w14:paraId="6C3DBE9F">
                  <w:pPr>
                    <w:keepNext w:val="0"/>
                    <w:keepLines w:val="0"/>
                    <w:pageBreakBefore w:val="0"/>
                    <w:widowControl w:val="0"/>
                    <w:kinsoku/>
                    <w:wordWrap/>
                    <w:overflowPunct/>
                    <w:topLinePunct w:val="0"/>
                    <w:autoSpaceDE/>
                    <w:autoSpaceDN/>
                    <w:bidi w:val="0"/>
                    <w:spacing w:line="240" w:lineRule="auto"/>
                    <w:ind w:firstLine="0" w:firstLineChars="0"/>
                    <w:jc w:val="center"/>
                    <w:rPr>
                      <w:sz w:val="21"/>
                      <w:szCs w:val="21"/>
                    </w:rPr>
                  </w:pPr>
                  <w:r>
                    <w:rPr>
                      <w:sz w:val="21"/>
                      <w:szCs w:val="21"/>
                    </w:rPr>
                    <w:t>海洋</w:t>
                  </w:r>
                </w:p>
              </w:tc>
              <w:tc>
                <w:tcPr>
                  <w:tcW w:w="2021" w:type="pct"/>
                  <w:noWrap w:val="0"/>
                  <w:vAlign w:val="center"/>
                </w:tcPr>
                <w:p w14:paraId="648522B8">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直接向海排放污染物的海洋工程建设项目。</w:t>
                  </w:r>
                </w:p>
              </w:tc>
              <w:tc>
                <w:tcPr>
                  <w:tcW w:w="2279" w:type="pct"/>
                  <w:noWrap w:val="0"/>
                  <w:vAlign w:val="center"/>
                </w:tcPr>
                <w:p w14:paraId="5C233B6B">
                  <w:pPr>
                    <w:keepNext w:val="0"/>
                    <w:keepLines w:val="0"/>
                    <w:pageBreakBefore w:val="0"/>
                    <w:widowControl w:val="0"/>
                    <w:kinsoku/>
                    <w:wordWrap/>
                    <w:overflowPunct/>
                    <w:topLinePunct w:val="0"/>
                    <w:autoSpaceDE/>
                    <w:autoSpaceDN/>
                    <w:bidi w:val="0"/>
                    <w:spacing w:line="240" w:lineRule="auto"/>
                    <w:ind w:firstLine="0" w:firstLineChars="0"/>
                    <w:jc w:val="both"/>
                    <w:rPr>
                      <w:sz w:val="21"/>
                      <w:szCs w:val="21"/>
                    </w:rPr>
                  </w:pPr>
                  <w:r>
                    <w:rPr>
                      <w:sz w:val="21"/>
                      <w:szCs w:val="21"/>
                    </w:rPr>
                    <w:t>本项目不涉及向海洋</w:t>
                  </w:r>
                  <w:r>
                    <w:rPr>
                      <w:sz w:val="21"/>
                      <w:szCs w:val="21"/>
                    </w:rPr>
                    <w:cr/>
                  </w:r>
                  <w:r>
                    <w:rPr>
                      <w:sz w:val="21"/>
                      <w:szCs w:val="21"/>
                    </w:rPr>
                    <w:t>排；因此，本项目不设置海洋专项评价。</w:t>
                  </w:r>
                </w:p>
              </w:tc>
            </w:tr>
            <w:tr w14:paraId="294C3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3"/>
                  <w:noWrap w:val="0"/>
                  <w:vAlign w:val="center"/>
                </w:tcPr>
                <w:p w14:paraId="606B2F0E">
                  <w:pPr>
                    <w:pStyle w:val="67"/>
                    <w:keepNext w:val="0"/>
                    <w:keepLines w:val="0"/>
                    <w:pageBreakBefore w:val="0"/>
                    <w:widowControl w:val="0"/>
                    <w:kinsoku/>
                    <w:wordWrap/>
                    <w:overflowPunct/>
                    <w:topLinePunct w:val="0"/>
                    <w:autoSpaceDE/>
                    <w:autoSpaceDN/>
                    <w:bidi w:val="0"/>
                    <w:spacing w:line="240" w:lineRule="auto"/>
                    <w:ind w:left="0" w:right="0" w:firstLine="0" w:firstLineChars="0"/>
                    <w:jc w:val="both"/>
                    <w:rPr>
                      <w:sz w:val="21"/>
                      <w:szCs w:val="21"/>
                    </w:rPr>
                  </w:pPr>
                  <w:r>
                    <w:rPr>
                      <w:rFonts w:hint="eastAsia"/>
                      <w:sz w:val="21"/>
                      <w:szCs w:val="21"/>
                    </w:rPr>
                    <w:t>注：1、废气中有毒有害污染物指纳入《有毒有害大气污染物名录》的污染物（不包括无排放标准的污染物）。</w:t>
                  </w:r>
                </w:p>
                <w:p w14:paraId="681CAFDA">
                  <w:pPr>
                    <w:pStyle w:val="67"/>
                    <w:keepNext w:val="0"/>
                    <w:keepLines w:val="0"/>
                    <w:pageBreakBefore w:val="0"/>
                    <w:widowControl w:val="0"/>
                    <w:kinsoku/>
                    <w:wordWrap/>
                    <w:overflowPunct/>
                    <w:topLinePunct w:val="0"/>
                    <w:autoSpaceDE/>
                    <w:autoSpaceDN/>
                    <w:bidi w:val="0"/>
                    <w:spacing w:line="240" w:lineRule="auto"/>
                    <w:ind w:left="0" w:right="0" w:firstLine="0" w:firstLineChars="0"/>
                    <w:jc w:val="both"/>
                    <w:rPr>
                      <w:sz w:val="21"/>
                      <w:szCs w:val="21"/>
                    </w:rPr>
                  </w:pPr>
                  <w:r>
                    <w:rPr>
                      <w:rFonts w:hint="eastAsia"/>
                      <w:sz w:val="21"/>
                      <w:szCs w:val="21"/>
                    </w:rPr>
                    <w:t>2、环境空气保护目标指自然保护区、风景名胜区、居住区、文化区和农村地区中人群较集中的区域。</w:t>
                  </w:r>
                </w:p>
                <w:p w14:paraId="0E729ECD">
                  <w:pPr>
                    <w:keepNext w:val="0"/>
                    <w:keepLines w:val="0"/>
                    <w:pageBreakBefore w:val="0"/>
                    <w:widowControl w:val="0"/>
                    <w:kinsoku/>
                    <w:wordWrap/>
                    <w:overflowPunct/>
                    <w:topLinePunct w:val="0"/>
                    <w:autoSpaceDE/>
                    <w:autoSpaceDN/>
                    <w:bidi w:val="0"/>
                    <w:spacing w:line="240" w:lineRule="auto"/>
                    <w:ind w:firstLine="0" w:firstLineChars="0"/>
                    <w:rPr>
                      <w:sz w:val="21"/>
                      <w:szCs w:val="21"/>
                    </w:rPr>
                  </w:pPr>
                  <w:r>
                    <w:rPr>
                      <w:rFonts w:hint="eastAsia"/>
                      <w:sz w:val="21"/>
                      <w:szCs w:val="21"/>
                    </w:rPr>
                    <w:t>3、临界量及其计算方法可参考《建设项目环境风险评价技术导则》（HJ 169）附录B、附录C。</w:t>
                  </w:r>
                </w:p>
              </w:tc>
            </w:tr>
          </w:tbl>
          <w:p w14:paraId="1BDB57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Cs w:val="24"/>
                <w:lang w:val="en-US" w:eastAsia="zh-CN"/>
                <w14:textFill>
                  <w14:solidFill>
                    <w14:schemeClr w14:val="tx1"/>
                  </w14:solidFill>
                </w14:textFill>
              </w:rPr>
            </w:pPr>
          </w:p>
        </w:tc>
      </w:tr>
      <w:tr w14:paraId="5442BDF7">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343D4A0E">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规划情况</w:t>
            </w:r>
          </w:p>
        </w:tc>
        <w:tc>
          <w:tcPr>
            <w:tcW w:w="4166" w:type="pct"/>
            <w:gridSpan w:val="3"/>
            <w:vAlign w:val="center"/>
          </w:tcPr>
          <w:p w14:paraId="6742F8E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eastAsia" w:eastAsia="宋体"/>
                <w:color w:val="000000" w:themeColor="text1"/>
                <w:kern w:val="21"/>
                <w:sz w:val="24"/>
                <w:szCs w:val="24"/>
                <w:lang w:eastAsia="zh-CN"/>
                <w14:textFill>
                  <w14:solidFill>
                    <w14:schemeClr w14:val="tx1"/>
                  </w14:solidFill>
                </w14:textFill>
              </w:rPr>
            </w:pPr>
            <w:r>
              <w:rPr>
                <w:rFonts w:hint="eastAsia"/>
                <w:color w:val="000000" w:themeColor="text1"/>
                <w:kern w:val="21"/>
                <w:sz w:val="24"/>
                <w:szCs w:val="24"/>
                <w14:textFill>
                  <w14:solidFill>
                    <w14:schemeClr w14:val="tx1"/>
                  </w14:solidFill>
                </w14:textFill>
              </w:rPr>
              <w:t>1、《镇平县产业集聚区发展规划（2009-2020）》，文号：豫发改工业[2010]2035号，已到期</w:t>
            </w:r>
            <w:r>
              <w:rPr>
                <w:rFonts w:hint="eastAsia"/>
                <w:color w:val="000000" w:themeColor="text1"/>
                <w:kern w:val="21"/>
                <w:sz w:val="24"/>
                <w:szCs w:val="24"/>
                <w:lang w:eastAsia="zh-CN"/>
                <w14:textFill>
                  <w14:solidFill>
                    <w14:schemeClr w14:val="tx1"/>
                  </w14:solidFill>
                </w14:textFill>
              </w:rPr>
              <w:t>；</w:t>
            </w:r>
          </w:p>
          <w:p w14:paraId="6B9980C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eastAsia" w:eastAsia="宋体"/>
                <w:color w:val="000000" w:themeColor="text1"/>
                <w:kern w:val="21"/>
                <w:sz w:val="24"/>
                <w:szCs w:val="24"/>
                <w:lang w:eastAsia="zh-CN"/>
                <w14:textFill>
                  <w14:solidFill>
                    <w14:schemeClr w14:val="tx1"/>
                  </w14:solidFill>
                </w14:textFill>
              </w:rPr>
            </w:pPr>
            <w:r>
              <w:rPr>
                <w:rFonts w:hint="eastAsia"/>
                <w:color w:val="000000" w:themeColor="text1"/>
                <w:kern w:val="21"/>
                <w:sz w:val="24"/>
                <w:szCs w:val="24"/>
                <w14:textFill>
                  <w14:solidFill>
                    <w14:schemeClr w14:val="tx1"/>
                  </w14:solidFill>
                </w14:textFill>
              </w:rPr>
              <w:t>2、《镇平县产业集聚区发展规划调整方案（2015-2020年）》，文号：豫发改工业[2012]2359号，已到期</w:t>
            </w:r>
            <w:r>
              <w:rPr>
                <w:rFonts w:hint="eastAsia"/>
                <w:color w:val="000000" w:themeColor="text1"/>
                <w:kern w:val="21"/>
                <w:sz w:val="24"/>
                <w:szCs w:val="24"/>
                <w:lang w:eastAsia="zh-CN"/>
                <w14:textFill>
                  <w14:solidFill>
                    <w14:schemeClr w14:val="tx1"/>
                  </w14:solidFill>
                </w14:textFill>
              </w:rPr>
              <w:t>；</w:t>
            </w:r>
          </w:p>
          <w:p w14:paraId="7BDD3D7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kern w:val="21"/>
                <w:sz w:val="24"/>
                <w:szCs w:val="24"/>
                <w14:textFill>
                  <w14:solidFill>
                    <w14:schemeClr w14:val="tx1"/>
                  </w14:solidFill>
                </w14:textFill>
              </w:rPr>
              <w:t>3、《镇平县先进制造业开发区发展规划（2022-2035）》，编制中</w:t>
            </w:r>
          </w:p>
        </w:tc>
      </w:tr>
      <w:tr w14:paraId="4398F62D">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833" w:type="pct"/>
            <w:gridSpan w:val="2"/>
            <w:vAlign w:val="center"/>
          </w:tcPr>
          <w:p w14:paraId="699060DD">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规划环境影响评价情况</w:t>
            </w:r>
          </w:p>
        </w:tc>
        <w:tc>
          <w:tcPr>
            <w:tcW w:w="4166" w:type="pct"/>
            <w:gridSpan w:val="3"/>
            <w:vAlign w:val="center"/>
          </w:tcPr>
          <w:p w14:paraId="7979DA8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color w:val="000000" w:themeColor="text1"/>
                <w:kern w:val="21"/>
                <w:sz w:val="24"/>
                <w:szCs w:val="24"/>
                <w14:textFill>
                  <w14:solidFill>
                    <w14:schemeClr w14:val="tx1"/>
                  </w14:solidFill>
                </w14:textFill>
              </w:rPr>
            </w:pPr>
            <w:r>
              <w:rPr>
                <w:rFonts w:hint="eastAsia"/>
                <w:color w:val="000000" w:themeColor="text1"/>
                <w:kern w:val="21"/>
                <w:sz w:val="24"/>
                <w:szCs w:val="24"/>
                <w14:textFill>
                  <w14:solidFill>
                    <w14:schemeClr w14:val="tx1"/>
                  </w14:solidFill>
                </w14:textFill>
              </w:rPr>
              <w:t>规划环评文件：《镇平县先进制造业开发区发展规划（2022-2035）环境影响报告书》；</w:t>
            </w:r>
          </w:p>
          <w:p w14:paraId="0621DD2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color w:val="000000" w:themeColor="text1"/>
                <w:kern w:val="21"/>
                <w:sz w:val="24"/>
                <w:szCs w:val="24"/>
                <w14:textFill>
                  <w14:solidFill>
                    <w14:schemeClr w14:val="tx1"/>
                  </w14:solidFill>
                </w14:textFill>
              </w:rPr>
            </w:pPr>
            <w:r>
              <w:rPr>
                <w:rFonts w:hint="eastAsia"/>
                <w:color w:val="000000" w:themeColor="text1"/>
                <w:kern w:val="21"/>
                <w:sz w:val="24"/>
                <w:szCs w:val="24"/>
                <w14:textFill>
                  <w14:solidFill>
                    <w14:schemeClr w14:val="tx1"/>
                  </w14:solidFill>
                </w14:textFill>
              </w:rPr>
              <w:t>召集审查机关：河南省生态环境厅；</w:t>
            </w:r>
          </w:p>
          <w:p w14:paraId="267C3C7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color w:val="000000" w:themeColor="text1"/>
                <w:sz w:val="24"/>
                <w:szCs w:val="24"/>
                <w14:textFill>
                  <w14:solidFill>
                    <w14:schemeClr w14:val="tx1"/>
                  </w14:solidFill>
                </w14:textFill>
              </w:rPr>
            </w:pPr>
            <w:r>
              <w:rPr>
                <w:rFonts w:hint="eastAsia"/>
                <w:color w:val="000000" w:themeColor="text1"/>
                <w:kern w:val="21"/>
                <w:sz w:val="24"/>
                <w:szCs w:val="24"/>
                <w14:textFill>
                  <w14:solidFill>
                    <w14:schemeClr w14:val="tx1"/>
                  </w14:solidFill>
                </w14:textFill>
              </w:rPr>
              <w:t>审查文件名称及文号：河南省生态环境厅关于《镇平县先进制造业开发区发展规划（2022-2035）环境影响报告书》的审查意见（豫环函〔2024〕128号）</w:t>
            </w:r>
          </w:p>
        </w:tc>
      </w:tr>
      <w:tr w14:paraId="32B0430B">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364" w:type="pct"/>
            <w:vAlign w:val="center"/>
          </w:tcPr>
          <w:p w14:paraId="36638673">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规划及规划环境影响评价符合性分析</w:t>
            </w:r>
          </w:p>
        </w:tc>
        <w:tc>
          <w:tcPr>
            <w:tcW w:w="4635" w:type="pct"/>
            <w:gridSpan w:val="4"/>
            <w:vAlign w:val="center"/>
          </w:tcPr>
          <w:p w14:paraId="4152F3EA">
            <w:pPr>
              <w:spacing w:line="360" w:lineRule="auto"/>
              <w:ind w:firstLine="480" w:firstLineChars="200"/>
              <w:rPr>
                <w:rFonts w:hint="eastAsia"/>
                <w:b w:val="0"/>
                <w:bCs w:val="0"/>
                <w:color w:val="000000" w:themeColor="text1"/>
                <w:sz w:val="24"/>
                <w:highlight w:val="none"/>
                <w:u w:val="none" w:color="auto"/>
                <w:lang w:val="en-US" w:eastAsia="zh-CN"/>
                <w14:textFill>
                  <w14:solidFill>
                    <w14:schemeClr w14:val="tx1"/>
                  </w14:solidFill>
                </w14:textFill>
              </w:rPr>
            </w:pPr>
            <w:r>
              <w:rPr>
                <w:rFonts w:hint="eastAsia"/>
                <w:b w:val="0"/>
                <w:bCs w:val="0"/>
                <w:color w:val="000000" w:themeColor="text1"/>
                <w:sz w:val="24"/>
                <w:highlight w:val="none"/>
                <w:u w:val="none" w:color="auto"/>
                <w:lang w:val="en-US" w:eastAsia="zh-CN"/>
                <w14:textFill>
                  <w14:solidFill>
                    <w14:schemeClr w14:val="tx1"/>
                  </w14:solidFill>
                </w14:textFill>
              </w:rPr>
              <w:t>镇平县产业集聚区位于镇平县城西北区域，是河南省政府首批确认的重点发展和对外开放的产业集聚区。该产业集聚区于2010年已由河南省发展和改革委员会以豫发改工业[2010]2035号文给予批复，批复总面积16.4km</w:t>
            </w:r>
            <w:r>
              <w:rPr>
                <w:rFonts w:hint="eastAsia"/>
                <w:b w:val="0"/>
                <w:bCs w:val="0"/>
                <w:color w:val="000000" w:themeColor="text1"/>
                <w:sz w:val="24"/>
                <w:highlight w:val="none"/>
                <w:u w:val="none" w:color="auto"/>
                <w:vertAlign w:val="superscript"/>
                <w:lang w:val="en-US" w:eastAsia="zh-CN"/>
                <w14:textFill>
                  <w14:solidFill>
                    <w14:schemeClr w14:val="tx1"/>
                  </w14:solidFill>
                </w14:textFill>
              </w:rPr>
              <w:t>2</w:t>
            </w:r>
            <w:r>
              <w:rPr>
                <w:rFonts w:hint="eastAsia"/>
                <w:b w:val="0"/>
                <w:bCs w:val="0"/>
                <w:color w:val="000000" w:themeColor="text1"/>
                <w:sz w:val="24"/>
                <w:highlight w:val="none"/>
                <w:u w:val="none" w:color="auto"/>
                <w:lang w:val="en-US" w:eastAsia="zh-CN"/>
                <w14:textFill>
                  <w14:solidFill>
                    <w14:schemeClr w14:val="tx1"/>
                  </w14:solidFill>
                </w14:textFill>
              </w:rPr>
              <w:t>，批复主导产业为机电制造、针纺织和玉雕产业，批复规划时间为2019~2020年；该规划环境影响报告书于2010年10月22日通过河南省环境保护厅的审查（豫环审[2010]247号）。</w:t>
            </w:r>
          </w:p>
          <w:p w14:paraId="64FC0895">
            <w:pPr>
              <w:spacing w:line="360" w:lineRule="auto"/>
              <w:ind w:firstLine="480" w:firstLineChars="200"/>
              <w:rPr>
                <w:rFonts w:hint="eastAsia"/>
                <w:b w:val="0"/>
                <w:bCs w:val="0"/>
                <w:color w:val="000000" w:themeColor="text1"/>
                <w:sz w:val="24"/>
                <w:highlight w:val="none"/>
                <w:u w:val="none" w:color="auto"/>
                <w:lang w:val="en-US" w:eastAsia="zh-CN"/>
                <w14:textFill>
                  <w14:solidFill>
                    <w14:schemeClr w14:val="tx1"/>
                  </w14:solidFill>
                </w14:textFill>
              </w:rPr>
            </w:pPr>
            <w:r>
              <w:rPr>
                <w:rFonts w:hint="eastAsia"/>
                <w:b w:val="0"/>
                <w:bCs w:val="0"/>
                <w:color w:val="000000" w:themeColor="text1"/>
                <w:sz w:val="24"/>
                <w:highlight w:val="none"/>
                <w:u w:val="none" w:color="auto"/>
                <w:lang w:val="en-US" w:eastAsia="zh-CN"/>
                <w14:textFill>
                  <w14:solidFill>
                    <w14:schemeClr w14:val="tx1"/>
                  </w14:solidFill>
                </w14:textFill>
              </w:rPr>
              <w:t>2012年以来，按照省政府统一安排，为充分利用国家土地利用总体规划完善后续工作的契机，扩大产业集聚区后续发展空间，一大批产业集聚区对已批复过的发展规划进行了调整，根据《河南省环境保护厅关于加快产业集聚区规划调整环境影响评价工作的通知》（豫环文[2013]51号），全省确定了三批共126个产业集聚区规划调整方案，镇平县产业集聚区是其中之一。根据河南省发展和改革委员会于2012年12月13日对镇平县产业集聚区规划调整方案的批复（豫发改工业[2012]2359号），调整后规划总面积19.8平方公里：沿宁西铁路、规划207国道、九曲河和赵河生态绿化廊道，规划建设两个公共设施服务中心，机电、玉雕、仓储物流、综合产业和综合生活园区，形成“两心、四廊、四片、多园”的空间结构；该规划环境影响报告书于2016年11月8日通过镇平县环境保护局的审查（宛镇环审[2016]79号）。</w:t>
            </w:r>
          </w:p>
          <w:p w14:paraId="23BA37B2">
            <w:pPr>
              <w:spacing w:line="360" w:lineRule="auto"/>
              <w:ind w:firstLine="480" w:firstLineChars="200"/>
              <w:rPr>
                <w:rFonts w:hint="eastAsia"/>
                <w:b w:val="0"/>
                <w:bCs w:val="0"/>
                <w:color w:val="000000" w:themeColor="text1"/>
                <w:sz w:val="24"/>
                <w:highlight w:val="none"/>
                <w:u w:val="none" w:color="auto"/>
                <w:lang w:val="en-US" w:eastAsia="zh-CN"/>
                <w14:textFill>
                  <w14:solidFill>
                    <w14:schemeClr w14:val="tx1"/>
                  </w14:solidFill>
                </w14:textFill>
              </w:rPr>
            </w:pPr>
            <w:r>
              <w:rPr>
                <w:rFonts w:hint="eastAsia"/>
                <w:b w:val="0"/>
                <w:bCs w:val="0"/>
                <w:color w:val="000000" w:themeColor="text1"/>
                <w:sz w:val="24"/>
                <w:highlight w:val="none"/>
                <w:u w:val="none" w:color="auto"/>
                <w:lang w:val="en-US" w:eastAsia="zh-CN"/>
                <w14:textFill>
                  <w14:solidFill>
                    <w14:schemeClr w14:val="tx1"/>
                  </w14:solidFill>
                </w14:textFill>
              </w:rPr>
              <w:t>2020年4月，河南省产业集聚区联席会议办公室印发《2020年河南省推进产业集聚区高质量发展工作方案》（以下简称《工作方案》），《工作方案》指出：各产业集聚区根据批复的市规划纲要，抓紧开展总体发展规划研究和编制工作。原《镇平县产业集聚区发展规划（2019-2020）》于2020年底到期，为落实河南省发改委有关开发区的开发建设，镇平县在原有产业集聚区范围基础上对开发区范围进行整合（豫发改工业函[2022]23号），根据豫发改工业函[2022]23号的整合要求，整合后规划名称发生变化，为《镇平县先进制造业开发区发展规划（2022-2035）》，目前新规划正在编制中，本次评价引用《镇平县先进制造业开发区发展规划（2022-2035）环境影响报告书》进行分析和评价。</w:t>
            </w:r>
          </w:p>
          <w:p w14:paraId="75A71D1B">
            <w:pPr>
              <w:spacing w:line="360" w:lineRule="auto"/>
              <w:ind w:left="0" w:leftChars="0" w:firstLine="0" w:firstLineChars="0"/>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1、《镇平县先进制造业开发区发展规划（2022-2035）》</w:t>
            </w:r>
          </w:p>
          <w:p w14:paraId="3948AF5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（1）规划范围</w:t>
            </w:r>
          </w:p>
          <w:p w14:paraId="3300496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四至边界：本次规划范围为经省政府同意并批复的镇平县先进制造业开发区整合后的四至边界，总面积12.04km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共分三个片区，片区1（铁路北片区）：东至航天大道，西至玉龙路，南至宁西铁路，北至S330、北环路，边界规模605.57ha；片区2（铁路南片区）：东至航天大道、天工路，西至玉源路，南至南外环路，北至杏山大道，边界规模451.70ha；片区3（东部片区）：东至东外环路，西至东三里河，南至平安大道，北至建设大道，边界规模146.77ha。</w:t>
            </w:r>
          </w:p>
          <w:p w14:paraId="5EBD598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（2）规划时限</w:t>
            </w:r>
          </w:p>
          <w:p w14:paraId="5B6F3D1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规划期限为2022~2035年，近期至2025年，远期至2035年。</w:t>
            </w:r>
          </w:p>
          <w:p w14:paraId="427C058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w:t>
            </w:r>
            <w:r>
              <w:rPr>
                <w:rFonts w:hint="eastAsia"/>
                <w:color w:val="000000" w:themeColor="text1"/>
                <w:sz w:val="24"/>
                <w:lang w:val="en-US" w:eastAsia="zh-CN"/>
                <w14:textFill>
                  <w14:solidFill>
                    <w14:schemeClr w14:val="tx1"/>
                  </w14:solidFill>
                </w14:textFill>
              </w:rPr>
              <w:t>主导产业选择和</w:t>
            </w:r>
            <w:r>
              <w:rPr>
                <w:color w:val="000000" w:themeColor="text1"/>
                <w:sz w:val="24"/>
                <w14:textFill>
                  <w14:solidFill>
                    <w14:schemeClr w14:val="tx1"/>
                  </w14:solidFill>
                </w14:textFill>
              </w:rPr>
              <w:t>发展定位</w:t>
            </w:r>
          </w:p>
          <w:p w14:paraId="0516EB01">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主导产业选择：</w:t>
            </w:r>
            <w:r>
              <w:rPr>
                <w:color w:val="000000" w:themeColor="text1"/>
                <w:sz w:val="24"/>
                <w14:textFill>
                  <w14:solidFill>
                    <w14:schemeClr w14:val="tx1"/>
                  </w14:solidFill>
                </w14:textFill>
              </w:rPr>
              <w:t>2022年2月，省发改委《关于同意南阳市开发区整合方案的函》（豫发改工业函〔2022〕23号）同意镇平县先进制造业开发区的整合方案，在原镇平县产业集聚区范围上进行整合，绿色食品、高端装备制造、非金属矿物制品为主导产业。</w:t>
            </w:r>
          </w:p>
          <w:p w14:paraId="38C47CD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发展定位</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结合镇平县实际，未来开发区将成为中部地区重要的装备制造基地、豫西南绿色食品加工产业园、豫西南重要的非金属制品产业基地。</w:t>
            </w:r>
          </w:p>
          <w:p w14:paraId="2BA34533">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（4）用地规划</w:t>
            </w:r>
          </w:p>
          <w:p w14:paraId="79DDA2ED">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根据省政府发布《关于推动河南省开发区高质量发展的指导意见》中要求，强化产业用地保障，新增建设用地最大限度向开发区倾斜，按照产业用地占比需超过60</w:t>
            </w:r>
            <w:r>
              <w:rPr>
                <w:rFonts w:hint="eastAsia"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的要求，为开发区扩区和产业发展留足空间。规划范围内现状工业用地459.57公顷，本次规划工业用地702.57公顷，仓储用地25.42公顷，占县城开发区60.68%。</w:t>
            </w:r>
          </w:p>
          <w:p w14:paraId="3760D27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）功能结构</w:t>
            </w:r>
          </w:p>
          <w:p w14:paraId="2999167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结合开发区的功能要求和产业布局，本着统筹兼顾、综合协调的原则确定了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一轴一心七组团</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的空间结构。</w:t>
            </w:r>
          </w:p>
          <w:p w14:paraId="22CFBCD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轴：即产业发展轴。规划沿玉都大道串联各个产业园区，结合便利交通优势，形成县城开发区优势明显、特色突出的产业发展轴；同时，对接周边县市发展，形成差异发展优势，避免同类竞争，提升园区持续发展竞争力。</w:t>
            </w:r>
          </w:p>
          <w:p w14:paraId="2D84290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一心：即是县城开发区综合服务中心。在建设大道以北、玉都大道以东，结合现状规划一处综合服务中心，安排科研中心、便民服务中心、商务办公、商业金融站等重要功能性用地，形成园区功能核心。</w:t>
            </w:r>
          </w:p>
          <w:p w14:paraId="01E1025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七组团：即开发区根据不同的功能需求和工业门类的需求，以及用地内自然条件与交通设施的分割，将开发区划分成</w:t>
            </w:r>
            <w:r>
              <w:rPr>
                <w:rFonts w:hint="eastAsia"/>
                <w:color w:val="000000" w:themeColor="text1"/>
                <w:sz w:val="24"/>
                <w:lang w:val="en-US" w:eastAsia="zh-CN"/>
                <w14:textFill>
                  <w14:solidFill>
                    <w14:schemeClr w14:val="tx1"/>
                  </w14:solidFill>
                </w14:textFill>
              </w:rPr>
              <w:t>七</w:t>
            </w:r>
            <w:r>
              <w:rPr>
                <w:color w:val="000000" w:themeColor="text1"/>
                <w:sz w:val="24"/>
                <w14:textFill>
                  <w14:solidFill>
                    <w14:schemeClr w14:val="tx1"/>
                  </w14:solidFill>
                </w14:textFill>
              </w:rPr>
              <w:t>大功能分区，即新型建材产业园、玉石智谷产业园、优质提升园区、高端装备制造产业园、绿色食品产业园、医药健康产业园、产城融合区。</w:t>
            </w:r>
          </w:p>
          <w:p w14:paraId="1A66303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）功能分区</w:t>
            </w:r>
          </w:p>
          <w:p w14:paraId="58B666D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开发区形成以新型建材产业园、高端装备制造产业园、绿色食品产业园、玉石智谷产业园和医药健康产业园五个主要园区，配套产城融合区和优化提升产业园（现状建成为主），形成</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5+2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区中园布局。做强主导、培育现代新兴，突出镇平特色；重点发展新型建材、方便食品制造、新型电子元器件及装备制造，淘汰落后产能。支持传统玉文化、纺织针织品牌建设。积极发展现代服务业、培育高端服务业，推进创新转型。</w:t>
            </w:r>
          </w:p>
          <w:p w14:paraId="4ADD3A96">
            <w:pPr>
              <w:spacing w:line="360" w:lineRule="auto"/>
              <w:ind w:firstLine="480" w:firstLineChars="200"/>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（7）</w:t>
            </w:r>
            <w:r>
              <w:rPr>
                <w:rFonts w:hint="eastAsia"/>
                <w:color w:val="000000" w:themeColor="text1"/>
                <w:sz w:val="24"/>
                <w14:textFill>
                  <w14:solidFill>
                    <w14:schemeClr w14:val="tx1"/>
                  </w14:solidFill>
                </w14:textFill>
              </w:rPr>
              <w:t>项目与《镇平县先进制造业开发区发展规划（2022-2035）》项目准入标准和产业准入负面清单相符性分析见下表</w:t>
            </w:r>
            <w:r>
              <w:rPr>
                <w:rFonts w:hint="eastAsia"/>
                <w:color w:val="000000" w:themeColor="text1"/>
                <w:sz w:val="24"/>
                <w:lang w:eastAsia="zh-CN"/>
                <w14:textFill>
                  <w14:solidFill>
                    <w14:schemeClr w14:val="tx1"/>
                  </w14:solidFill>
                </w14:textFill>
              </w:rPr>
              <w:t>。</w:t>
            </w:r>
          </w:p>
          <w:p w14:paraId="0FB7926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表1-</w:t>
            </w:r>
            <w:r>
              <w:rPr>
                <w:rFonts w:hint="eastAsia" w:eastAsia="黑体" w:cs="Times New Roman"/>
                <w:b w:val="0"/>
                <w:bCs w:val="0"/>
                <w:color w:val="000000" w:themeColor="text1"/>
                <w:sz w:val="24"/>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14:textFill>
                  <w14:solidFill>
                    <w14:schemeClr w14:val="tx1"/>
                  </w14:solidFill>
                </w14:textFill>
              </w:rPr>
              <w:t xml:space="preserve"> 项目《镇平县先进制造业开发区发展规划（2022-2035）》项目准入标准和产业准入负面清单相符性分析情况表</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9"/>
              <w:gridCol w:w="3825"/>
              <w:gridCol w:w="2771"/>
              <w:gridCol w:w="728"/>
            </w:tblGrid>
            <w:tr w14:paraId="1BF69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33" w:type="pct"/>
                  <w:gridSpan w:val="2"/>
                  <w:vAlign w:val="center"/>
                </w:tcPr>
                <w:p w14:paraId="768640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类别</w:t>
                  </w:r>
                </w:p>
              </w:tc>
              <w:tc>
                <w:tcPr>
                  <w:tcW w:w="1716" w:type="pct"/>
                  <w:vAlign w:val="center"/>
                </w:tcPr>
                <w:p w14:paraId="0C7177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项目情况</w:t>
                  </w:r>
                </w:p>
              </w:tc>
              <w:tc>
                <w:tcPr>
                  <w:tcW w:w="450" w:type="pct"/>
                  <w:vAlign w:val="center"/>
                </w:tcPr>
                <w:p w14:paraId="7E3C37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相符性</w:t>
                  </w:r>
                </w:p>
              </w:tc>
            </w:tr>
            <w:tr w14:paraId="676D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restart"/>
                  <w:vAlign w:val="center"/>
                </w:tcPr>
                <w:p w14:paraId="1027D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项目准入标准</w:t>
                  </w:r>
                </w:p>
              </w:tc>
              <w:tc>
                <w:tcPr>
                  <w:tcW w:w="2368" w:type="pct"/>
                  <w:vAlign w:val="center"/>
                </w:tcPr>
                <w:p w14:paraId="703195B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根据省市及我县招商引资相关文件要求，新入住项目准入标准为：新建项目投资强度应达到</w:t>
                  </w:r>
                  <w:r>
                    <w:rPr>
                      <w:rFonts w:hint="default"/>
                      <w:color w:val="000000" w:themeColor="text1"/>
                      <w:sz w:val="21"/>
                      <w:szCs w:val="21"/>
                      <w:vertAlign w:val="baseline"/>
                      <w:lang w:val="en-US" w:eastAsia="zh-CN"/>
                      <w14:textFill>
                        <w14:solidFill>
                          <w14:schemeClr w14:val="tx1"/>
                        </w14:solidFill>
                      </w14:textFill>
                    </w:rPr>
                    <w:t>234</w:t>
                  </w:r>
                  <w:r>
                    <w:rPr>
                      <w:rFonts w:hint="eastAsia"/>
                      <w:color w:val="000000" w:themeColor="text1"/>
                      <w:sz w:val="21"/>
                      <w:szCs w:val="21"/>
                      <w:vertAlign w:val="baseline"/>
                      <w:lang w:val="en-US" w:eastAsia="zh-CN"/>
                      <w14:textFill>
                        <w14:solidFill>
                          <w14:schemeClr w14:val="tx1"/>
                        </w14:solidFill>
                      </w14:textFill>
                    </w:rPr>
                    <w:t>万</w:t>
                  </w:r>
                  <w:r>
                    <w:rPr>
                      <w:rFonts w:hint="default"/>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亩以上，容积率应达到</w:t>
                  </w:r>
                  <w:r>
                    <w:rPr>
                      <w:rFonts w:hint="default"/>
                      <w:color w:val="000000" w:themeColor="text1"/>
                      <w:sz w:val="21"/>
                      <w:szCs w:val="21"/>
                      <w:vertAlign w:val="baseline"/>
                      <w:lang w:val="en-US" w:eastAsia="zh-CN"/>
                      <w14:textFill>
                        <w14:solidFill>
                          <w14:schemeClr w14:val="tx1"/>
                        </w14:solidFill>
                      </w14:textFill>
                    </w:rPr>
                    <w:t>1.0</w:t>
                  </w:r>
                  <w:r>
                    <w:rPr>
                      <w:rFonts w:hint="eastAsia"/>
                      <w:color w:val="000000" w:themeColor="text1"/>
                      <w:sz w:val="21"/>
                      <w:szCs w:val="21"/>
                      <w:vertAlign w:val="baseline"/>
                      <w:lang w:val="en-US" w:eastAsia="zh-CN"/>
                      <w14:textFill>
                        <w14:solidFill>
                          <w14:schemeClr w14:val="tx1"/>
                        </w14:solidFill>
                      </w14:textFill>
                    </w:rPr>
                    <w:t>以上；项目投产后亩均税收达到</w:t>
                  </w:r>
                  <w:r>
                    <w:rPr>
                      <w:rFonts w:hint="default"/>
                      <w:color w:val="000000" w:themeColor="text1"/>
                      <w:sz w:val="21"/>
                      <w:szCs w:val="21"/>
                      <w:vertAlign w:val="baseline"/>
                      <w:lang w:val="en-US" w:eastAsia="zh-CN"/>
                      <w14:textFill>
                        <w14:solidFill>
                          <w14:schemeClr w14:val="tx1"/>
                        </w14:solidFill>
                      </w14:textFill>
                    </w:rPr>
                    <w:t>15</w:t>
                  </w:r>
                  <w:r>
                    <w:rPr>
                      <w:rFonts w:hint="eastAsia"/>
                      <w:color w:val="000000" w:themeColor="text1"/>
                      <w:sz w:val="21"/>
                      <w:szCs w:val="21"/>
                      <w:vertAlign w:val="baseline"/>
                      <w:lang w:val="en-US" w:eastAsia="zh-CN"/>
                      <w14:textFill>
                        <w14:solidFill>
                          <w14:schemeClr w14:val="tx1"/>
                        </w14:solidFill>
                      </w14:textFill>
                    </w:rPr>
                    <w:t>万</w:t>
                  </w:r>
                  <w:r>
                    <w:rPr>
                      <w:rFonts w:hint="default"/>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亩以上，并严格落实规划环评及批复文件要求。</w:t>
                  </w:r>
                </w:p>
              </w:tc>
              <w:tc>
                <w:tcPr>
                  <w:tcW w:w="1716" w:type="pct"/>
                  <w:vAlign w:val="center"/>
                </w:tcPr>
                <w:p w14:paraId="42549C2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yellow"/>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本项目为新建项目，项目占地面积为7000平方米，总投资为5300万元，则项目投资强度为505万/亩；建筑面积为7000平方米，容积率达到1.0；项目投产后严格落实规划环评及批复文件要求；因此本项目满足准入标准。</w:t>
                  </w:r>
                </w:p>
              </w:tc>
              <w:tc>
                <w:tcPr>
                  <w:tcW w:w="450" w:type="pct"/>
                  <w:vAlign w:val="center"/>
                </w:tcPr>
                <w:p w14:paraId="52F73F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18B6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continue"/>
                  <w:vAlign w:val="center"/>
                </w:tcPr>
                <w:p w14:paraId="60EBAC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p>
              </w:tc>
              <w:tc>
                <w:tcPr>
                  <w:tcW w:w="2368" w:type="pct"/>
                  <w:vAlign w:val="center"/>
                </w:tcPr>
                <w:p w14:paraId="0BB5522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严格落实《河南省开发区新建（改建、扩建）项目控制指标及基准值》要求。具体新入园区项目应结合具体行业分类，严格把控亩均投资强度、亩均税收、容积率、建筑系数。镇平县先进制造业新入驻项目亩均投资强度、亩均税收可按开发区项目控制指标及基准值修正系数</w:t>
                  </w:r>
                  <w:r>
                    <w:rPr>
                      <w:color w:val="000000" w:themeColor="text1"/>
                      <w:sz w:val="21"/>
                      <w:szCs w:val="21"/>
                      <w:vertAlign w:val="baseline"/>
                      <w:lang w:val="en-US" w:eastAsia="zh-CN"/>
                      <w14:textFill>
                        <w14:solidFill>
                          <w14:schemeClr w14:val="tx1"/>
                        </w14:solidFill>
                      </w14:textFill>
                    </w:rPr>
                    <w:t>0.7</w:t>
                  </w:r>
                  <w:r>
                    <w:rPr>
                      <w:rFonts w:hint="eastAsia"/>
                      <w:color w:val="000000" w:themeColor="text1"/>
                      <w:sz w:val="21"/>
                      <w:szCs w:val="21"/>
                      <w:vertAlign w:val="baseline"/>
                      <w:lang w:val="en-US" w:eastAsia="zh-CN"/>
                      <w14:textFill>
                        <w14:solidFill>
                          <w14:schemeClr w14:val="tx1"/>
                        </w14:solidFill>
                      </w14:textFill>
                    </w:rPr>
                    <w:t>执行。</w:t>
                  </w:r>
                </w:p>
              </w:tc>
              <w:tc>
                <w:tcPr>
                  <w:tcW w:w="1716" w:type="pct"/>
                  <w:vAlign w:val="center"/>
                </w:tcPr>
                <w:p w14:paraId="628A345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yellow"/>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项目建成后严格落实《河南省开发区新建（改建、扩建）项目控制指标及基准值》要求。</w:t>
                  </w:r>
                </w:p>
              </w:tc>
              <w:tc>
                <w:tcPr>
                  <w:tcW w:w="450" w:type="pct"/>
                  <w:vAlign w:val="center"/>
                </w:tcPr>
                <w:p w14:paraId="12511C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7E8BE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continue"/>
                  <w:vAlign w:val="center"/>
                </w:tcPr>
                <w:p w14:paraId="5913A1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p>
              </w:tc>
              <w:tc>
                <w:tcPr>
                  <w:tcW w:w="2368" w:type="pct"/>
                  <w:vAlign w:val="center"/>
                </w:tcPr>
                <w:p w14:paraId="43530B81">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符合条件的战略性新兴产业项目，可采用“一事一议”方式确定指标值。</w:t>
                  </w:r>
                </w:p>
              </w:tc>
              <w:tc>
                <w:tcPr>
                  <w:tcW w:w="1716" w:type="pct"/>
                  <w:vAlign w:val="center"/>
                </w:tcPr>
                <w:p w14:paraId="30E9E58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本项目不属于战略性新兴产业项目。</w:t>
                  </w:r>
                </w:p>
              </w:tc>
              <w:tc>
                <w:tcPr>
                  <w:tcW w:w="450" w:type="pct"/>
                  <w:vAlign w:val="center"/>
                </w:tcPr>
                <w:p w14:paraId="104CF1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0049C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continue"/>
                  <w:vAlign w:val="center"/>
                </w:tcPr>
                <w:p w14:paraId="33F20E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p>
              </w:tc>
              <w:tc>
                <w:tcPr>
                  <w:tcW w:w="2368" w:type="pct"/>
                  <w:vAlign w:val="center"/>
                </w:tcPr>
                <w:p w14:paraId="4FA22606">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项目选址和入驻应符合“三线一单”管控、规划环评要求，符合国家和地方相应污染物排放标准和总量控制要求。</w:t>
                  </w:r>
                </w:p>
              </w:tc>
              <w:tc>
                <w:tcPr>
                  <w:tcW w:w="1716" w:type="pct"/>
                  <w:vAlign w:val="center"/>
                </w:tcPr>
                <w:p w14:paraId="1177666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yellow"/>
                      <w:vertAlign w:val="baseline"/>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项目选址和入驻符合“三线一单”管控、规划环评要求，符合国家和地方相应污染物排放标准和总量控制要求。</w:t>
                  </w:r>
                </w:p>
              </w:tc>
              <w:tc>
                <w:tcPr>
                  <w:tcW w:w="450" w:type="pct"/>
                  <w:vAlign w:val="center"/>
                </w:tcPr>
                <w:p w14:paraId="542795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7200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restart"/>
                  <w:vAlign w:val="center"/>
                </w:tcPr>
                <w:p w14:paraId="421D8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产业准入负面清单</w:t>
                  </w:r>
                </w:p>
              </w:tc>
              <w:tc>
                <w:tcPr>
                  <w:tcW w:w="2368" w:type="pct"/>
                  <w:vAlign w:val="center"/>
                </w:tcPr>
                <w:p w14:paraId="68B9024E">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禁止石化、化学制药、煤化工、制浆造纸项目入驻开发区，入驻项目应遵循循环经济理念，实施清洁生产，延长产业链。</w:t>
                  </w:r>
                </w:p>
              </w:tc>
              <w:tc>
                <w:tcPr>
                  <w:tcW w:w="1716" w:type="pct"/>
                  <w:vAlign w:val="center"/>
                </w:tcPr>
                <w:p w14:paraId="0A904D0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本项目不属于石化、化学制药、煤化工、制浆造纸项目，项目建成后遵循循环经济理念，实施清洁生产，延长产业链。</w:t>
                  </w:r>
                </w:p>
              </w:tc>
              <w:tc>
                <w:tcPr>
                  <w:tcW w:w="450" w:type="pct"/>
                  <w:vAlign w:val="center"/>
                </w:tcPr>
                <w:p w14:paraId="2E09FE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4732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vMerge w:val="continue"/>
                  <w:vAlign w:val="center"/>
                </w:tcPr>
                <w:p w14:paraId="53C373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p>
              </w:tc>
              <w:tc>
                <w:tcPr>
                  <w:tcW w:w="2368" w:type="pct"/>
                  <w:vAlign w:val="center"/>
                </w:tcPr>
                <w:p w14:paraId="6B7FB30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严格落实《河南省开发区新建（改建、扩建）项目控制指标及基准值》要求。凡列入国家发改委、自然资源部发布的《禁止用地项目目录》中的建设项目和低效用地项目不准入驻开发区。</w:t>
                  </w:r>
                </w:p>
              </w:tc>
              <w:tc>
                <w:tcPr>
                  <w:tcW w:w="1716" w:type="pct"/>
                  <w:vAlign w:val="center"/>
                </w:tcPr>
                <w:p w14:paraId="0E2C84C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项目建成后严格落实《河南省开发区新建（改建、扩建）项目控制指标及基准值》要求；且项目不属于列入国家发改委、自然资源部发布的《禁止用地项目目录》中的建设项目和低效用地项目。</w:t>
                  </w:r>
                </w:p>
              </w:tc>
              <w:tc>
                <w:tcPr>
                  <w:tcW w:w="450" w:type="pct"/>
                  <w:vAlign w:val="center"/>
                </w:tcPr>
                <w:p w14:paraId="16593A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bl>
          <w:p w14:paraId="66C8FBC0">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项目选址位于</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r>
              <w:rPr>
                <w:rFonts w:hint="eastAsia"/>
                <w:color w:val="000000" w:themeColor="text1"/>
                <w:sz w:val="24"/>
                <w:highlight w:val="none"/>
                <w14:textFill>
                  <w14:solidFill>
                    <w14:schemeClr w14:val="tx1"/>
                  </w14:solidFill>
                </w14:textFill>
              </w:rPr>
              <w:t>，属于</w:t>
            </w:r>
            <w:r>
              <w:rPr>
                <w:rFonts w:hint="eastAsia"/>
                <w:color w:val="000000" w:themeColor="text1"/>
                <w:sz w:val="24"/>
                <w:highlight w:val="none"/>
                <w:lang w:val="en-US" w:eastAsia="zh-CN"/>
                <w14:textFill>
                  <w14:solidFill>
                    <w14:schemeClr w14:val="tx1"/>
                  </w14:solidFill>
                </w14:textFill>
              </w:rPr>
              <w:t>镇平县先进制造业开发区</w:t>
            </w:r>
            <w:r>
              <w:rPr>
                <w:color w:val="000000" w:themeColor="text1"/>
                <w:sz w:val="24"/>
                <w:highlight w:val="none"/>
                <w14:textFill>
                  <w14:solidFill>
                    <w14:schemeClr w14:val="tx1"/>
                  </w14:solidFill>
                </w14:textFill>
              </w:rPr>
              <w:t>片区2（铁路南片区）</w:t>
            </w:r>
            <w:r>
              <w:rPr>
                <w:rFonts w:hint="eastAsia"/>
                <w:color w:val="000000" w:themeColor="text1"/>
                <w:sz w:val="24"/>
                <w:highlight w:val="none"/>
                <w14:textFill>
                  <w14:solidFill>
                    <w14:schemeClr w14:val="tx1"/>
                  </w14:solidFill>
                </w14:textFill>
              </w:rPr>
              <w:t>范围，</w:t>
            </w:r>
            <w:r>
              <w:rPr>
                <w:rFonts w:hint="eastAsia"/>
                <w:color w:val="000000" w:themeColor="text1"/>
                <w:sz w:val="24"/>
                <w:highlight w:val="none"/>
                <w:lang w:val="en-US" w:eastAsia="zh-CN"/>
                <w14:textFill>
                  <w14:solidFill>
                    <w14:schemeClr w14:val="tx1"/>
                  </w14:solidFill>
                </w14:textFill>
              </w:rPr>
              <w:t>位于</w:t>
            </w:r>
            <w:r>
              <w:rPr>
                <w:color w:val="000000" w:themeColor="text1"/>
                <w:sz w:val="24"/>
                <w:highlight w:val="none"/>
                <w14:textFill>
                  <w14:solidFill>
                    <w14:schemeClr w14:val="tx1"/>
                  </w14:solidFill>
                </w14:textFill>
              </w:rPr>
              <w:t>片区2（铁路南片区）</w:t>
            </w:r>
            <w:r>
              <w:rPr>
                <w:rFonts w:hint="eastAsia"/>
                <w:color w:val="000000" w:themeColor="text1"/>
                <w:sz w:val="24"/>
                <w:highlight w:val="none"/>
                <w:lang w:val="en-US" w:eastAsia="zh-CN"/>
                <w14:textFill>
                  <w14:solidFill>
                    <w14:schemeClr w14:val="tx1"/>
                  </w14:solidFill>
                </w14:textFill>
              </w:rPr>
              <w:t>中的高端装备制造产业园（南区），属于高端装备制造产业园（南区）重点发展产业，选址环境合理；项目</w:t>
            </w:r>
            <w:r>
              <w:rPr>
                <w:rFonts w:hint="eastAsia"/>
                <w:color w:val="000000" w:themeColor="text1"/>
                <w:sz w:val="24"/>
                <w:highlight w:val="none"/>
                <w14:textFill>
                  <w14:solidFill>
                    <w14:schemeClr w14:val="tx1"/>
                  </w14:solidFill>
                </w14:textFill>
              </w:rPr>
              <w:t>主要生产</w:t>
            </w:r>
            <w:r>
              <w:rPr>
                <w:rFonts w:hint="eastAsia"/>
                <w:color w:val="000000" w:themeColor="text1"/>
                <w:sz w:val="24"/>
                <w:highlight w:val="none"/>
                <w:lang w:val="en-US" w:eastAsia="zh-CN"/>
                <w14:textFill>
                  <w14:solidFill>
                    <w14:schemeClr w14:val="tx1"/>
                  </w14:solidFill>
                </w14:textFill>
              </w:rPr>
              <w:t>铸件</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不属于石化、化学制药、煤化工、制浆造纸等禁止入驻开发区项目，本项目</w:t>
            </w:r>
            <w:r>
              <w:rPr>
                <w:rFonts w:hint="eastAsia"/>
                <w:color w:val="000000" w:themeColor="text1"/>
                <w:sz w:val="24"/>
                <w:highlight w:val="none"/>
                <w14:textFill>
                  <w14:solidFill>
                    <w14:schemeClr w14:val="tx1"/>
                  </w14:solidFill>
                </w14:textFill>
              </w:rPr>
              <w:t>属于《产业结构调整指导目录（2024年本）》</w:t>
            </w:r>
            <w:r>
              <w:rPr>
                <w:rFonts w:hint="eastAsia"/>
                <w:color w:val="000000" w:themeColor="text1"/>
                <w:sz w:val="24"/>
                <w:highlight w:val="none"/>
                <w:lang w:val="en-US" w:eastAsia="zh-CN"/>
                <w14:textFill>
                  <w14:solidFill>
                    <w14:schemeClr w14:val="tx1"/>
                  </w14:solidFill>
                </w14:textFill>
              </w:rPr>
              <w:t>中</w:t>
            </w:r>
            <w:r>
              <w:rPr>
                <w:rFonts w:hint="eastAsia"/>
                <w:color w:val="000000" w:themeColor="text1"/>
                <w:sz w:val="24"/>
                <w:highlight w:val="none"/>
                <w14:textFill>
                  <w14:solidFill>
                    <w14:schemeClr w14:val="tx1"/>
                  </w14:solidFill>
                </w14:textFill>
              </w:rPr>
              <w:t>鼓励类项目，</w:t>
            </w:r>
            <w:r>
              <w:rPr>
                <w:rFonts w:hint="eastAsia"/>
                <w:color w:val="000000" w:themeColor="text1"/>
                <w:sz w:val="24"/>
                <w:highlight w:val="none"/>
                <w:lang w:val="en-US" w:eastAsia="zh-CN"/>
                <w14:textFill>
                  <w14:solidFill>
                    <w14:schemeClr w14:val="tx1"/>
                  </w14:solidFill>
                </w14:textFill>
              </w:rPr>
              <w:t>不属于列入国家发改委、自然资源部发布的《禁止用地项目目录》中的建设项目和低效用地项目，</w:t>
            </w:r>
            <w:r>
              <w:rPr>
                <w:rFonts w:hint="eastAsia"/>
                <w:color w:val="000000" w:themeColor="text1"/>
                <w:sz w:val="24"/>
                <w:highlight w:val="none"/>
                <w14:textFill>
                  <w14:solidFill>
                    <w14:schemeClr w14:val="tx1"/>
                  </w14:solidFill>
                </w14:textFill>
              </w:rPr>
              <w:t>符合开发区产业定位，符合《镇平县先进制造业开发区发展规划（2022-2035）》项目准入标准和产业准入负面清单要求，同时</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经对照镇平县先进制造业开发区发展规划，</w:t>
            </w:r>
            <w:r>
              <w:rPr>
                <w:color w:val="000000" w:themeColor="text1"/>
                <w:sz w:val="24"/>
                <w:highlight w:val="none"/>
                <w14:textFill>
                  <w14:solidFill>
                    <w14:schemeClr w14:val="tx1"/>
                  </w14:solidFill>
                </w14:textFill>
              </w:rPr>
              <w:t>用地性质属于工业用地</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且已取得</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镇平县</w:t>
            </w:r>
            <w:r>
              <w:rPr>
                <w:rFonts w:hint="eastAsia"/>
                <w:color w:val="000000" w:themeColor="text1"/>
                <w:sz w:val="24"/>
                <w:highlight w:val="none"/>
                <w:lang w:val="en-US" w:eastAsia="zh-CN"/>
                <w14:textFill>
                  <w14:solidFill>
                    <w14:schemeClr w14:val="tx1"/>
                  </w14:solidFill>
                </w14:textFill>
              </w:rPr>
              <w:t>先进制造业开发区管理委员会出具的入驻证明，因此本项目建设符合镇平县先进制造业开发区规划要求。</w:t>
            </w:r>
          </w:p>
          <w:p w14:paraId="741E17B9">
            <w:pPr>
              <w:spacing w:line="360" w:lineRule="auto"/>
              <w:ind w:left="0" w:leftChars="0" w:firstLine="0" w:firstLineChars="0"/>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2、《镇平县先进制造业开发区发展规划（2022-2035）环境影响报告书》</w:t>
            </w:r>
          </w:p>
          <w:p w14:paraId="59CD91D9">
            <w:pPr>
              <w:spacing w:line="360" w:lineRule="auto"/>
              <w:ind w:firstLine="480" w:firstLineChars="200"/>
              <w:rPr>
                <w:rFonts w:hint="eastAsia"/>
                <w:b w:val="0"/>
                <w:bCs w:val="0"/>
                <w:color w:val="000000" w:themeColor="text1"/>
                <w:sz w:val="24"/>
                <w14:textFill>
                  <w14:solidFill>
                    <w14:schemeClr w14:val="tx1"/>
                  </w14:solidFill>
                </w14:textFill>
              </w:rPr>
            </w:pPr>
            <w:r>
              <w:rPr>
                <w:rFonts w:hint="eastAsia"/>
                <w:b w:val="0"/>
                <w:bCs w:val="0"/>
                <w:color w:val="000000" w:themeColor="text1"/>
                <w:sz w:val="24"/>
                <w14:textFill>
                  <w14:solidFill>
                    <w14:schemeClr w14:val="tx1"/>
                  </w14:solidFill>
                </w14:textFill>
              </w:rPr>
              <w:t>根据《镇平县先进制造业开发区发展规划（2022-2035）环境影响报告书》，项目建设</w:t>
            </w:r>
            <w:r>
              <w:rPr>
                <w:rFonts w:hint="eastAsia"/>
                <w:b w:val="0"/>
                <w:bCs w:val="0"/>
                <w:color w:val="000000" w:themeColor="text1"/>
                <w:sz w:val="24"/>
                <w:lang w:val="en-US" w:eastAsia="zh-CN"/>
                <w14:textFill>
                  <w14:solidFill>
                    <w14:schemeClr w14:val="tx1"/>
                  </w14:solidFill>
                </w14:textFill>
              </w:rPr>
              <w:t>满足环境准入负面清单条件，</w:t>
            </w:r>
            <w:r>
              <w:rPr>
                <w:rFonts w:hint="eastAsia"/>
                <w:b w:val="0"/>
                <w:bCs w:val="0"/>
                <w:color w:val="000000" w:themeColor="text1"/>
                <w:sz w:val="24"/>
                <w14:textFill>
                  <w14:solidFill>
                    <w14:schemeClr w14:val="tx1"/>
                  </w14:solidFill>
                </w14:textFill>
              </w:rPr>
              <w:t>符合空间管制要求，满足环境准入条件，符合性分析详见下表。</w:t>
            </w:r>
          </w:p>
          <w:p w14:paraId="2DA902C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表1-</w:t>
            </w:r>
            <w:r>
              <w:rPr>
                <w:rFonts w:hint="eastAsia" w:eastAsia="黑体" w:cs="Times New Roman"/>
                <w:b w:val="0"/>
                <w:bCs w:val="0"/>
                <w:color w:val="000000" w:themeColor="text1"/>
                <w:sz w:val="24"/>
                <w:lang w:val="en-US" w:eastAsia="zh-CN"/>
                <w14:textFill>
                  <w14:solidFill>
                    <w14:schemeClr w14:val="tx1"/>
                  </w14:solidFill>
                </w14:textFill>
              </w:rPr>
              <w:t>3</w:t>
            </w:r>
            <w:r>
              <w:rPr>
                <w:rFonts w:hint="default" w:ascii="Times New Roman" w:hAnsi="Times New Roman" w:eastAsia="黑体" w:cs="Times New Roman"/>
                <w:b w:val="0"/>
                <w:bCs w:val="0"/>
                <w:color w:val="000000" w:themeColor="text1"/>
                <w:sz w:val="24"/>
                <w14:textFill>
                  <w14:solidFill>
                    <w14:schemeClr w14:val="tx1"/>
                  </w14:solidFill>
                </w14:textFill>
              </w:rPr>
              <w:t xml:space="preserve">  项目与镇平县先进制造业开发区环境准入负面清单符合性分析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3741"/>
              <w:gridCol w:w="2688"/>
              <w:gridCol w:w="765"/>
            </w:tblGrid>
            <w:tr w14:paraId="7E1A6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783B77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管控类型</w:t>
                  </w:r>
                </w:p>
              </w:tc>
              <w:tc>
                <w:tcPr>
                  <w:tcW w:w="2315" w:type="pct"/>
                  <w:vAlign w:val="center"/>
                </w:tcPr>
                <w:p w14:paraId="68631D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管控要求</w:t>
                  </w:r>
                </w:p>
              </w:tc>
              <w:tc>
                <w:tcPr>
                  <w:tcW w:w="1664" w:type="pct"/>
                  <w:vAlign w:val="center"/>
                </w:tcPr>
                <w:p w14:paraId="6D493E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本项目情况</w:t>
                  </w:r>
                </w:p>
              </w:tc>
              <w:tc>
                <w:tcPr>
                  <w:tcW w:w="473" w:type="pct"/>
                  <w:vAlign w:val="center"/>
                </w:tcPr>
                <w:p w14:paraId="0BE225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符合性</w:t>
                  </w:r>
                </w:p>
              </w:tc>
            </w:tr>
            <w:tr w14:paraId="62B06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67A5E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空间布局约束</w:t>
                  </w:r>
                </w:p>
              </w:tc>
              <w:tc>
                <w:tcPr>
                  <w:tcW w:w="2315" w:type="pct"/>
                  <w:vAlign w:val="center"/>
                </w:tcPr>
                <w:p w14:paraId="5AAF8B8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1、禁止投资建设《产业结构调整指导目录（2024年本）》中淘汰类、限制类项目；</w:t>
                  </w:r>
                </w:p>
                <w:p w14:paraId="460E1EB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2、禁止新建、扩建单纯新增产能的钢铁、电解铝、水泥、平板玻璃、煤化工（甲醇、合成氨）、焦化、铝用炭素、耐火材料制品、砖瓦窑、铅锌冶炼（含再生铅）等高耗能、高排放和产能过剩的产业项目；</w:t>
                  </w:r>
                </w:p>
                <w:p w14:paraId="2AD51C8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3、禁止建设任何燃煤、燃重油设施；</w:t>
                  </w:r>
                </w:p>
                <w:p w14:paraId="18F098B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评价结合医药健康产业园的特点，认为东部医药健康产业园总体发展方向是合理的，建议禁止发展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p w14:paraId="5291DC9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5、禁止建设冶金、钢铁、铁合金、制浆造纸、制革及毛皮鞣制项目；</w:t>
                  </w:r>
                </w:p>
                <w:p w14:paraId="3B0F793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6、禁止建设生产和使用高VOCs含量的溶剂型涂料、油墨、胶粘剂等项目；</w:t>
                  </w:r>
                </w:p>
                <w:p w14:paraId="1A91A1C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7、禁止生产、使用《危险化学品目录》中的剧毒化学品；禁止引入农药中间体及原料药等涉及毒性较强且具有持久性、积累性影 响的化学品使用或生产项目；</w:t>
                  </w:r>
                </w:p>
                <w:p w14:paraId="59116C3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8、禁止引进与园区主导产业不相符的重污染项目；</w:t>
                  </w:r>
                </w:p>
                <w:p w14:paraId="0DAAB95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9、园区严格控制</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项目准入，不符合园区主导产业或不在园区规划发展产业链上的</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项目禁止入园发展；同时，污染物排放总量不能满足区域总量替代削减方案的</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项目也不得入园发展；</w:t>
                  </w:r>
                </w:p>
                <w:p w14:paraId="0722977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10、允许符合园区准入及环境保护要求、污染物控制要求、风险管控要求、资源开发管控要求的配套产业入驻</w:t>
                  </w:r>
                </w:p>
              </w:tc>
              <w:tc>
                <w:tcPr>
                  <w:tcW w:w="1664" w:type="pct"/>
                  <w:vAlign w:val="center"/>
                </w:tcPr>
                <w:p w14:paraId="55599F0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1、本项目属于《产业结构调整指导目录（2024年本）》中</w:t>
                  </w:r>
                  <w:r>
                    <w:rPr>
                      <w:rFonts w:hint="eastAsia"/>
                      <w:color w:val="000000" w:themeColor="text1"/>
                      <w:sz w:val="21"/>
                      <w:szCs w:val="21"/>
                      <w:highlight w:val="none"/>
                      <w:lang w:val="en-US" w:eastAsia="zh-CN"/>
                      <w14:textFill>
                        <w14:solidFill>
                          <w14:schemeClr w14:val="tx1"/>
                        </w14:solidFill>
                      </w14:textFill>
                    </w:rPr>
                    <w:t>鼓励</w:t>
                  </w:r>
                  <w:r>
                    <w:rPr>
                      <w:color w:val="000000" w:themeColor="text1"/>
                      <w:sz w:val="21"/>
                      <w:szCs w:val="21"/>
                      <w:highlight w:val="none"/>
                      <w14:textFill>
                        <w14:solidFill>
                          <w14:schemeClr w14:val="tx1"/>
                        </w14:solidFill>
                      </w14:textFill>
                    </w:rPr>
                    <w:t>类项目，不属于《产业结构调整指导目录（2024年本）》中淘汰类、限制类项目；</w:t>
                  </w:r>
                </w:p>
                <w:p w14:paraId="2D3B2A1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2、本项目不属于新增产能的钢铁、电解铝、水泥、平板玻璃、煤化工（甲醇、合成氨）、焦化、铝用炭素、耐火材料制品、砖瓦窑、铅锌冶炼（含再生铅）等高耗能、高排放和产能过剩的产业项目；</w:t>
                  </w:r>
                </w:p>
                <w:p w14:paraId="7C9FF7C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3、本项目不涉及；</w:t>
                  </w:r>
                </w:p>
                <w:p w14:paraId="0EA4854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4、本项目不属于化学原料和化学制品制造业、平板玻璃、水泥等产能项目；</w:t>
                  </w:r>
                </w:p>
                <w:p w14:paraId="6777743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5、本项目不属于冶金、钢铁、铁合金、制浆造纸、制革及毛皮鞣制项目；</w:t>
                  </w:r>
                </w:p>
                <w:p w14:paraId="5F2F782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6、本项目不属于生产和使用高VOCs含量的溶剂型涂料、油墨、胶粘剂等项目；</w:t>
                  </w:r>
                </w:p>
                <w:p w14:paraId="6CAF31B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7、本项目不涉及生产、使用《危险化学品目录》中的剧毒化学品，不属于引入农药中间体及原料药等涉及毒性较强且具有持久性、积累性影响的化学品使用或生产项目；</w:t>
                  </w:r>
                </w:p>
                <w:p w14:paraId="2340F5E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8、本项目属于金属制品业</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主要产品为铸件</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属于</w:t>
                  </w:r>
                  <w:r>
                    <w:rPr>
                      <w:color w:val="000000" w:themeColor="text1"/>
                      <w:sz w:val="21"/>
                      <w:szCs w:val="21"/>
                      <w:highlight w:val="none"/>
                      <w14:textFill>
                        <w14:solidFill>
                          <w14:schemeClr w14:val="tx1"/>
                        </w14:solidFill>
                      </w14:textFill>
                    </w:rPr>
                    <w:t>园区主导产业</w:t>
                  </w:r>
                  <w:r>
                    <w:rPr>
                      <w:rFonts w:hint="eastAsia"/>
                      <w:color w:val="000000" w:themeColor="text1"/>
                      <w:sz w:val="21"/>
                      <w:szCs w:val="21"/>
                      <w:highlight w:val="none"/>
                      <w14:textFill>
                        <w14:solidFill>
                          <w14:schemeClr w14:val="tx1"/>
                        </w14:solidFill>
                      </w14:textFill>
                    </w:rPr>
                    <w:t>；</w:t>
                  </w:r>
                </w:p>
                <w:p w14:paraId="4B1A2EC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9、本项目不属于</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两高</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项目；</w:t>
                  </w:r>
                </w:p>
                <w:p w14:paraId="254E22F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10、本项目符合园区准入及环境保护要求、污染物控制要求、风险管控要求、资源开发管控要求</w:t>
                  </w:r>
                  <w:r>
                    <w:rPr>
                      <w:rFonts w:hint="eastAsia"/>
                      <w:color w:val="000000" w:themeColor="text1"/>
                      <w:sz w:val="21"/>
                      <w:szCs w:val="21"/>
                      <w:highlight w:val="none"/>
                      <w14:textFill>
                        <w14:solidFill>
                          <w14:schemeClr w14:val="tx1"/>
                        </w14:solidFill>
                      </w14:textFill>
                    </w:rPr>
                    <w:t>。</w:t>
                  </w:r>
                </w:p>
              </w:tc>
              <w:tc>
                <w:tcPr>
                  <w:tcW w:w="473" w:type="pct"/>
                  <w:vAlign w:val="center"/>
                </w:tcPr>
                <w:p w14:paraId="142F113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3B86F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44FB35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污染物排放管控</w:t>
                  </w:r>
                </w:p>
              </w:tc>
              <w:tc>
                <w:tcPr>
                  <w:tcW w:w="2315" w:type="pct"/>
                  <w:vAlign w:val="center"/>
                </w:tcPr>
                <w:p w14:paraId="1A6853F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1、禁止入园项目排水直接入河；</w:t>
                  </w:r>
                </w:p>
                <w:p w14:paraId="63A550E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2、禁止园区集中供热中心生物质锅炉掺烧煤炭、垃圾、工业固体废物等其他物料；</w:t>
                  </w:r>
                </w:p>
                <w:p w14:paraId="1E69215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VOCs废气采用活性炭吸附工艺的，活性炭碘值选择不符合要求、更换不及时的，或治理设施设计不符合《吸附法工业有机废气治理工程技术规范》标准要求的，也认定为低效治理设施；VOCs废气采用RCO或RTO技术的，其治理设施设计不符合《催化燃烧法工业有机废气治理工程技术规范》《蓄热燃烧法工业有机废气治理工程技术规范》相关标准要求的，也认定为低效治理设施；</w:t>
                  </w:r>
                </w:p>
                <w:p w14:paraId="5529DF3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4、入园的新建、扩建金属表面处理及热处理加工、商砼（沥青）搅拌站环保绩效分级需达到A级绩效水平，改建项目达到B级绩效水平</w:t>
                  </w:r>
                </w:p>
              </w:tc>
              <w:tc>
                <w:tcPr>
                  <w:tcW w:w="1664" w:type="pct"/>
                  <w:vAlign w:val="center"/>
                </w:tcPr>
                <w:p w14:paraId="77EF7BA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营运期职工生活污水经化粪池处理后</w:t>
                  </w:r>
                  <w:r>
                    <w:rPr>
                      <w:rFonts w:hint="eastAsia"/>
                      <w:kern w:val="21"/>
                      <w:sz w:val="21"/>
                      <w:szCs w:val="21"/>
                      <w:highlight w:val="none"/>
                      <w:lang w:val="en-US" w:eastAsia="zh-CN"/>
                    </w:rPr>
                    <w:t>排入建设大道污水管网，最终经镇平县第二污水处理厂</w:t>
                  </w:r>
                  <w:r>
                    <w:rPr>
                      <w:rFonts w:hint="eastAsia" w:eastAsia="宋体"/>
                      <w:kern w:val="21"/>
                      <w:sz w:val="21"/>
                      <w:szCs w:val="21"/>
                      <w:highlight w:val="none"/>
                      <w:lang w:val="en-US" w:eastAsia="zh-CN"/>
                    </w:rPr>
                    <w:t>处理达标后排入赵河</w:t>
                  </w:r>
                  <w:r>
                    <w:rPr>
                      <w:color w:val="000000" w:themeColor="text1"/>
                      <w:sz w:val="21"/>
                      <w:szCs w:val="21"/>
                      <w:highlight w:val="none"/>
                      <w14:textFill>
                        <w14:solidFill>
                          <w14:schemeClr w14:val="tx1"/>
                        </w14:solidFill>
                      </w14:textFill>
                    </w:rPr>
                    <w:t>；</w:t>
                  </w:r>
                </w:p>
                <w:p w14:paraId="6FE4114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2、本项目不涉及；</w:t>
                  </w:r>
                </w:p>
                <w:p w14:paraId="09B6814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3、本项目</w:t>
                  </w:r>
                  <w:r>
                    <w:rPr>
                      <w:rFonts w:hint="eastAsia"/>
                      <w:color w:val="000000" w:themeColor="text1"/>
                      <w:sz w:val="21"/>
                      <w:szCs w:val="21"/>
                      <w:highlight w:val="none"/>
                      <w:lang w:val="en-US" w:eastAsia="zh-CN"/>
                      <w14:textFill>
                        <w14:solidFill>
                          <w14:schemeClr w14:val="tx1"/>
                        </w14:solidFill>
                      </w14:textFill>
                    </w:rPr>
                    <w:t>VOCs废气治理采用</w:t>
                  </w:r>
                  <w:r>
                    <w:rPr>
                      <w:color w:val="000000" w:themeColor="text1"/>
                      <w:sz w:val="21"/>
                      <w:szCs w:val="21"/>
                      <w:highlight w:val="none"/>
                      <w14:textFill>
                        <w14:solidFill>
                          <w14:schemeClr w14:val="tx1"/>
                        </w14:solidFill>
                      </w14:textFill>
                    </w:rPr>
                    <w:t>RCO</w:t>
                  </w:r>
                  <w:r>
                    <w:rPr>
                      <w:rFonts w:hint="eastAsia"/>
                      <w:color w:val="000000" w:themeColor="text1"/>
                      <w:sz w:val="21"/>
                      <w:szCs w:val="21"/>
                      <w:highlight w:val="none"/>
                      <w:lang w:val="en-US" w:eastAsia="zh-CN"/>
                      <w14:textFill>
                        <w14:solidFill>
                          <w14:schemeClr w14:val="tx1"/>
                        </w14:solidFill>
                      </w14:textFill>
                    </w:rPr>
                    <w:t>技术，项目治理设施设计符合</w:t>
                  </w:r>
                  <w:r>
                    <w:rPr>
                      <w:color w:val="000000" w:themeColor="text1"/>
                      <w:sz w:val="21"/>
                      <w:szCs w:val="21"/>
                      <w:highlight w:val="none"/>
                      <w14:textFill>
                        <w14:solidFill>
                          <w14:schemeClr w14:val="tx1"/>
                        </w14:solidFill>
                      </w14:textFill>
                    </w:rPr>
                    <w:t>催化燃烧法工业有机废气治理工程技术规范》《蓄热燃烧法工业有机废气治理工程技术规范》相关标准要求；</w:t>
                  </w:r>
                </w:p>
                <w:p w14:paraId="7B0BC98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000000" w:themeColor="text1"/>
                      <w:sz w:val="21"/>
                      <w:szCs w:val="21"/>
                      <w:highlight w:val="yellow"/>
                      <w:lang w:eastAsia="zh-CN"/>
                      <w14:textFill>
                        <w14:solidFill>
                          <w14:schemeClr w14:val="tx1"/>
                        </w14:solidFill>
                      </w14:textFill>
                    </w:rPr>
                  </w:pPr>
                  <w:r>
                    <w:rPr>
                      <w:color w:val="000000" w:themeColor="text1"/>
                      <w:sz w:val="21"/>
                      <w:szCs w:val="21"/>
                      <w:highlight w:val="none"/>
                      <w14:textFill>
                        <w14:solidFill>
                          <w14:schemeClr w14:val="tx1"/>
                        </w14:solidFill>
                      </w14:textFill>
                    </w:rPr>
                    <w:t>4、本项目不属于金属表面处理及热处理加工、商砼（沥青）搅拌站等行业</w:t>
                  </w:r>
                  <w:r>
                    <w:rPr>
                      <w:rFonts w:hint="eastAsia"/>
                      <w:color w:val="000000" w:themeColor="text1"/>
                      <w:sz w:val="21"/>
                      <w:szCs w:val="21"/>
                      <w:highlight w:val="none"/>
                      <w:lang w:eastAsia="zh-CN"/>
                      <w14:textFill>
                        <w14:solidFill>
                          <w14:schemeClr w14:val="tx1"/>
                        </w14:solidFill>
                      </w14:textFill>
                    </w:rPr>
                    <w:t>。</w:t>
                  </w:r>
                </w:p>
              </w:tc>
              <w:tc>
                <w:tcPr>
                  <w:tcW w:w="473" w:type="pct"/>
                  <w:vAlign w:val="center"/>
                </w:tcPr>
                <w:p w14:paraId="4FF333A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3B017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01F4D3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环境风险防控</w:t>
                  </w:r>
                </w:p>
              </w:tc>
              <w:tc>
                <w:tcPr>
                  <w:tcW w:w="2315" w:type="pct"/>
                  <w:vAlign w:val="center"/>
                </w:tcPr>
                <w:p w14:paraId="5C1DF6C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1、禁止建设大中型危险化学品库（库房或货场总面积大于550平方米的）；</w:t>
                  </w:r>
                </w:p>
                <w:p w14:paraId="101C931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2、各企业加强分区防渗措施；</w:t>
                  </w:r>
                </w:p>
                <w:p w14:paraId="708C45C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3、禁止集中电镀企业、含化学合成的化工项目（单纯物理分离、物理提纯、混合、分装的除外）入驻</w:t>
                  </w:r>
                  <w:r>
                    <w:rPr>
                      <w:rFonts w:hint="eastAsia"/>
                      <w:color w:val="000000" w:themeColor="text1"/>
                      <w:sz w:val="21"/>
                      <w:szCs w:val="21"/>
                      <w14:textFill>
                        <w14:solidFill>
                          <w14:schemeClr w14:val="tx1"/>
                        </w14:solidFill>
                      </w14:textFill>
                    </w:rPr>
                    <w:t>；</w:t>
                  </w:r>
                </w:p>
              </w:tc>
              <w:tc>
                <w:tcPr>
                  <w:tcW w:w="1664" w:type="pct"/>
                  <w:vAlign w:val="center"/>
                </w:tcPr>
                <w:p w14:paraId="4292127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本项目不涉及；</w:t>
                  </w:r>
                </w:p>
                <w:p w14:paraId="68D8033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r>
                    <w:rPr>
                      <w:color w:val="000000" w:themeColor="text1"/>
                      <w:sz w:val="21"/>
                      <w:szCs w:val="21"/>
                      <w:highlight w:val="none"/>
                      <w14:textFill>
                        <w14:solidFill>
                          <w14:schemeClr w14:val="tx1"/>
                        </w14:solidFill>
                      </w14:textFill>
                    </w:rPr>
                    <w:t>企业应加强分区防渗措施；</w:t>
                  </w:r>
                </w:p>
                <w:p w14:paraId="22D6490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本项目不属于电镀、含化学合成的化工项目；</w:t>
                  </w:r>
                </w:p>
              </w:tc>
              <w:tc>
                <w:tcPr>
                  <w:tcW w:w="473" w:type="pct"/>
                  <w:vAlign w:val="center"/>
                </w:tcPr>
                <w:p w14:paraId="0F5775C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4DD98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7B6651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资源开发管控</w:t>
                  </w:r>
                </w:p>
              </w:tc>
              <w:tc>
                <w:tcPr>
                  <w:tcW w:w="2315" w:type="pct"/>
                  <w:vAlign w:val="center"/>
                </w:tcPr>
                <w:p w14:paraId="0B1431E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1、禁止新建项目开采地下水；</w:t>
                  </w:r>
                </w:p>
                <w:p w14:paraId="104977C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2、禁止投资建设列入禁止用地目录、限制用地目录的项目；</w:t>
                  </w:r>
                </w:p>
                <w:p w14:paraId="6922992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3、入园项目投资强度需满足《工业项目建设用地控制指标》的要求和《河南省人民政府办公厅关于实施开发区土地利用综合评价促进节约集约高效用地的意见》（豫政办[2023]13号）文件要求，否则禁止入园</w:t>
                  </w:r>
                </w:p>
              </w:tc>
              <w:tc>
                <w:tcPr>
                  <w:tcW w:w="1664" w:type="pct"/>
                  <w:vAlign w:val="center"/>
                </w:tcPr>
                <w:p w14:paraId="34D99B5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1、本项目用水由市政供水系统供给，不涉及开采地下水；</w:t>
                  </w:r>
                </w:p>
                <w:p w14:paraId="674C029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2、本项目不属于列入禁止用地目录、限制用地目录的项目；</w:t>
                  </w:r>
                </w:p>
                <w:p w14:paraId="756D2FC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000000" w:themeColor="text1"/>
                      <w:sz w:val="21"/>
                      <w:szCs w:val="21"/>
                      <w:highlight w:val="yellow"/>
                      <w:lang w:eastAsia="zh-CN"/>
                      <w14:textFill>
                        <w14:solidFill>
                          <w14:schemeClr w14:val="tx1"/>
                        </w14:solidFill>
                      </w14:textFill>
                    </w:rPr>
                  </w:pPr>
                  <w:r>
                    <w:rPr>
                      <w:color w:val="000000" w:themeColor="text1"/>
                      <w:sz w:val="21"/>
                      <w:szCs w:val="21"/>
                      <w:highlight w:val="none"/>
                      <w14:textFill>
                        <w14:solidFill>
                          <w14:schemeClr w14:val="tx1"/>
                        </w14:solidFill>
                      </w14:textFill>
                    </w:rPr>
                    <w:t>3、本项目投资强度满足《工业项目建设用地控制指标》要求和《河南省人民政府办公厅关于实施开发区土地利用综合评价促进节约集约高效用地的意见》（豫政办[2023]13号）文件要求</w:t>
                  </w:r>
                  <w:r>
                    <w:rPr>
                      <w:rFonts w:hint="eastAsia"/>
                      <w:color w:val="000000" w:themeColor="text1"/>
                      <w:sz w:val="21"/>
                      <w:szCs w:val="21"/>
                      <w:highlight w:val="none"/>
                      <w:lang w:eastAsia="zh-CN"/>
                      <w14:textFill>
                        <w14:solidFill>
                          <w14:schemeClr w14:val="tx1"/>
                        </w14:solidFill>
                      </w14:textFill>
                    </w:rPr>
                    <w:t>。</w:t>
                  </w:r>
                </w:p>
              </w:tc>
              <w:tc>
                <w:tcPr>
                  <w:tcW w:w="473" w:type="pct"/>
                  <w:vAlign w:val="center"/>
                </w:tcPr>
                <w:p w14:paraId="07D3417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r>
          </w:tbl>
          <w:p w14:paraId="04421E7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val="0"/>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表1-</w:t>
            </w:r>
            <w:r>
              <w:rPr>
                <w:rFonts w:hint="eastAsia" w:eastAsia="黑体" w:cs="Times New Roman"/>
                <w:b w:val="0"/>
                <w:bCs w:val="0"/>
                <w:color w:val="000000" w:themeColor="text1"/>
                <w:sz w:val="24"/>
                <w:lang w:val="en-US" w:eastAsia="zh-CN"/>
                <w14:textFill>
                  <w14:solidFill>
                    <w14:schemeClr w14:val="tx1"/>
                  </w14:solidFill>
                </w14:textFill>
              </w:rPr>
              <w:t>4</w:t>
            </w:r>
            <w:r>
              <w:rPr>
                <w:rFonts w:hint="default" w:ascii="Times New Roman" w:hAnsi="Times New Roman" w:eastAsia="黑体" w:cs="Times New Roman"/>
                <w:b w:val="0"/>
                <w:bCs w:val="0"/>
                <w:color w:val="000000" w:themeColor="text1"/>
                <w:sz w:val="24"/>
                <w14:textFill>
                  <w14:solidFill>
                    <w14:schemeClr w14:val="tx1"/>
                  </w14:solidFill>
                </w14:textFill>
              </w:rPr>
              <w:t xml:space="preserve">  项目与</w:t>
            </w:r>
            <w:r>
              <w:rPr>
                <w:rFonts w:hint="default" w:ascii="Times New Roman" w:hAnsi="Times New Roman" w:eastAsia="黑体" w:cs="Times New Roman"/>
                <w:b w:val="0"/>
                <w:bCs w:val="0"/>
                <w:color w:val="000000" w:themeColor="text1"/>
                <w:sz w:val="24"/>
                <w:lang w:val="en-US" w:eastAsia="zh-CN"/>
                <w14:textFill>
                  <w14:solidFill>
                    <w14:schemeClr w14:val="tx1"/>
                  </w14:solidFill>
                </w14:textFill>
              </w:rPr>
              <w:t>镇平县先进制造业开发区环境准入</w:t>
            </w:r>
            <w:r>
              <w:rPr>
                <w:rFonts w:hint="default" w:ascii="Times New Roman" w:hAnsi="Times New Roman" w:eastAsia="黑体" w:cs="Times New Roman"/>
                <w:b w:val="0"/>
                <w:bCs w:val="0"/>
                <w:color w:val="000000" w:themeColor="text1"/>
                <w:sz w:val="24"/>
                <w14:textFill>
                  <w14:solidFill>
                    <w14:schemeClr w14:val="tx1"/>
                  </w14:solidFill>
                </w14:textFill>
              </w:rPr>
              <w:t>符合性分析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461"/>
              <w:gridCol w:w="791"/>
              <w:gridCol w:w="3255"/>
              <w:gridCol w:w="2421"/>
              <w:gridCol w:w="679"/>
            </w:tblGrid>
            <w:tr w14:paraId="1F8E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8" w:type="pct"/>
                  <w:gridSpan w:val="2"/>
                  <w:vAlign w:val="center"/>
                </w:tcPr>
                <w:p w14:paraId="68C9DA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管控类 型</w:t>
                  </w:r>
                </w:p>
              </w:tc>
              <w:tc>
                <w:tcPr>
                  <w:tcW w:w="2504" w:type="pct"/>
                  <w:gridSpan w:val="2"/>
                  <w:vAlign w:val="center"/>
                </w:tcPr>
                <w:p w14:paraId="624828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管控要求</w:t>
                  </w:r>
                </w:p>
              </w:tc>
              <w:tc>
                <w:tcPr>
                  <w:tcW w:w="1498" w:type="pct"/>
                  <w:vAlign w:val="center"/>
                </w:tcPr>
                <w:p w14:paraId="7B6133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本项目情况</w:t>
                  </w:r>
                </w:p>
              </w:tc>
              <w:tc>
                <w:tcPr>
                  <w:tcW w:w="418" w:type="pct"/>
                  <w:vAlign w:val="center"/>
                </w:tcPr>
                <w:p w14:paraId="62B68F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符合性</w:t>
                  </w:r>
                </w:p>
              </w:tc>
            </w:tr>
            <w:tr w14:paraId="17703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restart"/>
                  <w:vAlign w:val="center"/>
                </w:tcPr>
                <w:p w14:paraId="484E16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基本要求</w:t>
                  </w:r>
                </w:p>
              </w:tc>
              <w:tc>
                <w:tcPr>
                  <w:tcW w:w="284" w:type="pct"/>
                  <w:vMerge w:val="restart"/>
                  <w:vAlign w:val="center"/>
                </w:tcPr>
                <w:p w14:paraId="05A8DC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空间布局约束</w:t>
                  </w:r>
                </w:p>
              </w:tc>
              <w:tc>
                <w:tcPr>
                  <w:tcW w:w="489" w:type="pct"/>
                  <w:vAlign w:val="center"/>
                </w:tcPr>
                <w:p w14:paraId="0EC542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禁止开发建设活动</w:t>
                  </w:r>
                </w:p>
              </w:tc>
              <w:tc>
                <w:tcPr>
                  <w:tcW w:w="2014" w:type="pct"/>
                  <w:vAlign w:val="center"/>
                </w:tcPr>
                <w:p w14:paraId="28F5129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1、禁止新建与园区主导产业不相符或不在园区规划发展产业链上的</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项目；入驻的</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两高</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项目必须符合主导产业或在园区规划产业链上</w:t>
                  </w:r>
                </w:p>
                <w:p w14:paraId="1217871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2、禁止新建、改扩建与园区主导产业不相符的重污染或国家、省绩效分级重点行业项目；</w:t>
                  </w:r>
                </w:p>
                <w:p w14:paraId="7C598C2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3、禁止新建集中电镀项目（配套电镀工序企业除外*），入驻电镀项目需满足《河南省电镀建设项目环境影响评价文件审查审批原则要求（试行）》</w:t>
                  </w:r>
                </w:p>
                <w:p w14:paraId="3E63752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4、禁止新建含化学合成的化工项目及产品</w:t>
                  </w:r>
                </w:p>
              </w:tc>
              <w:tc>
                <w:tcPr>
                  <w:tcW w:w="1498" w:type="pct"/>
                  <w:vAlign w:val="center"/>
                </w:tcPr>
                <w:p w14:paraId="14F7AA9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本项目为属于</w:t>
                  </w:r>
                  <w:r>
                    <w:rPr>
                      <w:rFonts w:hint="default"/>
                      <w:color w:val="000000" w:themeColor="text1"/>
                      <w:sz w:val="21"/>
                      <w:szCs w:val="21"/>
                      <w:highlight w:val="none"/>
                      <w:lang w:val="en-US" w:eastAsia="zh-CN"/>
                      <w14:textFill>
                        <w14:solidFill>
                          <w14:schemeClr w14:val="tx1"/>
                        </w14:solidFill>
                      </w14:textFill>
                    </w:rPr>
                    <w:t>金属制品业</w:t>
                  </w:r>
                  <w:r>
                    <w:rPr>
                      <w:color w:val="000000" w:themeColor="text1"/>
                      <w:sz w:val="21"/>
                      <w:szCs w:val="21"/>
                      <w:highlight w:val="none"/>
                      <w14:textFill>
                        <w14:solidFill>
                          <w14:schemeClr w14:val="tx1"/>
                        </w14:solidFill>
                      </w14:textFill>
                    </w:rPr>
                    <w:t>，不属于</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两高</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项目</w:t>
                  </w:r>
                  <w:r>
                    <w:rPr>
                      <w:rFonts w:hint="eastAsia"/>
                      <w:color w:val="000000" w:themeColor="text1"/>
                      <w:sz w:val="21"/>
                      <w:szCs w:val="21"/>
                      <w:highlight w:val="none"/>
                      <w14:textFill>
                        <w14:solidFill>
                          <w14:schemeClr w14:val="tx1"/>
                        </w14:solidFill>
                      </w14:textFill>
                    </w:rPr>
                    <w:t>；</w:t>
                  </w:r>
                </w:p>
                <w:p w14:paraId="3EECA87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2、本项目属于</w:t>
                  </w:r>
                  <w:r>
                    <w:rPr>
                      <w:rFonts w:hint="eastAsia"/>
                      <w:color w:val="000000" w:themeColor="text1"/>
                      <w:sz w:val="21"/>
                      <w:szCs w:val="21"/>
                      <w:highlight w:val="none"/>
                      <w:lang w:val="en-US" w:eastAsia="zh-CN"/>
                      <w14:textFill>
                        <w14:solidFill>
                          <w14:schemeClr w14:val="tx1"/>
                        </w14:solidFill>
                      </w14:textFill>
                    </w:rPr>
                    <w:t>黑色金属铸造</w:t>
                  </w:r>
                  <w:r>
                    <w:rPr>
                      <w:rFonts w:hint="eastAsia"/>
                      <w:color w:val="000000" w:themeColor="text1"/>
                      <w:sz w:val="21"/>
                      <w:szCs w:val="21"/>
                      <w:highlight w:val="none"/>
                      <w:lang w:eastAsia="zh-CN"/>
                      <w14:textFill>
                        <w14:solidFill>
                          <w14:schemeClr w14:val="tx1"/>
                        </w14:solidFill>
                      </w14:textFill>
                    </w:rPr>
                    <w:t>，属于金属制品业，符合园区主导产业要求；</w:t>
                  </w:r>
                </w:p>
                <w:p w14:paraId="7ECB27F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3、本项目</w:t>
                  </w:r>
                  <w:r>
                    <w:rPr>
                      <w:color w:val="000000" w:themeColor="text1"/>
                      <w:sz w:val="21"/>
                      <w:szCs w:val="21"/>
                      <w:highlight w:val="none"/>
                      <w14:textFill>
                        <w14:solidFill>
                          <w14:schemeClr w14:val="tx1"/>
                        </w14:solidFill>
                      </w14:textFill>
                    </w:rPr>
                    <w:t>不涉及电镀，不属于集中电镀项目</w:t>
                  </w:r>
                  <w:r>
                    <w:rPr>
                      <w:rFonts w:hint="eastAsia"/>
                      <w:color w:val="000000" w:themeColor="text1"/>
                      <w:sz w:val="21"/>
                      <w:szCs w:val="21"/>
                      <w:highlight w:val="none"/>
                      <w14:textFill>
                        <w14:solidFill>
                          <w14:schemeClr w14:val="tx1"/>
                        </w14:solidFill>
                      </w14:textFill>
                    </w:rPr>
                    <w:t>；</w:t>
                  </w:r>
                </w:p>
                <w:p w14:paraId="25A2A39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4、本项目</w:t>
                  </w:r>
                  <w:r>
                    <w:rPr>
                      <w:color w:val="000000" w:themeColor="text1"/>
                      <w:sz w:val="21"/>
                      <w:szCs w:val="21"/>
                      <w:highlight w:val="none"/>
                      <w14:textFill>
                        <w14:solidFill>
                          <w14:schemeClr w14:val="tx1"/>
                        </w14:solidFill>
                      </w14:textFill>
                    </w:rPr>
                    <w:t>不属于含化学合成的化工项目；</w:t>
                  </w:r>
                </w:p>
              </w:tc>
              <w:tc>
                <w:tcPr>
                  <w:tcW w:w="418" w:type="pct"/>
                  <w:vAlign w:val="center"/>
                </w:tcPr>
                <w:p w14:paraId="26167D4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868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4CDA224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2305AD2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65DE22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限制开发建设活动</w:t>
                  </w:r>
                </w:p>
              </w:tc>
              <w:tc>
                <w:tcPr>
                  <w:tcW w:w="2014" w:type="pct"/>
                  <w:vAlign w:val="center"/>
                </w:tcPr>
                <w:p w14:paraId="491882A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限制《产业结构调整指导目录（2024年本）》中限制类项目</w:t>
                  </w:r>
                </w:p>
              </w:tc>
              <w:tc>
                <w:tcPr>
                  <w:tcW w:w="1498" w:type="pct"/>
                  <w:vAlign w:val="center"/>
                </w:tcPr>
                <w:p w14:paraId="32A92B5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项目不属于《产业结构调整指导目录（2024年本）》中限制类项目</w:t>
                  </w:r>
                  <w:r>
                    <w:rPr>
                      <w:rFonts w:hint="eastAsia"/>
                      <w:color w:val="000000" w:themeColor="text1"/>
                      <w:sz w:val="21"/>
                      <w:szCs w:val="21"/>
                      <w:highlight w:val="none"/>
                      <w14:textFill>
                        <w14:solidFill>
                          <w14:schemeClr w14:val="tx1"/>
                        </w14:solidFill>
                      </w14:textFill>
                    </w:rPr>
                    <w:t>。</w:t>
                  </w:r>
                </w:p>
              </w:tc>
              <w:tc>
                <w:tcPr>
                  <w:tcW w:w="418" w:type="pct"/>
                  <w:vAlign w:val="center"/>
                </w:tcPr>
                <w:p w14:paraId="7D7E7F6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819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65224A9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36B0747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13F8D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不符合规划园区空间布局的退出要求</w:t>
                  </w:r>
                </w:p>
              </w:tc>
              <w:tc>
                <w:tcPr>
                  <w:tcW w:w="2014" w:type="pct"/>
                  <w:vAlign w:val="center"/>
                </w:tcPr>
                <w:p w14:paraId="226462D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现有化工项目，限制新增发展用地，污染物排放总量只降不增；允许在厂内通过技术改造、改建等进一步提升现有的清洁生产水平或逐步转变产品结构，发展与园区主导产业形成补链或配套的项目；禁止新增或扩建含化学合成的化工项目及产品产能，禁止增加新的含化学合成的化工产品种类</w:t>
                  </w:r>
                </w:p>
              </w:tc>
              <w:tc>
                <w:tcPr>
                  <w:tcW w:w="1498" w:type="pct"/>
                  <w:vAlign w:val="center"/>
                </w:tcPr>
                <w:p w14:paraId="6AF436C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项目不属于化工项目</w:t>
                  </w:r>
                  <w:r>
                    <w:rPr>
                      <w:rFonts w:hint="eastAsia"/>
                      <w:color w:val="000000" w:themeColor="text1"/>
                      <w:sz w:val="21"/>
                      <w:szCs w:val="21"/>
                      <w:highlight w:val="none"/>
                      <w14:textFill>
                        <w14:solidFill>
                          <w14:schemeClr w14:val="tx1"/>
                        </w14:solidFill>
                      </w14:textFill>
                    </w:rPr>
                    <w:t>。</w:t>
                  </w:r>
                </w:p>
              </w:tc>
              <w:tc>
                <w:tcPr>
                  <w:tcW w:w="418" w:type="pct"/>
                  <w:vAlign w:val="center"/>
                </w:tcPr>
                <w:p w14:paraId="647007F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7CFE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3" w:type="pct"/>
                  <w:vMerge w:val="continue"/>
                  <w:vAlign w:val="center"/>
                </w:tcPr>
                <w:p w14:paraId="4EA45FF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restart"/>
                  <w:vAlign w:val="center"/>
                </w:tcPr>
                <w:p w14:paraId="4B2415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污染物排放管控</w:t>
                  </w:r>
                </w:p>
              </w:tc>
              <w:tc>
                <w:tcPr>
                  <w:tcW w:w="489" w:type="pct"/>
                  <w:vAlign w:val="center"/>
                </w:tcPr>
                <w:p w14:paraId="11AD5A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现有源提标升级改造</w:t>
                  </w:r>
                </w:p>
              </w:tc>
              <w:tc>
                <w:tcPr>
                  <w:tcW w:w="2014" w:type="pct"/>
                  <w:vAlign w:val="center"/>
                </w:tcPr>
                <w:p w14:paraId="7D8BA42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鼓励现有属于国家、省环保绩效分级重点行业项目按照地方管理文件要求开展提标升级改造工作，废气污染物排放逐步达到特别排放限值</w:t>
                  </w:r>
                </w:p>
              </w:tc>
              <w:tc>
                <w:tcPr>
                  <w:tcW w:w="1498" w:type="pct"/>
                  <w:vAlign w:val="center"/>
                </w:tcPr>
                <w:p w14:paraId="4BB9DD1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本项目不涉及</w:t>
                  </w:r>
                  <w:r>
                    <w:rPr>
                      <w:rFonts w:hint="eastAsia"/>
                      <w:color w:val="000000" w:themeColor="text1"/>
                      <w:sz w:val="21"/>
                      <w:szCs w:val="21"/>
                      <w:highlight w:val="none"/>
                      <w14:textFill>
                        <w14:solidFill>
                          <w14:schemeClr w14:val="tx1"/>
                        </w14:solidFill>
                      </w14:textFill>
                    </w:rPr>
                    <w:t>。</w:t>
                  </w:r>
                </w:p>
              </w:tc>
              <w:tc>
                <w:tcPr>
                  <w:tcW w:w="418" w:type="pct"/>
                  <w:vAlign w:val="center"/>
                </w:tcPr>
                <w:p w14:paraId="4FC9171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099B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7BFDA4E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5A64AB3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5ADA18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新增源等量或倍量替代</w:t>
                  </w:r>
                </w:p>
              </w:tc>
              <w:tc>
                <w:tcPr>
                  <w:tcW w:w="2014" w:type="pct"/>
                  <w:vAlign w:val="center"/>
                </w:tcPr>
                <w:p w14:paraId="602DB9A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新建、扩建项目新增废气总量控制因子实施污染物倍量替代削减；</w:t>
                  </w:r>
                </w:p>
                <w:p w14:paraId="71E9BA7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新建、扩建项目新增废水总量控制因子实施污染物等量替代削减</w:t>
                  </w:r>
                </w:p>
              </w:tc>
              <w:tc>
                <w:tcPr>
                  <w:tcW w:w="1498" w:type="pct"/>
                  <w:vAlign w:val="center"/>
                </w:tcPr>
                <w:p w14:paraId="2C0B42C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项目新增废气总量控制因子颗粒物</w:t>
                  </w:r>
                  <w:r>
                    <w:rPr>
                      <w:rFonts w:hint="eastAsia" w:ascii="Times New Roman" w:hAnsi="Times New Roman" w:cs="Times New Roman"/>
                      <w:color w:val="000000" w:themeColor="text1"/>
                      <w:kern w:val="0"/>
                      <w:sz w:val="21"/>
                      <w:szCs w:val="21"/>
                      <w:highlight w:val="none"/>
                      <w:u w:val="none"/>
                      <w:lang w:val="en-US" w:eastAsia="zh-CN" w:bidi="ar"/>
                      <w14:textFill>
                        <w14:solidFill>
                          <w14:schemeClr w14:val="tx1"/>
                        </w14:solidFill>
                      </w14:textFill>
                    </w:rPr>
                    <w:t>、</w:t>
                  </w:r>
                  <w:r>
                    <w:rPr>
                      <w:rFonts w:hint="eastAsia"/>
                      <w:color w:val="000000" w:themeColor="text1"/>
                      <w:sz w:val="21"/>
                      <w:szCs w:val="21"/>
                      <w:highlight w:val="none"/>
                      <w:u w:val="none"/>
                      <w:lang w:val="en-US" w:eastAsia="zh-CN"/>
                      <w14:textFill>
                        <w14:solidFill>
                          <w14:schemeClr w14:val="tx1"/>
                        </w14:solidFill>
                      </w14:textFill>
                    </w:rPr>
                    <w:t>挥发性有机物</w:t>
                  </w:r>
                  <w:r>
                    <w:rPr>
                      <w:color w:val="000000" w:themeColor="text1"/>
                      <w:sz w:val="21"/>
                      <w:szCs w:val="21"/>
                      <w:highlight w:val="none"/>
                      <w14:textFill>
                        <w14:solidFill>
                          <w14:schemeClr w14:val="tx1"/>
                        </w14:solidFill>
                      </w14:textFill>
                    </w:rPr>
                    <w:t>等实施污染物倍量替代削减；项目新增废水总量控制因子COD、</w:t>
                  </w:r>
                  <w:r>
                    <w:rPr>
                      <w:rFonts w:hint="eastAsia"/>
                      <w:color w:val="000000" w:themeColor="text1"/>
                      <w:sz w:val="21"/>
                      <w:szCs w:val="21"/>
                      <w:highlight w:val="none"/>
                      <w:lang w:val="en-US" w:eastAsia="zh-CN"/>
                      <w14:textFill>
                        <w14:solidFill>
                          <w14:schemeClr w14:val="tx1"/>
                        </w14:solidFill>
                      </w14:textFill>
                    </w:rPr>
                    <w:t>TP</w:t>
                  </w:r>
                  <w:r>
                    <w:rPr>
                      <w:color w:val="000000" w:themeColor="text1"/>
                      <w:sz w:val="21"/>
                      <w:szCs w:val="21"/>
                      <w:highlight w:val="none"/>
                      <w14:textFill>
                        <w14:solidFill>
                          <w14:schemeClr w14:val="tx1"/>
                        </w14:solidFill>
                      </w14:textFill>
                    </w:rPr>
                    <w:t>实施污染物等量替代削减。</w:t>
                  </w:r>
                </w:p>
              </w:tc>
              <w:tc>
                <w:tcPr>
                  <w:tcW w:w="418" w:type="pct"/>
                  <w:vAlign w:val="center"/>
                </w:tcPr>
                <w:p w14:paraId="1EE8C17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4C1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31BAEC6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13765B6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0E1ED3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新增污染源排放标准限值</w:t>
                  </w:r>
                </w:p>
              </w:tc>
              <w:tc>
                <w:tcPr>
                  <w:tcW w:w="2014" w:type="pct"/>
                  <w:vAlign w:val="center"/>
                </w:tcPr>
                <w:p w14:paraId="4B48E6F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新建符合园区主导产业或产业链发展要求的国家、省环保绩效分级重点行业项目需满足国家、地方污染物排放标准要求</w:t>
                  </w:r>
                </w:p>
              </w:tc>
              <w:tc>
                <w:tcPr>
                  <w:tcW w:w="1498" w:type="pct"/>
                  <w:vAlign w:val="center"/>
                </w:tcPr>
                <w:p w14:paraId="31E1595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本项目污染物排放满足</w:t>
                  </w:r>
                  <w:r>
                    <w:rPr>
                      <w:color w:val="000000" w:themeColor="text1"/>
                      <w:sz w:val="21"/>
                      <w:szCs w:val="21"/>
                      <w:highlight w:val="none"/>
                      <w14:textFill>
                        <w14:solidFill>
                          <w14:schemeClr w14:val="tx1"/>
                        </w14:solidFill>
                      </w14:textFill>
                    </w:rPr>
                    <w:t>国家、地方污染物排放标准要求。</w:t>
                  </w:r>
                </w:p>
              </w:tc>
              <w:tc>
                <w:tcPr>
                  <w:tcW w:w="418" w:type="pct"/>
                  <w:vAlign w:val="center"/>
                </w:tcPr>
                <w:p w14:paraId="6C78808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7ED4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7AE3415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1D5C7E7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698616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污染物排放环保绩效水平准</w:t>
                  </w:r>
                </w:p>
                <w:p w14:paraId="0F13D1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入</w:t>
                  </w:r>
                </w:p>
              </w:tc>
              <w:tc>
                <w:tcPr>
                  <w:tcW w:w="2014" w:type="pct"/>
                  <w:vAlign w:val="center"/>
                </w:tcPr>
                <w:p w14:paraId="4BCF579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入园的新建、扩建金属表面处理及热处理加工、商砼（沥青）搅拌站环保绩效分级需达到A级绩效水平，改建项目达到B级绩效水平</w:t>
                  </w:r>
                </w:p>
              </w:tc>
              <w:tc>
                <w:tcPr>
                  <w:tcW w:w="1498" w:type="pct"/>
                  <w:vAlign w:val="center"/>
                </w:tcPr>
                <w:p w14:paraId="2914D55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w:t>
                  </w:r>
                  <w:r>
                    <w:rPr>
                      <w:color w:val="000000" w:themeColor="text1"/>
                      <w:sz w:val="21"/>
                      <w:szCs w:val="21"/>
                      <w14:textFill>
                        <w14:solidFill>
                          <w14:schemeClr w14:val="tx1"/>
                        </w14:solidFill>
                      </w14:textFill>
                    </w:rPr>
                    <w:t>项目不属于金属表面处理及热处理加工、商砼（沥青）搅拌站等行业</w:t>
                  </w:r>
                  <w:r>
                    <w:rPr>
                      <w:rFonts w:hint="eastAsia"/>
                      <w:color w:val="000000" w:themeColor="text1"/>
                      <w:sz w:val="21"/>
                      <w:szCs w:val="21"/>
                      <w:highlight w:val="none"/>
                      <w14:textFill>
                        <w14:solidFill>
                          <w14:schemeClr w14:val="tx1"/>
                        </w14:solidFill>
                      </w14:textFill>
                    </w:rPr>
                    <w:t>。</w:t>
                  </w:r>
                </w:p>
              </w:tc>
              <w:tc>
                <w:tcPr>
                  <w:tcW w:w="418" w:type="pct"/>
                  <w:vAlign w:val="center"/>
                </w:tcPr>
                <w:p w14:paraId="742D9FD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66B53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6AE5753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restart"/>
                  <w:vAlign w:val="center"/>
                </w:tcPr>
                <w:p w14:paraId="4BE115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环境风险防控</w:t>
                  </w:r>
                </w:p>
              </w:tc>
              <w:tc>
                <w:tcPr>
                  <w:tcW w:w="489" w:type="pct"/>
                  <w:vAlign w:val="center"/>
                </w:tcPr>
                <w:p w14:paraId="6A200F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用地环境风险防控</w:t>
                  </w:r>
                </w:p>
              </w:tc>
              <w:tc>
                <w:tcPr>
                  <w:tcW w:w="2014" w:type="pct"/>
                  <w:vAlign w:val="center"/>
                </w:tcPr>
                <w:p w14:paraId="4C40C10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1、对列入疑似污染地块名单的地块，未经土壤污染状况调查确定为未污染地块的，不得进入用地程序；</w:t>
                  </w:r>
                </w:p>
                <w:p w14:paraId="246DA1C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2、已污染地块，应当依法开展土壤污染状况调查、治理与修复，符合规划利用土地性质土壤环境质量要求后，方可进入用地程序</w:t>
                  </w:r>
                </w:p>
              </w:tc>
              <w:tc>
                <w:tcPr>
                  <w:tcW w:w="1498" w:type="pct"/>
                  <w:vAlign w:val="center"/>
                </w:tcPr>
                <w:p w14:paraId="2A0085B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项目厂区用地不属于疑似污染地块、已污染地块</w:t>
                  </w:r>
                  <w:r>
                    <w:rPr>
                      <w:rFonts w:hint="eastAsia"/>
                      <w:color w:val="000000" w:themeColor="text1"/>
                      <w:sz w:val="21"/>
                      <w:szCs w:val="21"/>
                      <w:highlight w:val="none"/>
                      <w14:textFill>
                        <w14:solidFill>
                          <w14:schemeClr w14:val="tx1"/>
                        </w14:solidFill>
                      </w14:textFill>
                    </w:rPr>
                    <w:t>。</w:t>
                  </w:r>
                </w:p>
              </w:tc>
              <w:tc>
                <w:tcPr>
                  <w:tcW w:w="418" w:type="pct"/>
                  <w:vAlign w:val="center"/>
                </w:tcPr>
                <w:p w14:paraId="5350661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7B5F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1A9BF9F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6D858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p>
              </w:tc>
              <w:tc>
                <w:tcPr>
                  <w:tcW w:w="489" w:type="pct"/>
                  <w:vAlign w:val="center"/>
                </w:tcPr>
                <w:p w14:paraId="4A2C351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企业环境风险防控</w:t>
                  </w:r>
                </w:p>
              </w:tc>
              <w:tc>
                <w:tcPr>
                  <w:tcW w:w="2014" w:type="pct"/>
                  <w:vAlign w:val="center"/>
                </w:tcPr>
                <w:p w14:paraId="63B28C9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1、禁止生产、使用《危险化学品目录》中的剧毒化学品</w:t>
                  </w:r>
                </w:p>
                <w:p w14:paraId="265B0FF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2、禁止建设采用国家重点监管的危险化工工艺项目</w:t>
                  </w:r>
                </w:p>
              </w:tc>
              <w:tc>
                <w:tcPr>
                  <w:tcW w:w="1498" w:type="pct"/>
                  <w:vAlign w:val="center"/>
                </w:tcPr>
                <w:p w14:paraId="0D8421C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本项目不生产和使用《危险化学品目录》中的剧毒化学品</w:t>
                  </w:r>
                  <w:r>
                    <w:rPr>
                      <w:rFonts w:hint="eastAsia"/>
                      <w:color w:val="000000" w:themeColor="text1"/>
                      <w:sz w:val="21"/>
                      <w:szCs w:val="21"/>
                      <w:highlight w:val="none"/>
                      <w14:textFill>
                        <w14:solidFill>
                          <w14:schemeClr w14:val="tx1"/>
                        </w14:solidFill>
                      </w14:textFill>
                    </w:rPr>
                    <w:t>；</w:t>
                  </w:r>
                </w:p>
                <w:p w14:paraId="697CA67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14:textFill>
                        <w14:solidFill>
                          <w14:schemeClr w14:val="tx1"/>
                        </w14:solidFill>
                      </w14:textFill>
                    </w:rPr>
                    <w:t>2、本项目</w:t>
                  </w:r>
                  <w:r>
                    <w:rPr>
                      <w:color w:val="000000" w:themeColor="text1"/>
                      <w:sz w:val="21"/>
                      <w:szCs w:val="21"/>
                      <w:highlight w:val="none"/>
                      <w14:textFill>
                        <w14:solidFill>
                          <w14:schemeClr w14:val="tx1"/>
                        </w14:solidFill>
                      </w14:textFill>
                    </w:rPr>
                    <w:t>不属于国家重点监管的危险化工工艺项目</w:t>
                  </w:r>
                  <w:r>
                    <w:rPr>
                      <w:rFonts w:hint="eastAsia"/>
                      <w:color w:val="000000" w:themeColor="text1"/>
                      <w:sz w:val="21"/>
                      <w:szCs w:val="21"/>
                      <w:highlight w:val="none"/>
                      <w14:textFill>
                        <w14:solidFill>
                          <w14:schemeClr w14:val="tx1"/>
                        </w14:solidFill>
                      </w14:textFill>
                    </w:rPr>
                    <w:t>。</w:t>
                  </w:r>
                </w:p>
              </w:tc>
              <w:tc>
                <w:tcPr>
                  <w:tcW w:w="418" w:type="pct"/>
                  <w:vAlign w:val="center"/>
                </w:tcPr>
                <w:p w14:paraId="7206E05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074D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5CE65CC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restart"/>
                  <w:vAlign w:val="center"/>
                </w:tcPr>
                <w:p w14:paraId="00DF4A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资源利用效率</w:t>
                  </w:r>
                </w:p>
              </w:tc>
              <w:tc>
                <w:tcPr>
                  <w:tcW w:w="489" w:type="pct"/>
                  <w:vAlign w:val="center"/>
                </w:tcPr>
                <w:p w14:paraId="6F1D1A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水资源利用效率要求</w:t>
                  </w:r>
                </w:p>
              </w:tc>
              <w:tc>
                <w:tcPr>
                  <w:tcW w:w="2014" w:type="pct"/>
                  <w:vAlign w:val="center"/>
                </w:tcPr>
                <w:p w14:paraId="22C9798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1、禁止入驻印染、制革等高耗水项目</w:t>
                  </w:r>
                </w:p>
                <w:p w14:paraId="5070EA1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2、限制工业发展使用优质南水北调水源</w:t>
                  </w:r>
                </w:p>
                <w:p w14:paraId="4ACBE69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3、开发区中水回用率不低于30%</w:t>
                  </w:r>
                </w:p>
              </w:tc>
              <w:tc>
                <w:tcPr>
                  <w:tcW w:w="1498" w:type="pct"/>
                  <w:vAlign w:val="center"/>
                </w:tcPr>
                <w:p w14:paraId="23B10B4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项目不属于印染、制革等高耗水项目</w:t>
                  </w:r>
                  <w:r>
                    <w:rPr>
                      <w:rFonts w:hint="eastAsia"/>
                      <w:color w:val="000000" w:themeColor="text1"/>
                      <w:sz w:val="21"/>
                      <w:szCs w:val="21"/>
                      <w:highlight w:val="none"/>
                      <w14:textFill>
                        <w14:solidFill>
                          <w14:schemeClr w14:val="tx1"/>
                        </w14:solidFill>
                      </w14:textFill>
                    </w:rPr>
                    <w:t>；</w:t>
                  </w:r>
                </w:p>
                <w:p w14:paraId="37CF944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r>
                    <w:rPr>
                      <w:color w:val="000000" w:themeColor="text1"/>
                      <w:sz w:val="21"/>
                      <w:szCs w:val="21"/>
                      <w:highlight w:val="none"/>
                      <w14:textFill>
                        <w14:solidFill>
                          <w14:schemeClr w14:val="tx1"/>
                        </w14:solidFill>
                      </w14:textFill>
                    </w:rPr>
                    <w:t>项目用水来源于市政供水</w:t>
                  </w:r>
                  <w:r>
                    <w:rPr>
                      <w:rFonts w:hint="eastAsia"/>
                      <w:color w:val="000000" w:themeColor="text1"/>
                      <w:sz w:val="21"/>
                      <w:szCs w:val="21"/>
                      <w:highlight w:val="none"/>
                      <w14:textFill>
                        <w14:solidFill>
                          <w14:schemeClr w14:val="tx1"/>
                        </w14:solidFill>
                      </w14:textFill>
                    </w:rPr>
                    <w:t>；</w:t>
                  </w:r>
                </w:p>
                <w:p w14:paraId="4E80FE7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14:textFill>
                        <w14:solidFill>
                          <w14:schemeClr w14:val="tx1"/>
                        </w14:solidFill>
                      </w14:textFill>
                    </w:rPr>
                    <w:t>3、本项目不涉及。</w:t>
                  </w:r>
                </w:p>
              </w:tc>
              <w:tc>
                <w:tcPr>
                  <w:tcW w:w="418" w:type="pct"/>
                  <w:vAlign w:val="center"/>
                </w:tcPr>
                <w:p w14:paraId="58C14C7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5242D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125DAF1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1EDDDBF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33B3E6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地下水开采要求</w:t>
                  </w:r>
                </w:p>
              </w:tc>
              <w:tc>
                <w:tcPr>
                  <w:tcW w:w="2014" w:type="pct"/>
                  <w:vAlign w:val="center"/>
                </w:tcPr>
                <w:p w14:paraId="4703A27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禁止工业发展新增地下水开采量</w:t>
                  </w:r>
                </w:p>
              </w:tc>
              <w:tc>
                <w:tcPr>
                  <w:tcW w:w="1498" w:type="pct"/>
                  <w:vAlign w:val="center"/>
                </w:tcPr>
                <w:p w14:paraId="627946E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项目用水来源于市政供水</w:t>
                  </w:r>
                  <w:r>
                    <w:rPr>
                      <w:rFonts w:hint="eastAsia"/>
                      <w:color w:val="000000" w:themeColor="text1"/>
                      <w:sz w:val="21"/>
                      <w:szCs w:val="21"/>
                      <w:highlight w:val="none"/>
                      <w14:textFill>
                        <w14:solidFill>
                          <w14:schemeClr w14:val="tx1"/>
                        </w14:solidFill>
                      </w14:textFill>
                    </w:rPr>
                    <w:t>。</w:t>
                  </w:r>
                </w:p>
              </w:tc>
              <w:tc>
                <w:tcPr>
                  <w:tcW w:w="418" w:type="pct"/>
                  <w:vAlign w:val="center"/>
                </w:tcPr>
                <w:p w14:paraId="48D5D40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4F7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restart"/>
                  <w:vAlign w:val="center"/>
                </w:tcPr>
                <w:p w14:paraId="0C279B0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其他方面</w:t>
                  </w:r>
                </w:p>
              </w:tc>
              <w:tc>
                <w:tcPr>
                  <w:tcW w:w="284" w:type="pct"/>
                  <w:vMerge w:val="restart"/>
                  <w:vAlign w:val="center"/>
                </w:tcPr>
                <w:p w14:paraId="67F07C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产业政策</w:t>
                  </w:r>
                </w:p>
              </w:tc>
              <w:tc>
                <w:tcPr>
                  <w:tcW w:w="489" w:type="pct"/>
                  <w:vAlign w:val="center"/>
                </w:tcPr>
                <w:p w14:paraId="285734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鼓励类</w:t>
                  </w:r>
                </w:p>
              </w:tc>
              <w:tc>
                <w:tcPr>
                  <w:tcW w:w="2014" w:type="pct"/>
                  <w:vAlign w:val="center"/>
                </w:tcPr>
                <w:p w14:paraId="30100A1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1、鼓励园区市政基础设施项目、集中供热中心热电联产扩建项目</w:t>
                  </w:r>
                </w:p>
                <w:p w14:paraId="0CD918F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2、鼓励属于《产业结构调整指导目录（2024年本）》中鼓励类项目、且环境影响较小的项目入驻</w:t>
                  </w:r>
                </w:p>
              </w:tc>
              <w:tc>
                <w:tcPr>
                  <w:tcW w:w="1498" w:type="pct"/>
                  <w:vAlign w:val="center"/>
                </w:tcPr>
                <w:p w14:paraId="1744A28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项目属于《产业结构调整指导目录（2024年本）》</w:t>
                  </w:r>
                  <w:r>
                    <w:rPr>
                      <w:rFonts w:hint="eastAsia"/>
                      <w:color w:val="000000" w:themeColor="text1"/>
                      <w:sz w:val="21"/>
                      <w:szCs w:val="21"/>
                      <w:highlight w:val="none"/>
                      <w14:textFill>
                        <w14:solidFill>
                          <w14:schemeClr w14:val="tx1"/>
                        </w14:solidFill>
                      </w14:textFill>
                    </w:rPr>
                    <w:t>中</w:t>
                  </w:r>
                  <w:r>
                    <w:rPr>
                      <w:rFonts w:hint="eastAsia"/>
                      <w:color w:val="000000" w:themeColor="text1"/>
                      <w:sz w:val="21"/>
                      <w:szCs w:val="21"/>
                      <w:highlight w:val="none"/>
                      <w:lang w:val="en-US" w:eastAsia="zh-CN"/>
                      <w14:textFill>
                        <w14:solidFill>
                          <w14:schemeClr w14:val="tx1"/>
                        </w14:solidFill>
                      </w14:textFill>
                    </w:rPr>
                    <w:t>鼓励</w:t>
                  </w:r>
                  <w:r>
                    <w:rPr>
                      <w:color w:val="000000" w:themeColor="text1"/>
                      <w:sz w:val="21"/>
                      <w:szCs w:val="21"/>
                      <w:highlight w:val="none"/>
                      <w14:textFill>
                        <w14:solidFill>
                          <w14:schemeClr w14:val="tx1"/>
                        </w14:solidFill>
                      </w14:textFill>
                    </w:rPr>
                    <w:t>类，在严格落实各项污染防治措施基础上预计对环境影响较小</w:t>
                  </w:r>
                  <w:r>
                    <w:rPr>
                      <w:rFonts w:hint="eastAsia"/>
                      <w:color w:val="000000" w:themeColor="text1"/>
                      <w:sz w:val="21"/>
                      <w:szCs w:val="21"/>
                      <w:highlight w:val="none"/>
                      <w14:textFill>
                        <w14:solidFill>
                          <w14:schemeClr w14:val="tx1"/>
                        </w14:solidFill>
                      </w14:textFill>
                    </w:rPr>
                    <w:t>。</w:t>
                  </w:r>
                </w:p>
              </w:tc>
              <w:tc>
                <w:tcPr>
                  <w:tcW w:w="418" w:type="pct"/>
                  <w:vAlign w:val="center"/>
                </w:tcPr>
                <w:p w14:paraId="6EFB870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CC1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4DA0CA1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7A9F3AF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59D127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限制类</w:t>
                  </w:r>
                </w:p>
              </w:tc>
              <w:tc>
                <w:tcPr>
                  <w:tcW w:w="2014" w:type="pct"/>
                  <w:vAlign w:val="center"/>
                </w:tcPr>
                <w:p w14:paraId="1850A7B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1、《产业结构调整指导目录（2024年本）》中限制类项目</w:t>
                  </w:r>
                </w:p>
                <w:p w14:paraId="2146239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2、《产业发展与转移指导目录（2018年本）》中，中部地区引导逐步调整退出的产业</w:t>
                  </w:r>
                </w:p>
              </w:tc>
              <w:tc>
                <w:tcPr>
                  <w:tcW w:w="1498" w:type="pct"/>
                  <w:vAlign w:val="center"/>
                </w:tcPr>
                <w:p w14:paraId="6492CA6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项目不属于《产业结构调整指导目录（2024年本）》中限制类项目</w:t>
                  </w:r>
                  <w:r>
                    <w:rPr>
                      <w:rFonts w:hint="eastAsia"/>
                      <w:color w:val="000000" w:themeColor="text1"/>
                      <w:sz w:val="21"/>
                      <w:szCs w:val="21"/>
                      <w:highlight w:val="none"/>
                      <w14:textFill>
                        <w14:solidFill>
                          <w14:schemeClr w14:val="tx1"/>
                        </w14:solidFill>
                      </w14:textFill>
                    </w:rPr>
                    <w:t>；</w:t>
                  </w:r>
                </w:p>
                <w:p w14:paraId="0DB0533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2、本项目不属于</w:t>
                  </w:r>
                  <w:r>
                    <w:rPr>
                      <w:color w:val="000000" w:themeColor="text1"/>
                      <w:sz w:val="21"/>
                      <w:szCs w:val="21"/>
                      <w:highlight w:val="none"/>
                      <w14:textFill>
                        <w14:solidFill>
                          <w14:schemeClr w14:val="tx1"/>
                        </w14:solidFill>
                      </w14:textFill>
                    </w:rPr>
                    <w:t>《产业发展与转移指导目录（2018年本）》中，中部地区引导逐步调整退出的产业</w:t>
                  </w:r>
                  <w:r>
                    <w:rPr>
                      <w:rFonts w:hint="eastAsia"/>
                      <w:color w:val="000000" w:themeColor="text1"/>
                      <w:sz w:val="21"/>
                      <w:szCs w:val="21"/>
                      <w:highlight w:val="none"/>
                      <w14:textFill>
                        <w14:solidFill>
                          <w14:schemeClr w14:val="tx1"/>
                        </w14:solidFill>
                      </w14:textFill>
                    </w:rPr>
                    <w:t>。</w:t>
                  </w:r>
                </w:p>
              </w:tc>
              <w:tc>
                <w:tcPr>
                  <w:tcW w:w="418" w:type="pct"/>
                  <w:vAlign w:val="center"/>
                </w:tcPr>
                <w:p w14:paraId="2AB8EA3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5D23E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331BF6E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284" w:type="pct"/>
                  <w:vMerge w:val="continue"/>
                  <w:vAlign w:val="center"/>
                </w:tcPr>
                <w:p w14:paraId="3720933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489" w:type="pct"/>
                  <w:vAlign w:val="center"/>
                </w:tcPr>
                <w:p w14:paraId="4D7813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禁止类</w:t>
                  </w:r>
                </w:p>
              </w:tc>
              <w:tc>
                <w:tcPr>
                  <w:tcW w:w="2014" w:type="pct"/>
                  <w:vAlign w:val="center"/>
                </w:tcPr>
                <w:p w14:paraId="1F0D821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1、禁止建设《河南省承接化工产业转移</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禁限控</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目录》（豫发改工业[2022]610号）中项目</w:t>
                  </w:r>
                </w:p>
                <w:p w14:paraId="43247FC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2、禁止建设《产业结构调整指导目录（2023年本）》中淘汰类、限制类项目</w:t>
                  </w:r>
                </w:p>
                <w:p w14:paraId="2363DB4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3、《产业发展与转移指导目录（2018年本）》中，中部地区引导不再承接的产业</w:t>
                  </w:r>
                </w:p>
                <w:p w14:paraId="4DC9C1D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东部片区禁止入驻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tc>
              <w:tc>
                <w:tcPr>
                  <w:tcW w:w="1498" w:type="pct"/>
                  <w:vAlign w:val="center"/>
                </w:tcPr>
                <w:p w14:paraId="3CCFE2E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1、本项目不属于《河南省承接化工产业转移</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禁限控</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目录》（豫发改工业[2022]610号）中项目；</w:t>
                  </w:r>
                </w:p>
                <w:p w14:paraId="68AE9EA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2、本项目属于《产业结构调整指导目录（2024年本）》中</w:t>
                  </w:r>
                  <w:r>
                    <w:rPr>
                      <w:rFonts w:hint="eastAsia"/>
                      <w:color w:val="000000" w:themeColor="text1"/>
                      <w:sz w:val="21"/>
                      <w:szCs w:val="21"/>
                      <w:highlight w:val="none"/>
                      <w:lang w:val="en-US" w:eastAsia="zh-CN"/>
                      <w14:textFill>
                        <w14:solidFill>
                          <w14:schemeClr w14:val="tx1"/>
                        </w14:solidFill>
                      </w14:textFill>
                    </w:rPr>
                    <w:t>鼓励</w:t>
                  </w:r>
                  <w:r>
                    <w:rPr>
                      <w:color w:val="000000" w:themeColor="text1"/>
                      <w:sz w:val="21"/>
                      <w:szCs w:val="21"/>
                      <w:highlight w:val="none"/>
                      <w14:textFill>
                        <w14:solidFill>
                          <w14:schemeClr w14:val="tx1"/>
                        </w14:solidFill>
                      </w14:textFill>
                    </w:rPr>
                    <w:t>类项目，不属于淘汰类、限制类项目；</w:t>
                  </w:r>
                </w:p>
                <w:p w14:paraId="7B495B3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3、本项目不属于《产业发展与转移指导目录（2018年本）》中，中部地区引导不再承接的产业；</w:t>
                  </w:r>
                </w:p>
                <w:p w14:paraId="5776229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4、本项目不属于化学原料和化学制品制造业、平板玻璃、水泥等产能项目</w:t>
                  </w:r>
                  <w:r>
                    <w:rPr>
                      <w:rFonts w:hint="eastAsia"/>
                      <w:color w:val="000000" w:themeColor="text1"/>
                      <w:sz w:val="21"/>
                      <w:szCs w:val="21"/>
                      <w:highlight w:val="none"/>
                      <w14:textFill>
                        <w14:solidFill>
                          <w14:schemeClr w14:val="tx1"/>
                        </w14:solidFill>
                      </w14:textFill>
                    </w:rPr>
                    <w:t>。</w:t>
                  </w:r>
                </w:p>
              </w:tc>
              <w:tc>
                <w:tcPr>
                  <w:tcW w:w="418" w:type="pct"/>
                  <w:vAlign w:val="center"/>
                </w:tcPr>
                <w:p w14:paraId="4F80C93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13A6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1FCB60F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774" w:type="pct"/>
                  <w:gridSpan w:val="2"/>
                  <w:vAlign w:val="center"/>
                </w:tcPr>
                <w:p w14:paraId="557B25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生产规模和工艺装备水平</w:t>
                  </w:r>
                </w:p>
              </w:tc>
              <w:tc>
                <w:tcPr>
                  <w:tcW w:w="2014" w:type="pct"/>
                  <w:vAlign w:val="center"/>
                </w:tcPr>
                <w:p w14:paraId="4112F85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1、入园项目必须达到国内同行业领先水平或具备国际先进水平</w:t>
                  </w:r>
                </w:p>
                <w:p w14:paraId="4801208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2、入园企业建设规模应符合国家相关行业准入条件中的经济、产品规模和生产工艺、污染治理、污染 物排放的相关要求</w:t>
                  </w:r>
                </w:p>
              </w:tc>
              <w:tc>
                <w:tcPr>
                  <w:tcW w:w="2421" w:type="dxa"/>
                  <w:vAlign w:val="center"/>
                </w:tcPr>
                <w:p w14:paraId="0992BAA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14:textFill>
                        <w14:solidFill>
                          <w14:schemeClr w14:val="tx1"/>
                        </w14:solidFill>
                      </w14:textFill>
                    </w:rPr>
                    <w:t>项目达到国内同行业领先水平；项目生产工艺、污染防治措施及污染物排放满足相关标准要求</w:t>
                  </w:r>
                  <w:r>
                    <w:rPr>
                      <w:rFonts w:hint="eastAsia"/>
                      <w:color w:val="000000" w:themeColor="text1"/>
                      <w:sz w:val="21"/>
                      <w:szCs w:val="21"/>
                      <w14:textFill>
                        <w14:solidFill>
                          <w14:schemeClr w14:val="tx1"/>
                        </w14:solidFill>
                      </w14:textFill>
                    </w:rPr>
                    <w:t>。</w:t>
                  </w:r>
                </w:p>
              </w:tc>
              <w:tc>
                <w:tcPr>
                  <w:tcW w:w="418" w:type="pct"/>
                  <w:vAlign w:val="center"/>
                </w:tcPr>
                <w:p w14:paraId="737F820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68D9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421654A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774" w:type="pct"/>
                  <w:gridSpan w:val="2"/>
                  <w:vAlign w:val="center"/>
                </w:tcPr>
                <w:p w14:paraId="1589B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清洁生产</w:t>
                  </w:r>
                </w:p>
              </w:tc>
              <w:tc>
                <w:tcPr>
                  <w:tcW w:w="2014" w:type="pct"/>
                  <w:vAlign w:val="center"/>
                </w:tcPr>
                <w:p w14:paraId="673759D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1、应选择使用原料和产品为环境友好型的项目，避免园区大规模建设造成的不良辐射效应，诱使国家明令禁止项目在园区周边出现</w:t>
                  </w:r>
                </w:p>
                <w:p w14:paraId="0767742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2、入园项目在单位产品水耗、能耗、污染物排放量等清洁生产指标应达到国内同类行业先进水平；</w:t>
                  </w:r>
                </w:p>
                <w:p w14:paraId="4985599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3、按照循环经济发展之路，评价建议能够与园区定位发展产业形成良好循环经济链条的项目可优先入园</w:t>
                  </w:r>
                </w:p>
              </w:tc>
              <w:tc>
                <w:tcPr>
                  <w:tcW w:w="2421" w:type="dxa"/>
                  <w:vAlign w:val="center"/>
                </w:tcPr>
                <w:p w14:paraId="57B7200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1、本项目原料和产品均为环境友好型，对园区环境产生的负面影响较小；</w:t>
                  </w:r>
                </w:p>
                <w:p w14:paraId="6DA9FE9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Theme="minor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2、本项目</w:t>
                  </w:r>
                  <w:r>
                    <w:rPr>
                      <w:color w:val="000000" w:themeColor="text1"/>
                      <w:sz w:val="21"/>
                      <w:szCs w:val="21"/>
                      <w14:textFill>
                        <w14:solidFill>
                          <w14:schemeClr w14:val="tx1"/>
                        </w14:solidFill>
                      </w14:textFill>
                    </w:rPr>
                    <w:t>单位产品水耗、能耗、污染物排放量等清洁生产指标</w:t>
                  </w:r>
                  <w:r>
                    <w:rPr>
                      <w:rFonts w:hint="eastAsia"/>
                      <w:color w:val="000000" w:themeColor="text1"/>
                      <w:sz w:val="21"/>
                      <w:szCs w:val="21"/>
                      <w:lang w:val="en-US" w:eastAsia="zh-CN"/>
                      <w14:textFill>
                        <w14:solidFill>
                          <w14:schemeClr w14:val="tx1"/>
                        </w14:solidFill>
                      </w14:textFill>
                    </w:rPr>
                    <w:t>可以</w:t>
                  </w:r>
                  <w:r>
                    <w:rPr>
                      <w:color w:val="000000" w:themeColor="text1"/>
                      <w:sz w:val="21"/>
                      <w:szCs w:val="21"/>
                      <w14:textFill>
                        <w14:solidFill>
                          <w14:schemeClr w14:val="tx1"/>
                        </w14:solidFill>
                      </w14:textFill>
                    </w:rPr>
                    <w:t>达到国内同类行业先进水平</w:t>
                  </w:r>
                  <w:r>
                    <w:rPr>
                      <w:rFonts w:hint="eastAsia"/>
                      <w:color w:val="000000" w:themeColor="text1"/>
                      <w:sz w:val="21"/>
                      <w:szCs w:val="21"/>
                      <w:lang w:eastAsia="zh-CN"/>
                      <w14:textFill>
                        <w14:solidFill>
                          <w14:schemeClr w14:val="tx1"/>
                        </w14:solidFill>
                      </w14:textFill>
                    </w:rPr>
                    <w:t>；</w:t>
                  </w:r>
                </w:p>
                <w:p w14:paraId="3EFE9D3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3、项目建设能够与园区现有产业体系实现资源高效循环利用、产业链协同互补</w:t>
                  </w:r>
                  <w:r>
                    <w:rPr>
                      <w:rFonts w:hint="eastAsia"/>
                      <w:color w:val="000000" w:themeColor="text1"/>
                      <w:sz w:val="21"/>
                      <w:szCs w:val="21"/>
                      <w14:textFill>
                        <w14:solidFill>
                          <w14:schemeClr w14:val="tx1"/>
                        </w14:solidFill>
                      </w14:textFill>
                    </w:rPr>
                    <w:t>。</w:t>
                  </w:r>
                </w:p>
              </w:tc>
              <w:tc>
                <w:tcPr>
                  <w:tcW w:w="418" w:type="pct"/>
                  <w:vAlign w:val="center"/>
                </w:tcPr>
                <w:p w14:paraId="289DE35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74CF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65BF245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p>
              </w:tc>
              <w:tc>
                <w:tcPr>
                  <w:tcW w:w="774" w:type="pct"/>
                  <w:gridSpan w:val="2"/>
                  <w:vAlign w:val="center"/>
                </w:tcPr>
                <w:p w14:paraId="3DB8224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土地利用</w:t>
                  </w:r>
                </w:p>
              </w:tc>
              <w:tc>
                <w:tcPr>
                  <w:tcW w:w="2014" w:type="pct"/>
                  <w:vAlign w:val="center"/>
                </w:tcPr>
                <w:p w14:paraId="7C834BC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1、入园项目投资强度满足《工业项目建设用地控制指标》的要求和《河南省人民政府办公厅关于实施开发区土地利用综合评价促进节约集约高效用地的意见》（豫政办[2023]13号）文件要求</w:t>
                  </w:r>
                </w:p>
                <w:p w14:paraId="7693EEE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2、入园项目用地必须符合园区土地利用规划要求</w:t>
                  </w:r>
                </w:p>
                <w:p w14:paraId="37FB1E4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3、入园项目必须符合园区产业布局要求</w:t>
                  </w:r>
                </w:p>
              </w:tc>
              <w:tc>
                <w:tcPr>
                  <w:tcW w:w="1498" w:type="pct"/>
                  <w:vAlign w:val="center"/>
                </w:tcPr>
                <w:p w14:paraId="4203419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r>
                    <w:rPr>
                      <w:color w:val="000000" w:themeColor="text1"/>
                      <w:sz w:val="21"/>
                      <w:szCs w:val="21"/>
                      <w:highlight w:val="none"/>
                      <w14:textFill>
                        <w14:solidFill>
                          <w14:schemeClr w14:val="tx1"/>
                        </w14:solidFill>
                      </w14:textFill>
                    </w:rPr>
                    <w:t>本项目投资强度满足《工业项目建设用地控制指标》的要求和《河南省人民政府办公厅关于实施开发区土地利用综合评价促进节约集约高效用地的意见》（豫政办[2023]13号）文件要求</w:t>
                  </w:r>
                  <w:r>
                    <w:rPr>
                      <w:rFonts w:hint="eastAsia"/>
                      <w:color w:val="000000" w:themeColor="text1"/>
                      <w:sz w:val="21"/>
                      <w:szCs w:val="21"/>
                      <w:highlight w:val="none"/>
                      <w:lang w:val="en-US" w:eastAsia="zh-CN"/>
                      <w14:textFill>
                        <w14:solidFill>
                          <w14:schemeClr w14:val="tx1"/>
                        </w14:solidFill>
                      </w14:textFill>
                    </w:rPr>
                    <w:t>；</w:t>
                  </w:r>
                </w:p>
                <w:p w14:paraId="331EA2A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2、项目建设</w:t>
                  </w:r>
                  <w:r>
                    <w:rPr>
                      <w:color w:val="000000" w:themeColor="text1"/>
                      <w:sz w:val="21"/>
                      <w:szCs w:val="21"/>
                      <w:highlight w:val="none"/>
                      <w14:textFill>
                        <w14:solidFill>
                          <w14:schemeClr w14:val="tx1"/>
                        </w14:solidFill>
                      </w14:textFill>
                    </w:rPr>
                    <w:t>符合园区土地利用规划要求</w:t>
                  </w:r>
                  <w:r>
                    <w:rPr>
                      <w:rFonts w:hint="eastAsia"/>
                      <w:color w:val="000000" w:themeColor="text1"/>
                      <w:sz w:val="21"/>
                      <w:szCs w:val="21"/>
                      <w:highlight w:val="none"/>
                      <w:lang w:eastAsia="zh-CN"/>
                      <w14:textFill>
                        <w14:solidFill>
                          <w14:schemeClr w14:val="tx1"/>
                        </w14:solidFill>
                      </w14:textFill>
                    </w:rPr>
                    <w:t>；</w:t>
                  </w:r>
                </w:p>
                <w:p w14:paraId="13C7AE7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3、项目建设</w:t>
                  </w:r>
                  <w:r>
                    <w:rPr>
                      <w:color w:val="000000" w:themeColor="text1"/>
                      <w:sz w:val="21"/>
                      <w:szCs w:val="21"/>
                      <w:highlight w:val="none"/>
                      <w14:textFill>
                        <w14:solidFill>
                          <w14:schemeClr w14:val="tx1"/>
                        </w14:solidFill>
                      </w14:textFill>
                    </w:rPr>
                    <w:t>符合园区</w:t>
                  </w:r>
                  <w:r>
                    <w:rPr>
                      <w:rFonts w:hint="eastAsia"/>
                      <w:color w:val="000000" w:themeColor="text1"/>
                      <w:sz w:val="21"/>
                      <w:szCs w:val="21"/>
                      <w:highlight w:val="none"/>
                      <w:lang w:val="en-US" w:eastAsia="zh-CN"/>
                      <w14:textFill>
                        <w14:solidFill>
                          <w14:schemeClr w14:val="tx1"/>
                        </w14:solidFill>
                      </w14:textFill>
                    </w:rPr>
                    <w:t>产业布局</w:t>
                  </w:r>
                  <w:r>
                    <w:rPr>
                      <w:color w:val="000000" w:themeColor="text1"/>
                      <w:sz w:val="21"/>
                      <w:szCs w:val="21"/>
                      <w:highlight w:val="none"/>
                      <w14:textFill>
                        <w14:solidFill>
                          <w14:schemeClr w14:val="tx1"/>
                        </w14:solidFill>
                      </w14:textFill>
                    </w:rPr>
                    <w:t>要求</w:t>
                  </w:r>
                  <w:r>
                    <w:rPr>
                      <w:rFonts w:hint="eastAsia"/>
                      <w:color w:val="000000" w:themeColor="text1"/>
                      <w:sz w:val="21"/>
                      <w:szCs w:val="21"/>
                      <w:highlight w:val="none"/>
                      <w:lang w:eastAsia="zh-CN"/>
                      <w14:textFill>
                        <w14:solidFill>
                          <w14:schemeClr w14:val="tx1"/>
                        </w14:solidFill>
                      </w14:textFill>
                    </w:rPr>
                    <w:t>。</w:t>
                  </w:r>
                </w:p>
              </w:tc>
              <w:tc>
                <w:tcPr>
                  <w:tcW w:w="418" w:type="pct"/>
                  <w:vAlign w:val="center"/>
                </w:tcPr>
                <w:p w14:paraId="3078BCE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14:paraId="7B208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0723C65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yellow"/>
                      <w14:textFill>
                        <w14:solidFill>
                          <w14:schemeClr w14:val="tx1"/>
                        </w14:solidFill>
                      </w14:textFill>
                    </w:rPr>
                  </w:pPr>
                  <w:r>
                    <w:rPr>
                      <w:color w:val="000000" w:themeColor="text1"/>
                      <w:sz w:val="21"/>
                      <w:szCs w:val="21"/>
                      <w:highlight w:val="none"/>
                      <w14:textFill>
                        <w14:solidFill>
                          <w14:schemeClr w14:val="tx1"/>
                        </w14:solidFill>
                      </w14:textFill>
                    </w:rPr>
                    <w:t>注：*配套电镀企业是指电镀加工只是企业生产流程中的一道工序。</w:t>
                  </w:r>
                </w:p>
              </w:tc>
            </w:tr>
          </w:tbl>
          <w:p w14:paraId="04C1E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，本项目建设符合《镇平县先进制造业开发区发展规划（2022-2035）环境影响报告书》中镇平县先进制造业开发区环境准入负面清单</w:t>
            </w:r>
            <w:r>
              <w:rPr>
                <w:rFonts w:hint="eastAsia"/>
                <w:bCs/>
                <w:color w:val="000000" w:themeColor="text1"/>
                <w:sz w:val="24"/>
                <w:lang w:val="en-US" w:eastAsia="zh-CN"/>
                <w14:textFill>
                  <w14:solidFill>
                    <w14:schemeClr w14:val="tx1"/>
                  </w14:solidFill>
                </w14:textFill>
              </w:rPr>
              <w:t>和</w:t>
            </w:r>
            <w:r>
              <w:rPr>
                <w:bCs/>
                <w:color w:val="000000" w:themeColor="text1"/>
                <w:sz w:val="24"/>
                <w14:textFill>
                  <w14:solidFill>
                    <w14:schemeClr w14:val="tx1"/>
                  </w14:solidFill>
                </w14:textFill>
              </w:rPr>
              <w:t>环境准入要求。</w:t>
            </w:r>
          </w:p>
          <w:p w14:paraId="76FFD422">
            <w:pPr>
              <w:tabs>
                <w:tab w:val="left" w:pos="1081"/>
              </w:tabs>
              <w:adjustRightInd w:val="0"/>
              <w:snapToGrid w:val="0"/>
              <w:spacing w:line="360" w:lineRule="auto"/>
              <w:ind w:left="0" w:leftChars="0" w:firstLine="0" w:firstLineChars="0"/>
              <w:rPr>
                <w:rFonts w:hint="default" w:ascii="Times New Roman" w:hAnsi="Times New Roman" w:eastAsia="黑体" w:cs="Times New Roman"/>
                <w:b w:val="0"/>
                <w:bCs/>
                <w:color w:val="000000" w:themeColor="text1"/>
                <w:sz w:val="24"/>
                <w14:textFill>
                  <w14:solidFill>
                    <w14:schemeClr w14:val="tx1"/>
                  </w14:solidFill>
                </w14:textFill>
              </w:rPr>
            </w:pPr>
            <w:r>
              <w:rPr>
                <w:rFonts w:hint="default" w:ascii="Times New Roman" w:hAnsi="Times New Roman" w:eastAsia="黑体" w:cs="Times New Roman"/>
                <w:b w:val="0"/>
                <w:bCs/>
                <w:color w:val="000000" w:themeColor="text1"/>
                <w:sz w:val="24"/>
                <w14:textFill>
                  <w14:solidFill>
                    <w14:schemeClr w14:val="tx1"/>
                  </w14:solidFill>
                </w14:textFill>
              </w:rPr>
              <w:t>3、项目与河南省生态环境厅关于《镇平县先进制造业开发区发展规划（2022-2035）环境影响报告书》的审查意见（豫环函〔2024〕128号）的相符性分析</w:t>
            </w:r>
          </w:p>
          <w:p w14:paraId="26531282">
            <w:pPr>
              <w:pStyle w:val="17"/>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color w:val="000000" w:themeColor="text1"/>
                <w:sz w:val="24"/>
                <w14:textFill>
                  <w14:solidFill>
                    <w14:schemeClr w14:val="tx1"/>
                  </w14:solidFill>
                </w14:textFill>
              </w:rPr>
            </w:pPr>
            <w:r>
              <w:rPr>
                <w:rFonts w:hint="default" w:ascii="Times New Roman" w:hAnsi="Times New Roman" w:eastAsia="黑体" w:cs="Times New Roman"/>
                <w:b w:val="0"/>
                <w:bCs/>
                <w:color w:val="000000" w:themeColor="text1"/>
                <w:sz w:val="24"/>
                <w14:textFill>
                  <w14:solidFill>
                    <w14:schemeClr w14:val="tx1"/>
                  </w14:solidFill>
                </w14:textFill>
              </w:rPr>
              <w:t>表1-</w:t>
            </w:r>
            <w:r>
              <w:rPr>
                <w:rFonts w:hint="eastAsia" w:eastAsia="黑体" w:cs="Times New Roman"/>
                <w:b w:val="0"/>
                <w:bCs/>
                <w:color w:val="000000" w:themeColor="text1"/>
                <w:sz w:val="24"/>
                <w:lang w:val="en-US" w:eastAsia="zh-CN"/>
                <w14:textFill>
                  <w14:solidFill>
                    <w14:schemeClr w14:val="tx1"/>
                  </w14:solidFill>
                </w14:textFill>
              </w:rPr>
              <w:t>5</w:t>
            </w:r>
            <w:r>
              <w:rPr>
                <w:rFonts w:hint="default" w:ascii="Times New Roman" w:hAnsi="Times New Roman" w:eastAsia="黑体" w:cs="Times New Roman"/>
                <w:b w:val="0"/>
                <w:bCs/>
                <w:color w:val="000000" w:themeColor="text1"/>
                <w:sz w:val="24"/>
                <w14:textFill>
                  <w14:solidFill>
                    <w14:schemeClr w14:val="tx1"/>
                  </w14:solidFill>
                </w14:textFill>
              </w:rPr>
              <w:t xml:space="preserve">  项目与河南省生态环境厅关于《镇平县先进制造业开发区发展规划（2022-2035）环境影响报告书》的审查意见（豫环函〔2024〕128号）相符性分析一览表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7"/>
              <w:gridCol w:w="3176"/>
              <w:gridCol w:w="832"/>
            </w:tblGrid>
            <w:tr w14:paraId="3170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4C5647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审查意见要求</w:t>
                  </w:r>
                </w:p>
              </w:tc>
              <w:tc>
                <w:tcPr>
                  <w:tcW w:w="1965" w:type="pct"/>
                  <w:vAlign w:val="center"/>
                </w:tcPr>
                <w:p w14:paraId="332590C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本项目情况</w:t>
                  </w:r>
                </w:p>
              </w:tc>
              <w:tc>
                <w:tcPr>
                  <w:tcW w:w="515" w:type="pct"/>
                  <w:vAlign w:val="center"/>
                </w:tcPr>
                <w:p w14:paraId="7EBB5BD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相符性</w:t>
                  </w:r>
                </w:p>
              </w:tc>
            </w:tr>
            <w:tr w14:paraId="32B0F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50F94F3F">
                  <w:pPr>
                    <w:keepNext w:val="0"/>
                    <w:keepLines w:val="0"/>
                    <w:pageBreakBefore w:val="0"/>
                    <w:kinsoku/>
                    <w:wordWrap/>
                    <w:overflowPunct/>
                    <w:topLinePunct w:val="0"/>
                    <w:autoSpaceDE w:val="0"/>
                    <w:autoSpaceDN w:val="0"/>
                    <w:bidi w:val="0"/>
                    <w:adjustRightInd w:val="0"/>
                    <w:snapToGrid/>
                    <w:spacing w:line="240" w:lineRule="auto"/>
                    <w:ind w:firstLine="0" w:firstLineChars="0"/>
                    <w:jc w:val="left"/>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一、开发区的基本情况</w:t>
                  </w:r>
                </w:p>
                <w:p w14:paraId="30D0F479">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镇平县先进制造业开发区包括三个片区，主导产业为非金属矿物制品、绿色食品、高端装备制造。根据《河南省人民政府办公厅关于公布河南省开发区四至边界范围的通知》（豫政办〔2023〕26号）确定四至边界范围，片区1：东至航天大道，西至玉龙路，南至宁西铁路，北至S330、北环路；片区2：东至航天大道、天工路，西至玉缘路，南至南外环路，北至杏山大道；片区3：东至东外环路，西至东三里河，南至平安大道，北至建设大道。规划建设用地面积1204.04公顷。</w:t>
                  </w:r>
                </w:p>
              </w:tc>
              <w:tc>
                <w:tcPr>
                  <w:tcW w:w="1965" w:type="pct"/>
                  <w:vAlign w:val="center"/>
                </w:tcPr>
                <w:p w14:paraId="4C7AE57C">
                  <w:pPr>
                    <w:keepNext w:val="0"/>
                    <w:keepLines w:val="0"/>
                    <w:pageBreakBefore w:val="0"/>
                    <w:widowControl/>
                    <w:kinsoku/>
                    <w:wordWrap/>
                    <w:overflowPunct/>
                    <w:topLinePunct w:val="0"/>
                    <w:bidi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本项目位于</w:t>
                  </w:r>
                  <w:r>
                    <w:rPr>
                      <w:rFonts w:hint="eastAsia"/>
                      <w:color w:val="000000" w:themeColor="text1"/>
                      <w:sz w:val="21"/>
                      <w:szCs w:val="21"/>
                      <w:highlight w:val="none"/>
                      <w:lang w:val="en-US" w:eastAsia="zh-CN"/>
                      <w14:textFill>
                        <w14:solidFill>
                          <w14:schemeClr w14:val="tx1"/>
                        </w14:solidFill>
                      </w14:textFill>
                    </w:rPr>
                    <w:t>南阳市镇平县先进制造业开发区玉神路与建设路交叉口北200米8号</w:t>
                  </w:r>
                  <w:r>
                    <w:rPr>
                      <w:color w:val="000000" w:themeColor="text1"/>
                      <w:sz w:val="21"/>
                      <w:szCs w:val="21"/>
                      <w:highlight w:val="none"/>
                      <w14:textFill>
                        <w14:solidFill>
                          <w14:schemeClr w14:val="tx1"/>
                        </w14:solidFill>
                      </w14:textFill>
                    </w:rPr>
                    <w:t>，位于南阳市镇平县先进制造业开发区规划范围内的片区2，</w:t>
                  </w:r>
                  <w:r>
                    <w:rPr>
                      <w:rFonts w:hint="eastAsia"/>
                      <w:color w:val="000000" w:themeColor="text1"/>
                      <w:sz w:val="21"/>
                      <w:szCs w:val="21"/>
                      <w:highlight w:val="none"/>
                      <w14:textFill>
                        <w14:solidFill>
                          <w14:schemeClr w14:val="tx1"/>
                        </w14:solidFill>
                      </w14:textFill>
                    </w:rPr>
                    <w:t>区域基础设施相对完善</w:t>
                  </w:r>
                  <w:r>
                    <w:rPr>
                      <w:color w:val="000000" w:themeColor="text1"/>
                      <w:sz w:val="21"/>
                      <w:szCs w:val="21"/>
                      <w:highlight w:val="none"/>
                      <w14:textFill>
                        <w14:solidFill>
                          <w14:schemeClr w14:val="tx1"/>
                        </w14:solidFill>
                      </w14:textFill>
                    </w:rPr>
                    <w:t>。</w:t>
                  </w:r>
                </w:p>
              </w:tc>
              <w:tc>
                <w:tcPr>
                  <w:tcW w:w="515" w:type="pct"/>
                  <w:vAlign w:val="center"/>
                </w:tcPr>
                <w:p w14:paraId="2391E5F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相符</w:t>
                  </w:r>
                </w:p>
              </w:tc>
            </w:tr>
            <w:tr w14:paraId="733E3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989D81D">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二、对《报告书》的总体意见</w:t>
                  </w:r>
                </w:p>
                <w:p w14:paraId="1EDB3C5B">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审查小组认为，《报告书》基础资料较翔实，采用的技术路线与方法适当，提出了规划优化调整建议和减缓不良环境影响的对策措施，评价结论总体可信，可作为规划优化调整和实施的依据。</w:t>
                  </w:r>
                </w:p>
              </w:tc>
              <w:tc>
                <w:tcPr>
                  <w:tcW w:w="1965" w:type="pct"/>
                  <w:vAlign w:val="center"/>
                </w:tcPr>
                <w:p w14:paraId="734981C9">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本项目不涉及</w:t>
                  </w:r>
                  <w:r>
                    <w:rPr>
                      <w:rFonts w:hint="eastAsia"/>
                      <w:color w:val="000000" w:themeColor="text1"/>
                      <w:sz w:val="21"/>
                      <w:szCs w:val="21"/>
                      <w:highlight w:val="none"/>
                      <w14:textFill>
                        <w14:solidFill>
                          <w14:schemeClr w14:val="tx1"/>
                        </w14:solidFill>
                      </w14:textFill>
                    </w:rPr>
                    <w:t>。</w:t>
                  </w:r>
                </w:p>
              </w:tc>
              <w:tc>
                <w:tcPr>
                  <w:tcW w:w="515" w:type="pct"/>
                  <w:vAlign w:val="center"/>
                </w:tcPr>
                <w:p w14:paraId="1953EB4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相符</w:t>
                  </w:r>
                </w:p>
              </w:tc>
            </w:tr>
            <w:tr w14:paraId="39EF8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145AE9B">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三、对规划优化调整和实施的意见</w:t>
                  </w:r>
                </w:p>
                <w:p w14:paraId="58EAE931">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坚持绿色低碳高质量发展。规划应贯彻生态优先、绿色低碳、集约高效的绿色发展、协调发展理念，根据国家和我省发展战略，以环境质量改善为核心，进一步优化开发区的产业结构、发展规模、用地布局等，做好与生态环境分区管控成果的协调衔接，实现绿色低碳高质量发展目标。</w:t>
                  </w:r>
                </w:p>
                <w:p w14:paraId="74605EA4">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加快推进产业转型。开发区应遵循循环经济理念，积极推进产业技术进步和循环化改造；入区新、改、扩建项目应实施清洁生产，生产工艺、设备、污染治理技术以及单位产品能耗、物耗、污染物排放和资源利用率均需达到同行业国内先进水平，确保产业发展与生态环境保护相协调。</w:t>
                  </w:r>
                </w:p>
                <w:p w14:paraId="56375C0D">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优化空间布局，严格空间管控。进一步加强与国土空间规划的衔接，保持规划之间协调一致；做好规划控制和生态隔离带建设，落实河南南阳恐龙蛋化石群国家级自然保护区的保护要求，确保产业布局与生态环境保护、人居环境安全相协调。</w:t>
                  </w:r>
                </w:p>
                <w:p w14:paraId="27ADDE14">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四）强化减污降碳协同增效。根据国家和我省关于挥发性有机物、工业炉窑等大气和水、土壤污染防治相关要求，严格执行相关行业污染物排放标准及特别排放限值；加强重金属污染物管控，严格执行污染物排放总量控制制度，主要污染物新增排放量应做到“等量或倍量替代”。结合碳达峰目标，强化碳评价及减排措施，确保区域环境质量持续改善。</w:t>
                  </w:r>
                </w:p>
                <w:p w14:paraId="6151EF39">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五）严格落实建设项目入驻要求。严格落实《报告书》提出的生态环境准入要求，强化区内企业污染物排放控制，严格落实排污许可制度。鼓励符合开发区功能定位、主导产业、国家产业政策鼓励类项目入驻。开发区内历史遗留、手续齐全的化工企业保持现状，禁止扩产，仅允许以现状为基础进行内部挖潜（环保节能改造、安全设施改造等）。 </w:t>
                  </w:r>
                </w:p>
                <w:p w14:paraId="56BBA6C0">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六）加快环境基础设施建设。建设完善集中排水、供气、供水等基础设施，加快推进开发区中水回用工程建设，确保企业外排废水全部有效收集，并提高水资源利用率，减少废水排放。积极实施集中供热管网建设，确保尽快实现集中供热。工业固体废物应依法依规分类收集、安全妥善处理处置，危险固废严格按照有关规定收集、贮存、转运、处置，确保100%安全处置。</w:t>
                  </w:r>
                </w:p>
                <w:p w14:paraId="3FA6B8C4">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七）建立健全生态环境监管体系。统筹考虑污染防治、生态恢复与建设、环境风险防范，建立健全区域日常环境管理、环境风险防控体系和联防联控机制，提升环境风险防控和应急响应能力，保障区域生态环境安全。定期开展环境空气、地表水、地下水、土壤等环境要素监测，健全大气污染物自动监测体系，做好长期跟踪监测与管理，并根据监测评估结果适时优化调整规划。</w:t>
                  </w:r>
                </w:p>
                <w:p w14:paraId="4F85F7F6">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八）严格落实规划环评要求。根据《报告书》和审查意见要求，按期完成现有生态环境问题整改，作为入区建设项目环境准入的重要依据。在规划实施过程中，严格按照《规划环境影响评价条例》要求开展环境影响跟踪评价。规划发生重大调整或者修订时应重新进行环境影响评价。</w:t>
                  </w:r>
                </w:p>
              </w:tc>
              <w:tc>
                <w:tcPr>
                  <w:tcW w:w="1965" w:type="pct"/>
                  <w:vAlign w:val="center"/>
                </w:tcPr>
                <w:p w14:paraId="3F5B9847">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1、本项目工艺技术先进，资源能耗低，污染物排放量小，符合绿色发展理念；项目选址符合“三线一单”要求，用地布局满足土地利用要求；</w:t>
                  </w:r>
                </w:p>
                <w:p w14:paraId="3A779158">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2、本项目为新建项目，项目实施清洁生产，且生产工艺、设备、污染治理技术以及单位产品能耗、物耗、污染物排放和资源利用率均需达到同行业国内先进水平；</w:t>
                  </w:r>
                </w:p>
                <w:p w14:paraId="22126C8F">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r>
                    <w:rPr>
                      <w:rFonts w:hint="eastAsia"/>
                      <w:color w:val="000000" w:themeColor="text1"/>
                      <w:sz w:val="21"/>
                      <w:szCs w:val="21"/>
                      <w:highlight w:val="none"/>
                      <w:lang w:val="en-US" w:eastAsia="zh-CN"/>
                      <w14:textFill>
                        <w14:solidFill>
                          <w14:schemeClr w14:val="tx1"/>
                        </w14:solidFill>
                      </w14:textFill>
                    </w:rPr>
                    <w:t>本</w:t>
                  </w:r>
                  <w:r>
                    <w:rPr>
                      <w:rFonts w:hint="eastAsia"/>
                      <w:color w:val="000000" w:themeColor="text1"/>
                      <w:sz w:val="21"/>
                      <w:szCs w:val="21"/>
                      <w:highlight w:val="none"/>
                      <w14:textFill>
                        <w14:solidFill>
                          <w14:schemeClr w14:val="tx1"/>
                        </w14:solidFill>
                      </w14:textFill>
                    </w:rPr>
                    <w:t>项目位于</w:t>
                  </w:r>
                  <w:r>
                    <w:rPr>
                      <w:rFonts w:hint="eastAsia"/>
                      <w:color w:val="000000" w:themeColor="text1"/>
                      <w:sz w:val="21"/>
                      <w:szCs w:val="21"/>
                      <w:highlight w:val="none"/>
                      <w:lang w:val="en-US" w:eastAsia="zh-CN"/>
                      <w14:textFill>
                        <w14:solidFill>
                          <w14:schemeClr w14:val="tx1"/>
                        </w14:solidFill>
                      </w14:textFill>
                    </w:rPr>
                    <w:t>南阳市镇平县先进制造业开发区玉神路与建设路交叉口北200米8号</w:t>
                  </w:r>
                  <w:r>
                    <w:rPr>
                      <w:rFonts w:hint="eastAsia"/>
                      <w:color w:val="000000" w:themeColor="text1"/>
                      <w:sz w:val="21"/>
                      <w:szCs w:val="21"/>
                      <w:highlight w:val="none"/>
                      <w14:textFill>
                        <w14:solidFill>
                          <w14:schemeClr w14:val="tx1"/>
                        </w14:solidFill>
                      </w14:textFill>
                    </w:rPr>
                    <w:t>，厂址不涉及自然保护区、风景名胜区、生态敏感区及水源地等环境敏感区域，</w:t>
                  </w:r>
                  <w:r>
                    <w:rPr>
                      <w:rFonts w:hint="eastAsia"/>
                      <w:color w:val="000000" w:themeColor="text1"/>
                      <w:sz w:val="21"/>
                      <w:szCs w:val="21"/>
                      <w:highlight w:val="none"/>
                      <w:lang w:val="en-US" w:eastAsia="zh-CN"/>
                      <w14:textFill>
                        <w14:solidFill>
                          <w14:schemeClr w14:val="tx1"/>
                        </w14:solidFill>
                      </w14:textFill>
                    </w:rPr>
                    <w:t>满足空间布局要求</w:t>
                  </w:r>
                  <w:r>
                    <w:rPr>
                      <w:rFonts w:hint="eastAsia"/>
                      <w:color w:val="000000" w:themeColor="text1"/>
                      <w:sz w:val="21"/>
                      <w:szCs w:val="21"/>
                      <w:highlight w:val="none"/>
                      <w14:textFill>
                        <w14:solidFill>
                          <w14:schemeClr w14:val="tx1"/>
                        </w14:solidFill>
                      </w14:textFill>
                    </w:rPr>
                    <w:t>；</w:t>
                  </w:r>
                </w:p>
                <w:p w14:paraId="031976C4">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4、本项目为新建项目，项目建成后</w:t>
                  </w:r>
                  <w:r>
                    <w:rPr>
                      <w:color w:val="000000" w:themeColor="text1"/>
                      <w:sz w:val="21"/>
                      <w:szCs w:val="21"/>
                      <w:highlight w:val="none"/>
                      <w14:textFill>
                        <w14:solidFill>
                          <w14:schemeClr w14:val="tx1"/>
                        </w14:solidFill>
                      </w14:textFill>
                    </w:rPr>
                    <w:t>严格执行相关行业污染物排放标准及特别排放限值；加强重金属污染物管控，严格执行污染物排放总量控制制度，主要污染物新增排放量应做到</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等量或倍量替代</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。结合碳达峰目标，强化碳评价及减排措施，确保区域环境质量持续改善</w:t>
                  </w:r>
                  <w:r>
                    <w:rPr>
                      <w:rFonts w:hint="eastAsia"/>
                      <w:color w:val="000000" w:themeColor="text1"/>
                      <w:sz w:val="21"/>
                      <w:szCs w:val="21"/>
                      <w:highlight w:val="none"/>
                      <w14:textFill>
                        <w14:solidFill>
                          <w14:schemeClr w14:val="tx1"/>
                        </w14:solidFill>
                      </w14:textFill>
                    </w:rPr>
                    <w:t>；</w:t>
                  </w:r>
                </w:p>
                <w:p w14:paraId="4AF1D84C">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5、本项目主要从事铸件生产，</w:t>
                  </w:r>
                  <w:r>
                    <w:rPr>
                      <w:rFonts w:hint="eastAsia"/>
                      <w:color w:val="000000" w:themeColor="text1"/>
                      <w:sz w:val="21"/>
                      <w:szCs w:val="21"/>
                      <w:highlight w:val="none"/>
                      <w:lang w:val="en-US" w:eastAsia="zh-CN"/>
                      <w14:textFill>
                        <w14:solidFill>
                          <w14:schemeClr w14:val="tx1"/>
                        </w14:solidFill>
                      </w14:textFill>
                    </w:rPr>
                    <w:t>属于</w:t>
                  </w:r>
                  <w:r>
                    <w:rPr>
                      <w:color w:val="000000" w:themeColor="text1"/>
                      <w:sz w:val="21"/>
                      <w:szCs w:val="21"/>
                      <w:highlight w:val="none"/>
                      <w14:textFill>
                        <w14:solidFill>
                          <w14:schemeClr w14:val="tx1"/>
                        </w14:solidFill>
                      </w14:textFill>
                    </w:rPr>
                    <w:t>国家产业政策鼓励类项目</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符合园区环境准入要求；项目建成后严格</w:t>
                  </w:r>
                  <w:r>
                    <w:rPr>
                      <w:rFonts w:hint="eastAsia"/>
                      <w:color w:val="000000" w:themeColor="text1"/>
                      <w:sz w:val="21"/>
                      <w:szCs w:val="21"/>
                      <w:highlight w:val="none"/>
                      <w:lang w:val="en-US" w:eastAsia="zh-CN"/>
                      <w14:textFill>
                        <w14:solidFill>
                          <w14:schemeClr w14:val="tx1"/>
                        </w14:solidFill>
                      </w14:textFill>
                    </w:rPr>
                    <w:t>落实各项</w:t>
                  </w:r>
                  <w:r>
                    <w:rPr>
                      <w:color w:val="000000" w:themeColor="text1"/>
                      <w:sz w:val="21"/>
                      <w:szCs w:val="21"/>
                      <w:highlight w:val="none"/>
                      <w14:textFill>
                        <w14:solidFill>
                          <w14:schemeClr w14:val="tx1"/>
                        </w14:solidFill>
                      </w14:textFill>
                    </w:rPr>
                    <w:t>污染</w:t>
                  </w:r>
                  <w:r>
                    <w:rPr>
                      <w:rFonts w:hint="eastAsia"/>
                      <w:color w:val="000000" w:themeColor="text1"/>
                      <w:sz w:val="21"/>
                      <w:szCs w:val="21"/>
                      <w:highlight w:val="none"/>
                      <w:lang w:val="en-US" w:eastAsia="zh-CN"/>
                      <w14:textFill>
                        <w14:solidFill>
                          <w14:schemeClr w14:val="tx1"/>
                        </w14:solidFill>
                      </w14:textFill>
                    </w:rPr>
                    <w:t>防治措施，确保污染物达标排放，同时</w:t>
                  </w:r>
                  <w:r>
                    <w:rPr>
                      <w:color w:val="000000" w:themeColor="text1"/>
                      <w:sz w:val="21"/>
                      <w:szCs w:val="21"/>
                      <w:highlight w:val="none"/>
                      <w14:textFill>
                        <w14:solidFill>
                          <w14:schemeClr w14:val="tx1"/>
                        </w14:solidFill>
                      </w14:textFill>
                    </w:rPr>
                    <w:t>严格落实排污许可制度</w:t>
                  </w:r>
                  <w:r>
                    <w:rPr>
                      <w:rFonts w:hint="eastAsia"/>
                      <w:color w:val="000000" w:themeColor="text1"/>
                      <w:sz w:val="21"/>
                      <w:szCs w:val="21"/>
                      <w:highlight w:val="none"/>
                      <w14:textFill>
                        <w14:solidFill>
                          <w14:schemeClr w14:val="tx1"/>
                        </w14:solidFill>
                      </w14:textFill>
                    </w:rPr>
                    <w:t>；</w:t>
                  </w:r>
                </w:p>
                <w:p w14:paraId="34C789F1">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6、本项目不涉及；</w:t>
                  </w:r>
                </w:p>
                <w:p w14:paraId="75225486">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7、本项目不涉及；</w:t>
                  </w:r>
                </w:p>
                <w:p w14:paraId="789BF502">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8、本项目不涉及。</w:t>
                  </w:r>
                </w:p>
              </w:tc>
              <w:tc>
                <w:tcPr>
                  <w:tcW w:w="515" w:type="pct"/>
                  <w:vAlign w:val="center"/>
                </w:tcPr>
                <w:p w14:paraId="0A6C413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相符</w:t>
                  </w:r>
                </w:p>
              </w:tc>
            </w:tr>
            <w:tr w14:paraId="3CB5A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44598CE2">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四、对拟入区建设项目环评的指导意见</w:t>
                  </w:r>
                </w:p>
                <w:p w14:paraId="0E059EF0">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拟入区的建设项目应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规划环评中协调性分析、环境现状、污染源调查等符合要求的资料可供建设项目环评共享，项目环评相应评价内容可结合实际情况予以简化。</w:t>
                  </w:r>
                </w:p>
              </w:tc>
              <w:tc>
                <w:tcPr>
                  <w:tcW w:w="1965" w:type="pct"/>
                  <w:vAlign w:val="center"/>
                </w:tcPr>
                <w:p w14:paraId="41EF8105">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w:t>
                  </w:r>
                  <w:r>
                    <w:rPr>
                      <w:color w:val="000000" w:themeColor="text1"/>
                      <w:sz w:val="21"/>
                      <w:szCs w:val="21"/>
                      <w:highlight w:val="none"/>
                      <w14:textFill>
                        <w14:solidFill>
                          <w14:schemeClr w14:val="tx1"/>
                        </w14:solidFill>
                      </w14:textFill>
                    </w:rPr>
                    <w:t>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w:t>
                  </w:r>
                </w:p>
              </w:tc>
              <w:tc>
                <w:tcPr>
                  <w:tcW w:w="515" w:type="pct"/>
                  <w:vAlign w:val="center"/>
                </w:tcPr>
                <w:p w14:paraId="2DE7F4F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相符</w:t>
                  </w:r>
                </w:p>
              </w:tc>
            </w:tr>
          </w:tbl>
          <w:p w14:paraId="7344082F">
            <w:pPr>
              <w:bidi w:val="0"/>
              <w:rPr>
                <w:color w:val="000000" w:themeColor="text1"/>
                <w:szCs w:val="24"/>
                <w14:textFill>
                  <w14:solidFill>
                    <w14:schemeClr w14:val="tx1"/>
                  </w14:solidFill>
                </w14:textFill>
              </w:rPr>
            </w:pPr>
            <w:r>
              <w:t>综上所述，本项目建设符合</w:t>
            </w:r>
            <w:r>
              <w:rPr>
                <w:rFonts w:hint="eastAsia"/>
              </w:rPr>
              <w:t>河南省生态环境厅关于《镇平县先进制造业开发区发展规划（2022-2035）环境影响报告书》的审查意见（豫环函〔2024〕128号）</w:t>
            </w:r>
            <w:r>
              <w:t>要求。</w:t>
            </w:r>
          </w:p>
        </w:tc>
      </w:tr>
      <w:tr w14:paraId="62F3EDEC">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28" w:type="dxa"/>
            <w:bottom w:w="0" w:type="dxa"/>
            <w:right w:w="28" w:type="dxa"/>
          </w:tblCellMar>
        </w:tblPrEx>
        <w:trPr>
          <w:trHeight w:val="454" w:hRule="atLeast"/>
          <w:jc w:val="center"/>
        </w:trPr>
        <w:tc>
          <w:tcPr>
            <w:tcW w:w="364" w:type="pct"/>
            <w:vAlign w:val="center"/>
          </w:tcPr>
          <w:p w14:paraId="74E2AADA">
            <w:pPr>
              <w:keepNext w:val="0"/>
              <w:keepLines w:val="0"/>
              <w:pageBreakBefore w:val="0"/>
              <w:topLinePunct w:val="0"/>
              <w:bidi w:val="0"/>
              <w:spacing w:line="240" w:lineRule="auto"/>
              <w:ind w:firstLine="0" w:firstLineChars="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其他符合性分析</w:t>
            </w:r>
          </w:p>
        </w:tc>
        <w:tc>
          <w:tcPr>
            <w:tcW w:w="4635" w:type="pct"/>
            <w:gridSpan w:val="4"/>
            <w:vAlign w:val="top"/>
          </w:tcPr>
          <w:p w14:paraId="072790C0">
            <w:pPr>
              <w:bidi w:val="0"/>
              <w:ind w:left="0" w:leftChars="0" w:firstLine="0" w:firstLineChars="0"/>
              <w:rPr>
                <w:rFonts w:hint="default" w:ascii="Times New Roman" w:hAnsi="Times New Roman" w:eastAsia="黑体" w:cs="Times New Roman"/>
                <w:b w:val="0"/>
                <w:bCs w:val="0"/>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lang w:eastAsia="zh-CN"/>
                <w14:textFill>
                  <w14:solidFill>
                    <w14:schemeClr w14:val="tx1"/>
                  </w14:solidFill>
                </w14:textFill>
              </w:rPr>
              <w:t>1</w:t>
            </w:r>
            <w:r>
              <w:rPr>
                <w:rFonts w:hint="eastAsia" w:eastAsia="黑体" w:cs="Times New Roman"/>
                <w:b w:val="0"/>
                <w:bCs w:val="0"/>
                <w:color w:val="000000" w:themeColor="text1"/>
                <w:lang w:eastAsia="zh-CN"/>
                <w14:textFill>
                  <w14:solidFill>
                    <w14:schemeClr w14:val="tx1"/>
                  </w14:solidFill>
                </w14:textFill>
              </w:rPr>
              <w:t>、</w:t>
            </w:r>
            <w:r>
              <w:rPr>
                <w:rFonts w:hint="default" w:ascii="Times New Roman" w:hAnsi="Times New Roman" w:eastAsia="黑体" w:cs="Times New Roman"/>
                <w:b w:val="0"/>
                <w:bCs w:val="0"/>
                <w:color w:val="000000" w:themeColor="text1"/>
                <w14:textFill>
                  <w14:solidFill>
                    <w14:schemeClr w14:val="tx1"/>
                  </w14:solidFill>
                </w14:textFill>
              </w:rPr>
              <w:t>产业及行业政策相符性分析</w:t>
            </w:r>
          </w:p>
          <w:p w14:paraId="291C5CE0">
            <w:pPr>
              <w:bidi w:val="0"/>
              <w:ind w:left="0" w:leftChars="0" w:firstLine="0" w:firstLineChars="0"/>
              <w:rPr>
                <w:rFonts w:hint="default" w:ascii="Times New Roman" w:hAnsi="Times New Roman" w:eastAsia="黑体" w:cs="Times New Roman"/>
                <w:b w:val="0"/>
                <w:bCs w:val="0"/>
                <w:color w:val="000000" w:themeColor="text1"/>
                <w:lang w:val="en-US" w:eastAsia="zh-CN"/>
                <w14:textFill>
                  <w14:solidFill>
                    <w14:schemeClr w14:val="tx1"/>
                  </w14:solidFill>
                </w14:textFill>
              </w:rPr>
            </w:pPr>
            <w:r>
              <w:rPr>
                <w:rFonts w:hint="default" w:ascii="Times New Roman" w:hAnsi="Times New Roman" w:eastAsia="黑体" w:cs="Times New Roman"/>
                <w:b w:val="0"/>
                <w:bCs w:val="0"/>
                <w:color w:val="000000" w:themeColor="text1"/>
                <w14:textFill>
                  <w14:solidFill>
                    <w14:schemeClr w14:val="tx1"/>
                  </w14:solidFill>
                </w14:textFill>
              </w:rPr>
              <w:t>1.1产业政策符合性</w:t>
            </w:r>
            <w:r>
              <w:rPr>
                <w:rFonts w:hint="default" w:ascii="Times New Roman" w:hAnsi="Times New Roman" w:eastAsia="黑体" w:cs="Times New Roman"/>
                <w:b w:val="0"/>
                <w:bCs w:val="0"/>
                <w:color w:val="000000" w:themeColor="text1"/>
                <w:lang w:val="en-US" w:eastAsia="zh-CN"/>
                <w14:textFill>
                  <w14:solidFill>
                    <w14:schemeClr w14:val="tx1"/>
                  </w14:solidFill>
                </w14:textFill>
              </w:rPr>
              <w:t>分析</w:t>
            </w:r>
          </w:p>
          <w:p w14:paraId="4FE93B1D">
            <w:pPr>
              <w:spacing w:line="360" w:lineRule="auto"/>
              <w:ind w:firstLine="480" w:firstLineChars="200"/>
              <w:rPr>
                <w:color w:val="000000"/>
                <w:sz w:val="24"/>
              </w:rPr>
            </w:pPr>
            <w:r>
              <w:rPr>
                <w:color w:val="000000"/>
                <w:sz w:val="24"/>
              </w:rPr>
              <w:t>经比对《产业结构调整指导目录（2024年本）》，本项目属于鼓励类第十四条</w:t>
            </w:r>
            <w:r>
              <w:rPr>
                <w:rFonts w:hint="eastAsia"/>
                <w:color w:val="000000"/>
                <w:sz w:val="24"/>
              </w:rPr>
              <w:t>“机械”</w:t>
            </w:r>
            <w:r>
              <w:rPr>
                <w:color w:val="000000"/>
                <w:sz w:val="24"/>
              </w:rPr>
              <w:t>第</w:t>
            </w:r>
            <w:r>
              <w:rPr>
                <w:rFonts w:hint="eastAsia"/>
                <w:color w:val="000000"/>
                <w:sz w:val="24"/>
              </w:rPr>
              <w:t>11</w:t>
            </w:r>
            <w:r>
              <w:rPr>
                <w:color w:val="000000"/>
                <w:sz w:val="24"/>
              </w:rPr>
              <w:t>款</w:t>
            </w:r>
            <w:r>
              <w:rPr>
                <w:rFonts w:hint="eastAsia"/>
                <w:color w:val="000000"/>
                <w:sz w:val="24"/>
              </w:rPr>
              <w:t>“</w:t>
            </w:r>
            <w:r>
              <w:rPr>
                <w:color w:val="000000"/>
                <w:sz w:val="24"/>
              </w:rPr>
              <w:t>关键铸件、锻件：高强度、高塑性球墨铸铁件，高性能蠕墨铸铁件，高精度、高压、大流量液压铸件，有色合金特种铸造工艺铸件，高强钢锻件，耐高温、耐低温、耐腐蚀、耐磨损等高性能轻量化新材料铸件、锻件，高精度、低应力机床铸件、锻件，汽车、能源装备、轨道交通装备、航空航天、军工、海洋工程装备领域用高性能关键铸件、锻件</w:t>
            </w:r>
            <w:r>
              <w:rPr>
                <w:rFonts w:hint="eastAsia"/>
                <w:color w:val="000000"/>
                <w:sz w:val="24"/>
              </w:rPr>
              <w:t>”</w:t>
            </w:r>
            <w:r>
              <w:rPr>
                <w:color w:val="000000"/>
                <w:sz w:val="24"/>
              </w:rPr>
              <w:t>；且项目生产工艺及设备不属于《河南省部分工业行业淘汰落后生产工艺装备和产品目录（2019年本）》中的限制类和淘汰类；项目已取得镇平县发展和改革委员会出具的备案证明（项目代码：</w:t>
            </w:r>
            <w:r>
              <w:rPr>
                <w:rFonts w:hint="default" w:eastAsiaTheme="minorEastAsia"/>
                <w:color w:val="000000" w:themeColor="text1"/>
                <w:szCs w:val="24"/>
                <w:lang w:val="en-US" w:eastAsia="zh-CN"/>
                <w14:textFill>
                  <w14:solidFill>
                    <w14:schemeClr w14:val="tx1"/>
                  </w14:solidFill>
                </w14:textFill>
              </w:rPr>
              <w:t>2512-411324-04-01-514977</w:t>
            </w:r>
            <w:r>
              <w:rPr>
                <w:color w:val="000000"/>
                <w:sz w:val="24"/>
              </w:rPr>
              <w:t>，见附件），因此项目建设符合国家当前产业政策的要求。</w:t>
            </w:r>
          </w:p>
          <w:p w14:paraId="072DC159">
            <w:pPr>
              <w:bidi w:val="0"/>
              <w:ind w:left="0" w:leftChars="0" w:firstLine="0" w:firstLineChars="0"/>
              <w:rPr>
                <w:rFonts w:hint="default" w:ascii="Times New Roman" w:hAnsi="Times New Roman" w:eastAsia="黑体" w:cs="Times New Roman"/>
                <w:b w:val="0"/>
                <w:bCs w:val="0"/>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14:textFill>
                  <w14:solidFill>
                    <w14:schemeClr w14:val="tx1"/>
                  </w14:solidFill>
                </w14:textFill>
              </w:rPr>
              <w:t>1.2与</w:t>
            </w:r>
            <w:r>
              <w:rPr>
                <w:rFonts w:hint="eastAsia" w:eastAsia="黑体" w:cs="Times New Roman"/>
                <w:b w:val="0"/>
                <w:bCs w:val="0"/>
                <w:color w:val="000000" w:themeColor="text1"/>
                <w:lang w:eastAsia="zh-CN"/>
                <w14:textFill>
                  <w14:solidFill>
                    <w14:schemeClr w14:val="tx1"/>
                  </w14:solidFill>
                </w14:textFill>
              </w:rPr>
              <w:t>“</w:t>
            </w:r>
            <w:r>
              <w:rPr>
                <w:rFonts w:hint="default" w:ascii="Times New Roman" w:hAnsi="Times New Roman" w:eastAsia="黑体" w:cs="Times New Roman"/>
                <w:b w:val="0"/>
                <w:bCs w:val="0"/>
                <w:color w:val="000000" w:themeColor="text1"/>
                <w14:textFill>
                  <w14:solidFill>
                    <w14:schemeClr w14:val="tx1"/>
                  </w14:solidFill>
                </w14:textFill>
              </w:rPr>
              <w:t>两高</w:t>
            </w:r>
            <w:r>
              <w:rPr>
                <w:rFonts w:hint="eastAsia" w:eastAsia="黑体" w:cs="Times New Roman"/>
                <w:b w:val="0"/>
                <w:bCs w:val="0"/>
                <w:color w:val="000000" w:themeColor="text1"/>
                <w:lang w:eastAsia="zh-CN"/>
                <w14:textFill>
                  <w14:solidFill>
                    <w14:schemeClr w14:val="tx1"/>
                  </w14:solidFill>
                </w14:textFill>
              </w:rPr>
              <w:t>”</w:t>
            </w:r>
            <w:r>
              <w:rPr>
                <w:rFonts w:hint="default" w:ascii="Times New Roman" w:hAnsi="Times New Roman" w:eastAsia="黑体" w:cs="Times New Roman"/>
                <w:b w:val="0"/>
                <w:bCs w:val="0"/>
                <w:color w:val="000000" w:themeColor="text1"/>
                <w14:textFill>
                  <w14:solidFill>
                    <w14:schemeClr w14:val="tx1"/>
                  </w14:solidFill>
                </w14:textFill>
              </w:rPr>
              <w:t>管理政策相符性分析</w:t>
            </w:r>
          </w:p>
          <w:p w14:paraId="480B29FF">
            <w:pPr>
              <w:bidi w:val="0"/>
              <w:rPr>
                <w:rFonts w:hint="default"/>
              </w:rPr>
            </w:pPr>
            <w:r>
              <w:rPr>
                <w:rFonts w:hint="eastAsia"/>
              </w:rPr>
              <w:t>为规范“两高”项目</w:t>
            </w:r>
            <w:r>
              <w:rPr>
                <w:rFonts w:hint="eastAsia"/>
                <w:lang w:val="en-US" w:eastAsia="zh-CN"/>
              </w:rPr>
              <w:t>管理</w:t>
            </w:r>
            <w:r>
              <w:rPr>
                <w:rFonts w:hint="default"/>
              </w:rPr>
              <w:t>，河南省发展改革委、工业和信息化厅、自然资源厅、生态环境厅联合发布了《关于建</w:t>
            </w:r>
            <w:r>
              <w:rPr>
                <w:rFonts w:hint="eastAsia"/>
              </w:rPr>
              <w:t>立“两高”项目会商</w:t>
            </w:r>
            <w:r>
              <w:rPr>
                <w:rFonts w:hint="default"/>
              </w:rPr>
              <w:t>联审机制的通知》（豫发改环资</w:t>
            </w:r>
            <w:r>
              <w:rPr>
                <w:rFonts w:hint="eastAsia"/>
                <w:lang w:eastAsia="zh-CN"/>
              </w:rPr>
              <w:t>〔2021〕977号</w:t>
            </w:r>
            <w:r>
              <w:rPr>
                <w:rFonts w:hint="default"/>
              </w:rPr>
              <w:t>）</w:t>
            </w:r>
            <w:r>
              <w:rPr>
                <w:rFonts w:hint="eastAsia"/>
                <w:lang w:val="en-US" w:eastAsia="zh-CN"/>
              </w:rPr>
              <w:t>和</w:t>
            </w:r>
            <w:r>
              <w:rPr>
                <w:rFonts w:hint="default"/>
              </w:rPr>
              <w:t>《关于印发河南</w:t>
            </w:r>
            <w:r>
              <w:rPr>
                <w:rFonts w:hint="eastAsia"/>
              </w:rPr>
              <w:t>省“两高”</w:t>
            </w:r>
            <w:r>
              <w:rPr>
                <w:rFonts w:hint="default"/>
              </w:rPr>
              <w:t>项目管理目录（2023年修订）的通知》（豫发改环资</w:t>
            </w:r>
            <w:r>
              <w:rPr>
                <w:rFonts w:hint="eastAsia"/>
                <w:lang w:eastAsia="zh-CN"/>
              </w:rPr>
              <w:t>〔2023〕38号</w:t>
            </w:r>
            <w:r>
              <w:rPr>
                <w:rFonts w:hint="default"/>
              </w:rPr>
              <w:t>）。</w:t>
            </w:r>
          </w:p>
          <w:p w14:paraId="536F9712">
            <w:pPr>
              <w:bidi w:val="0"/>
              <w:rPr>
                <w:rFonts w:hint="default" w:ascii="Times New Roman" w:hAnsi="Times New Roman" w:eastAsia="宋体" w:cs="Times New Roman"/>
                <w:color w:val="auto"/>
                <w:szCs w:val="24"/>
                <w:highlight w:val="none"/>
                <w:u w:val="none" w:color="auto"/>
              </w:rPr>
            </w:pPr>
            <w:r>
              <w:rPr>
                <w:rFonts w:hint="default"/>
              </w:rPr>
              <w:t>根据《河南</w:t>
            </w:r>
            <w:r>
              <w:rPr>
                <w:rFonts w:hint="eastAsia"/>
              </w:rPr>
              <w:t>省“两高”项目</w:t>
            </w:r>
            <w:r>
              <w:rPr>
                <w:rFonts w:hint="default"/>
              </w:rPr>
              <w:t>管理目录（2023年修订）》，河南</w:t>
            </w:r>
            <w:r>
              <w:rPr>
                <w:rFonts w:hint="eastAsia"/>
              </w:rPr>
              <w:t>省“两高”</w:t>
            </w:r>
            <w:r>
              <w:rPr>
                <w:rFonts w:hint="default"/>
              </w:rPr>
              <w:t>项目包含两大类。第一类：煤电、石化、化工、煤化工、钢铁（不含短流程炼钢项目及钢铁压延加工项目）、焦化、建材（非金属矿物制品，不含耐火材料项目）、有色（不含铜、铅锌、铝、硅等有色金属再生冶炼和原生、再生有色金属压延加工项目）等8个行业年综合能耗量5万吨标准煤（等价值）及以上项目。第二类：钢铁（长流程炼钢）、铁合金等19个细分行业中年综合能耗1-5万吨标准煤（等价值）的项目</w:t>
            </w:r>
            <w:r>
              <w:rPr>
                <w:rFonts w:hint="default" w:ascii="Times New Roman" w:hAnsi="Times New Roman" w:eastAsia="宋体" w:cs="Times New Roman"/>
                <w:color w:val="auto"/>
                <w:szCs w:val="24"/>
                <w:highlight w:val="none"/>
                <w:u w:val="none" w:color="auto"/>
              </w:rPr>
              <w:t>。</w:t>
            </w:r>
          </w:p>
          <w:p w14:paraId="75686F3C">
            <w:pPr>
              <w:spacing w:line="360" w:lineRule="auto"/>
              <w:ind w:firstLine="480" w:firstLineChars="200"/>
              <w:rPr>
                <w:rFonts w:hint="default" w:ascii="Times New Roman" w:hAnsi="Times New Roman" w:eastAsia="黑体" w:cs="Times New Roman"/>
                <w:lang w:val="en-US" w:eastAsia="zh-CN"/>
              </w:rPr>
            </w:pPr>
            <w:r>
              <w:rPr>
                <w:color w:val="000000"/>
                <w:sz w:val="24"/>
              </w:rPr>
              <w:t>本项目属于</w:t>
            </w:r>
            <w:r>
              <w:rPr>
                <w:rFonts w:hint="eastAsia"/>
                <w:color w:val="000000"/>
                <w:sz w:val="24"/>
                <w:lang w:val="en-US" w:eastAsia="zh-CN"/>
              </w:rPr>
              <w:t>黑</w:t>
            </w:r>
            <w:r>
              <w:rPr>
                <w:color w:val="000000"/>
                <w:sz w:val="24"/>
              </w:rPr>
              <w:t>色金属铸造项目，</w:t>
            </w:r>
            <w:r>
              <w:rPr>
                <w:rFonts w:hint="default" w:ascii="Times New Roman" w:hAnsi="Times New Roman" w:eastAsia="宋体" w:cs="Times New Roman"/>
                <w:color w:val="000000"/>
                <w:sz w:val="24"/>
                <w:szCs w:val="24"/>
                <w:highlight w:val="none"/>
                <w:u w:val="none" w:color="auto"/>
              </w:rPr>
              <w:t>本项目的综合能耗为</w:t>
            </w:r>
            <w:r>
              <w:rPr>
                <w:rFonts w:hint="eastAsia" w:cs="Times New Roman"/>
                <w:b w:val="0"/>
                <w:bCs/>
                <w:color w:val="000000"/>
                <w:sz w:val="24"/>
                <w:szCs w:val="22"/>
                <w:highlight w:val="none"/>
                <w:u w:val="none"/>
                <w:lang w:val="en-US" w:eastAsia="zh-CN"/>
              </w:rPr>
              <w:t>1229t</w:t>
            </w:r>
            <w:r>
              <w:rPr>
                <w:rFonts w:hint="default" w:ascii="Times New Roman" w:hAnsi="Times New Roman" w:eastAsia="宋体" w:cs="Times New Roman"/>
                <w:b w:val="0"/>
                <w:bCs/>
                <w:color w:val="000000"/>
                <w:sz w:val="24"/>
                <w:szCs w:val="22"/>
                <w:highlight w:val="none"/>
                <w:u w:val="none"/>
                <w:lang w:val="en-US" w:eastAsia="zh-CN"/>
              </w:rPr>
              <w:t>ce</w:t>
            </w:r>
            <w:r>
              <w:rPr>
                <w:rFonts w:hint="default" w:ascii="Times New Roman" w:hAnsi="Times New Roman" w:eastAsia="宋体" w:cs="Times New Roman"/>
                <w:color w:val="000000"/>
                <w:sz w:val="24"/>
                <w:szCs w:val="24"/>
                <w:highlight w:val="none"/>
                <w:u w:val="none" w:color="auto"/>
              </w:rPr>
              <w:t>；</w:t>
            </w:r>
            <w:r>
              <w:rPr>
                <w:color w:val="000000"/>
                <w:sz w:val="24"/>
              </w:rPr>
              <w:t>经比对《河南省</w:t>
            </w:r>
            <w:r>
              <w:rPr>
                <w:rFonts w:hint="eastAsia"/>
                <w:color w:val="000000"/>
                <w:sz w:val="24"/>
              </w:rPr>
              <w:t>“</w:t>
            </w:r>
            <w:r>
              <w:rPr>
                <w:color w:val="000000"/>
                <w:sz w:val="24"/>
              </w:rPr>
              <w:t>两高</w:t>
            </w:r>
            <w:r>
              <w:rPr>
                <w:rFonts w:hint="eastAsia"/>
                <w:color w:val="000000"/>
                <w:sz w:val="24"/>
              </w:rPr>
              <w:t>”</w:t>
            </w:r>
            <w:r>
              <w:rPr>
                <w:color w:val="000000"/>
                <w:sz w:val="24"/>
              </w:rPr>
              <w:t>项目管理目录（2023年修订）》，本项目不在</w:t>
            </w:r>
            <w:r>
              <w:rPr>
                <w:rFonts w:hint="eastAsia"/>
                <w:color w:val="000000"/>
                <w:sz w:val="24"/>
              </w:rPr>
              <w:t>“</w:t>
            </w:r>
            <w:r>
              <w:rPr>
                <w:color w:val="000000"/>
                <w:sz w:val="24"/>
              </w:rPr>
              <w:t>两高</w:t>
            </w:r>
            <w:r>
              <w:rPr>
                <w:rFonts w:hint="eastAsia"/>
                <w:color w:val="000000"/>
                <w:sz w:val="24"/>
              </w:rPr>
              <w:t>”</w:t>
            </w:r>
            <w:r>
              <w:rPr>
                <w:color w:val="000000"/>
                <w:sz w:val="24"/>
              </w:rPr>
              <w:t>项目管理目录</w:t>
            </w:r>
            <w:r>
              <w:rPr>
                <w:rFonts w:hint="eastAsia"/>
                <w:color w:val="000000"/>
                <w:sz w:val="24"/>
                <w:lang w:eastAsia="zh-CN"/>
              </w:rPr>
              <w:t>（</w:t>
            </w:r>
            <w:r>
              <w:rPr>
                <w:color w:val="000000"/>
                <w:sz w:val="24"/>
              </w:rPr>
              <w:t>2023年修订</w:t>
            </w:r>
            <w:r>
              <w:rPr>
                <w:rFonts w:hint="eastAsia"/>
                <w:color w:val="000000"/>
                <w:sz w:val="24"/>
                <w:lang w:eastAsia="zh-CN"/>
              </w:rPr>
              <w:t>）</w:t>
            </w:r>
            <w:r>
              <w:rPr>
                <w:color w:val="000000"/>
                <w:sz w:val="24"/>
              </w:rPr>
              <w:t>所列第一类行业和第二类行业范围之内，不属于</w:t>
            </w:r>
            <w:r>
              <w:rPr>
                <w:rFonts w:hint="eastAsia"/>
                <w:color w:val="000000"/>
                <w:sz w:val="24"/>
              </w:rPr>
              <w:t>“</w:t>
            </w:r>
            <w:r>
              <w:rPr>
                <w:color w:val="000000"/>
                <w:sz w:val="24"/>
              </w:rPr>
              <w:t>两高</w:t>
            </w:r>
            <w:r>
              <w:rPr>
                <w:rFonts w:hint="eastAsia"/>
                <w:color w:val="000000"/>
                <w:sz w:val="24"/>
              </w:rPr>
              <w:t>”</w:t>
            </w:r>
            <w:r>
              <w:rPr>
                <w:color w:val="000000"/>
                <w:sz w:val="24"/>
              </w:rPr>
              <w:t>项目范畴。</w:t>
            </w:r>
          </w:p>
          <w:p w14:paraId="01974B01">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1.3与铸造行业相关政策符合性分析</w:t>
            </w:r>
          </w:p>
          <w:p w14:paraId="4A93EE9A">
            <w:pPr>
              <w:spacing w:line="360" w:lineRule="auto"/>
              <w:rPr>
                <w:rFonts w:hint="default" w:ascii="Times New Roman" w:hAnsi="Times New Roman" w:eastAsia="宋体" w:cs="Times New Roman"/>
                <w:b w:val="0"/>
                <w:bCs w:val="0"/>
                <w:color w:val="000000"/>
                <w:sz w:val="24"/>
                <w:lang w:val="en-US" w:eastAsia="zh-CN"/>
              </w:rPr>
            </w:pPr>
            <w:r>
              <w:rPr>
                <w:rFonts w:hint="eastAsia" w:ascii="Times New Roman" w:hAnsi="Times New Roman" w:eastAsia="宋体" w:cs="Times New Roman"/>
                <w:b w:val="0"/>
                <w:bCs w:val="0"/>
                <w:color w:val="000000"/>
                <w:sz w:val="24"/>
                <w:lang w:val="en-US" w:eastAsia="zh-CN"/>
              </w:rPr>
              <w:t>1.3.1与国家工业和信息化部等三部委关于推动铸造和锻压行业高质量发展指导意见的相符性分析</w:t>
            </w:r>
          </w:p>
          <w:p w14:paraId="17D363C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为更好推动铸造和锻压行业高质量发展</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持续提升对装备制造业的支撑和保障作用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国家</w:t>
            </w:r>
            <w:r>
              <w:rPr>
                <w:rFonts w:hint="default" w:ascii="Times New Roman" w:hAnsi="Times New Roman" w:eastAsia="宋体" w:cs="Times New Roman"/>
                <w:sz w:val="24"/>
                <w:szCs w:val="24"/>
              </w:rPr>
              <w:t>工业和信息化部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国家发展</w:t>
            </w:r>
            <w:r>
              <w:rPr>
                <w:rFonts w:hint="eastAsia" w:ascii="Times New Roman" w:hAnsi="Times New Roman" w:eastAsia="宋体" w:cs="Times New Roman"/>
                <w:sz w:val="24"/>
                <w:szCs w:val="24"/>
                <w:lang w:val="en-US" w:eastAsia="zh-CN"/>
              </w:rPr>
              <w:t>和</w:t>
            </w:r>
            <w:r>
              <w:rPr>
                <w:rFonts w:hint="default" w:ascii="Times New Roman" w:hAnsi="Times New Roman" w:eastAsia="宋体" w:cs="Times New Roman"/>
                <w:sz w:val="24"/>
                <w:szCs w:val="24"/>
              </w:rPr>
              <w:t>改革</w:t>
            </w:r>
            <w:r>
              <w:rPr>
                <w:rFonts w:hint="eastAsia" w:ascii="Times New Roman" w:hAnsi="Times New Roman" w:eastAsia="宋体" w:cs="Times New Roman"/>
                <w:sz w:val="24"/>
                <w:szCs w:val="24"/>
                <w:lang w:val="en-US" w:eastAsia="zh-CN"/>
              </w:rPr>
              <w:t>委员会</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生态环境部</w:t>
            </w:r>
            <w:r>
              <w:rPr>
                <w:rFonts w:hint="default" w:ascii="Times New Roman" w:hAnsi="Times New Roman" w:eastAsia="宋体" w:cs="Times New Roman"/>
                <w:sz w:val="24"/>
                <w:szCs w:val="24"/>
                <w:lang w:val="en-US" w:eastAsia="zh-CN"/>
              </w:rPr>
              <w:t>于2023年3月30日联合发布了《关于推动铸造和锻压行业高质量发展的指导意见》（工信部联通装〔2023〕40号）</w:t>
            </w:r>
            <w:r>
              <w:rPr>
                <w:rFonts w:hint="eastAsia" w:ascii="Times New Roman" w:hAnsi="Times New Roman" w:eastAsia="宋体" w:cs="Times New Roman"/>
                <w:sz w:val="24"/>
                <w:szCs w:val="24"/>
                <w:lang w:val="en-US" w:eastAsia="zh-CN"/>
              </w:rPr>
              <w:t>，具体管控要求如下。</w:t>
            </w:r>
          </w:p>
          <w:p w14:paraId="0AEC6E50">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eastAsia="黑体" w:cs="Times New Roman"/>
                <w:bCs/>
                <w:kern w:val="21"/>
                <w:szCs w:val="24"/>
              </w:rPr>
            </w:pPr>
            <w:r>
              <w:rPr>
                <w:rFonts w:hint="eastAsia" w:ascii="Times New Roman" w:hAnsi="Times New Roman" w:eastAsia="黑体" w:cs="Times New Roman"/>
                <w:bCs/>
                <w:kern w:val="21"/>
                <w:szCs w:val="24"/>
              </w:rPr>
              <w:t>表1-</w:t>
            </w:r>
            <w:r>
              <w:rPr>
                <w:rFonts w:hint="eastAsia" w:eastAsia="黑体" w:cs="Times New Roman"/>
                <w:bCs/>
                <w:kern w:val="21"/>
                <w:szCs w:val="24"/>
                <w:lang w:val="en-US" w:eastAsia="zh-CN"/>
              </w:rPr>
              <w:t>6</w:t>
            </w:r>
            <w:r>
              <w:rPr>
                <w:rFonts w:hint="eastAsia" w:ascii="Times New Roman" w:hAnsi="Times New Roman" w:eastAsia="黑体" w:cs="Times New Roman"/>
                <w:bCs/>
                <w:kern w:val="21"/>
                <w:szCs w:val="24"/>
              </w:rPr>
              <w:t xml:space="preserve">  与关于推动铸造和锻压行业高质量发展的指导意见相符性分析</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4470"/>
              <w:gridCol w:w="1987"/>
              <w:gridCol w:w="882"/>
            </w:tblGrid>
            <w:tr w14:paraId="32AB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3" w:type="pct"/>
                  <w:gridSpan w:val="2"/>
                  <w:tcMar>
                    <w:top w:w="0" w:type="dxa"/>
                    <w:left w:w="57" w:type="dxa"/>
                    <w:bottom w:w="0" w:type="dxa"/>
                    <w:right w:w="57" w:type="dxa"/>
                  </w:tcMar>
                  <w:vAlign w:val="center"/>
                </w:tcPr>
                <w:p w14:paraId="65CA652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主要</w:t>
                  </w:r>
                  <w:r>
                    <w:rPr>
                      <w:color w:val="000000" w:themeColor="text1"/>
                      <w:kern w:val="0"/>
                      <w:sz w:val="21"/>
                      <w:szCs w:val="21"/>
                      <w:highlight w:val="none"/>
                      <w14:textFill>
                        <w14:solidFill>
                          <w14:schemeClr w14:val="tx1"/>
                        </w14:solidFill>
                      </w14:textFill>
                    </w:rPr>
                    <w:t>内容</w:t>
                  </w:r>
                </w:p>
              </w:tc>
              <w:tc>
                <w:tcPr>
                  <w:tcW w:w="1230" w:type="pct"/>
                  <w:tcMar>
                    <w:top w:w="0" w:type="dxa"/>
                    <w:left w:w="57" w:type="dxa"/>
                    <w:bottom w:w="0" w:type="dxa"/>
                    <w:right w:w="57" w:type="dxa"/>
                  </w:tcMar>
                  <w:vAlign w:val="center"/>
                </w:tcPr>
                <w:p w14:paraId="1CCB590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本项目情况</w:t>
                  </w:r>
                </w:p>
              </w:tc>
              <w:tc>
                <w:tcPr>
                  <w:tcW w:w="546" w:type="pct"/>
                  <w:tcMar>
                    <w:top w:w="0" w:type="dxa"/>
                    <w:left w:w="57" w:type="dxa"/>
                    <w:bottom w:w="0" w:type="dxa"/>
                    <w:right w:w="57" w:type="dxa"/>
                  </w:tcMar>
                  <w:vAlign w:val="center"/>
                </w:tcPr>
                <w:p w14:paraId="63FCF2E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相符性</w:t>
                  </w:r>
                </w:p>
              </w:tc>
            </w:tr>
            <w:tr w14:paraId="31218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tcMar>
                    <w:top w:w="0" w:type="dxa"/>
                    <w:left w:w="57" w:type="dxa"/>
                    <w:bottom w:w="0" w:type="dxa"/>
                    <w:right w:w="57" w:type="dxa"/>
                  </w:tcMar>
                  <w:vAlign w:val="center"/>
                </w:tcPr>
                <w:p w14:paraId="718B1E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（一）提高行业创新能力</w:t>
                  </w:r>
                </w:p>
              </w:tc>
              <w:tc>
                <w:tcPr>
                  <w:tcW w:w="2767" w:type="pct"/>
                  <w:tcMar>
                    <w:top w:w="0" w:type="dxa"/>
                    <w:left w:w="57" w:type="dxa"/>
                    <w:bottom w:w="0" w:type="dxa"/>
                    <w:right w:w="57" w:type="dxa"/>
                  </w:tcMar>
                  <w:vAlign w:val="center"/>
                </w:tcPr>
                <w:p w14:paraId="1257986B">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发展先进铸造工艺与装备。重点发展高紧实度粘土砂自动化造型、高效自硬砂铸造、精密组芯造型、壳型铸造、离心铸造、金属型铸造、铁模覆砂、消失模/V法/实型铸造、轻合金高压/挤压/差压/低压/半固态/调压铸造、硅溶胶熔模铸造、短流程铸造、砂型3D打印等先进铸造工艺与装备。</w:t>
                  </w:r>
                </w:p>
              </w:tc>
              <w:tc>
                <w:tcPr>
                  <w:tcW w:w="1230" w:type="pct"/>
                  <w:tcMar>
                    <w:top w:w="0" w:type="dxa"/>
                    <w:left w:w="57" w:type="dxa"/>
                    <w:bottom w:w="0" w:type="dxa"/>
                    <w:right w:w="57" w:type="dxa"/>
                  </w:tcMar>
                  <w:vAlign w:val="center"/>
                </w:tcPr>
                <w:p w14:paraId="366E3FC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铸件采用</w:t>
                  </w:r>
                  <w:r>
                    <w:rPr>
                      <w:rFonts w:hint="eastAsia"/>
                      <w:color w:val="000000" w:themeColor="text1"/>
                      <w:sz w:val="21"/>
                      <w:szCs w:val="21"/>
                      <w:highlight w:val="none"/>
                      <w:lang w:val="en-US" w:eastAsia="zh-CN"/>
                      <w14:textFill>
                        <w14:solidFill>
                          <w14:schemeClr w14:val="tx1"/>
                        </w14:solidFill>
                      </w14:textFill>
                    </w:rPr>
                    <w:t>树脂砂自硬砂</w:t>
                  </w:r>
                  <w:r>
                    <w:rPr>
                      <w:color w:val="000000" w:themeColor="text1"/>
                      <w:kern w:val="0"/>
                      <w:sz w:val="21"/>
                      <w:szCs w:val="21"/>
                      <w:highlight w:val="none"/>
                      <w14:textFill>
                        <w14:solidFill>
                          <w14:schemeClr w14:val="tx1"/>
                        </w14:solidFill>
                      </w14:textFill>
                    </w:rPr>
                    <w:t>铸造</w:t>
                  </w:r>
                  <w:r>
                    <w:rPr>
                      <w:rFonts w:hint="eastAsia"/>
                      <w:color w:val="000000" w:themeColor="text1"/>
                      <w:kern w:val="0"/>
                      <w:sz w:val="21"/>
                      <w:szCs w:val="21"/>
                      <w:highlight w:val="none"/>
                      <w:lang w:val="en-US" w:eastAsia="zh-CN"/>
                      <w14:textFill>
                        <w14:solidFill>
                          <w14:schemeClr w14:val="tx1"/>
                        </w14:solidFill>
                      </w14:textFill>
                    </w:rPr>
                    <w:t>工艺</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属于鼓励发展的铸造工艺</w:t>
                  </w:r>
                  <w:r>
                    <w:rPr>
                      <w:rFonts w:hint="eastAsia"/>
                      <w:color w:val="000000" w:themeColor="text1"/>
                      <w:kern w:val="0"/>
                      <w:sz w:val="21"/>
                      <w:szCs w:val="21"/>
                      <w:highlight w:val="none"/>
                      <w:lang w:val="en-US" w:eastAsia="zh-CN"/>
                      <w14:textFill>
                        <w14:solidFill>
                          <w14:schemeClr w14:val="tx1"/>
                        </w14:solidFill>
                      </w14:textFill>
                    </w:rPr>
                    <w:t>与</w:t>
                  </w:r>
                  <w:r>
                    <w:rPr>
                      <w:color w:val="000000" w:themeColor="text1"/>
                      <w:kern w:val="0"/>
                      <w:sz w:val="21"/>
                      <w:szCs w:val="21"/>
                      <w:highlight w:val="none"/>
                      <w14:textFill>
                        <w14:solidFill>
                          <w14:schemeClr w14:val="tx1"/>
                        </w14:solidFill>
                      </w14:textFill>
                    </w:rPr>
                    <w:t>装备</w:t>
                  </w:r>
                  <w:r>
                    <w:rPr>
                      <w:rFonts w:hint="eastAsia"/>
                      <w:color w:val="000000" w:themeColor="text1"/>
                      <w:kern w:val="0"/>
                      <w:sz w:val="21"/>
                      <w:szCs w:val="21"/>
                      <w:highlight w:val="none"/>
                      <w:lang w:eastAsia="zh-CN"/>
                      <w14:textFill>
                        <w14:solidFill>
                          <w14:schemeClr w14:val="tx1"/>
                        </w14:solidFill>
                      </w14:textFill>
                    </w:rPr>
                    <w:t>。</w:t>
                  </w:r>
                </w:p>
              </w:tc>
              <w:tc>
                <w:tcPr>
                  <w:tcW w:w="546" w:type="pct"/>
                  <w:tcMar>
                    <w:top w:w="0" w:type="dxa"/>
                    <w:left w:w="57" w:type="dxa"/>
                    <w:bottom w:w="0" w:type="dxa"/>
                    <w:right w:w="57" w:type="dxa"/>
                  </w:tcMar>
                  <w:vAlign w:val="center"/>
                </w:tcPr>
                <w:p w14:paraId="36A6333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358E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restart"/>
                  <w:tcMar>
                    <w:top w:w="0" w:type="dxa"/>
                    <w:left w:w="57" w:type="dxa"/>
                    <w:bottom w:w="0" w:type="dxa"/>
                    <w:right w:w="57" w:type="dxa"/>
                  </w:tcMar>
                  <w:vAlign w:val="center"/>
                </w:tcPr>
                <w:p w14:paraId="39C1B8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（二）推进行业规范发展</w:t>
                  </w:r>
                </w:p>
              </w:tc>
              <w:tc>
                <w:tcPr>
                  <w:tcW w:w="2767" w:type="pct"/>
                  <w:tcMar>
                    <w:top w:w="0" w:type="dxa"/>
                    <w:left w:w="57" w:type="dxa"/>
                    <w:bottom w:w="0" w:type="dxa"/>
                    <w:right w:w="57" w:type="dxa"/>
                  </w:tcMar>
                  <w:vAlign w:val="center"/>
                </w:tcPr>
                <w:p w14:paraId="1A9F898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推进产业结构优化。严格执行节能、环保、质量、安全技术等相关法律法规标准和《产业结构调整指导目录》等政策，依法依规淘汰工艺装备落后、污染物排放不达标、生产安全无保障的落后产能。鼓励大气污染防治重点区域加大淘汰落后力度。铸造企业不得采用无芯工频感应电炉、无磁轭（≥0.25吨）铝壳中频感应电炉、水玻璃熔模精密铸造氯化铵硬化模壳、铝合金六氯乙烷精炼等淘汰类工艺和装备。加快存量项目升级改造，推进企业合理选择低污染、低能耗、经济高效的先进工艺技术，提升行业竞争能力。强化铸造和锻压与装备制造业协同布局，引导具备条件的企业入园集聚发展，提升产业链供应链协同配套能力，构建布局合理、错位互补、供需联动、协同发展的产业格局。</w:t>
                  </w:r>
                </w:p>
              </w:tc>
              <w:tc>
                <w:tcPr>
                  <w:tcW w:w="1230" w:type="pct"/>
                  <w:tcMar>
                    <w:top w:w="0" w:type="dxa"/>
                    <w:left w:w="57" w:type="dxa"/>
                    <w:bottom w:w="0" w:type="dxa"/>
                    <w:right w:w="57" w:type="dxa"/>
                  </w:tcMar>
                  <w:vAlign w:val="center"/>
                </w:tcPr>
                <w:p w14:paraId="264178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color w:val="auto"/>
                      <w:kern w:val="0"/>
                      <w:sz w:val="21"/>
                      <w:szCs w:val="21"/>
                      <w:highlight w:val="none"/>
                    </w:rPr>
                    <w:t>本项目</w:t>
                  </w:r>
                  <w:r>
                    <w:rPr>
                      <w:rFonts w:hint="eastAsia"/>
                      <w:color w:val="auto"/>
                      <w:kern w:val="0"/>
                      <w:sz w:val="21"/>
                      <w:szCs w:val="21"/>
                      <w:highlight w:val="none"/>
                      <w:lang w:val="en-US" w:eastAsia="zh-CN"/>
                    </w:rPr>
                    <w:t>位于镇平县先进制造业开发区，不</w:t>
                  </w:r>
                  <w:r>
                    <w:rPr>
                      <w:rFonts w:hint="eastAsia"/>
                      <w:color w:val="auto"/>
                      <w:sz w:val="21"/>
                      <w:szCs w:val="21"/>
                      <w:highlight w:val="none"/>
                      <w:lang w:val="en-US" w:eastAsia="zh-CN"/>
                    </w:rPr>
                    <w:t>涉及淘汰类工艺和装备，</w:t>
                  </w:r>
                  <w:r>
                    <w:rPr>
                      <w:rFonts w:hint="eastAsia"/>
                      <w:color w:val="auto"/>
                      <w:kern w:val="0"/>
                      <w:sz w:val="21"/>
                      <w:szCs w:val="21"/>
                      <w:highlight w:val="none"/>
                      <w:lang w:val="en-US" w:eastAsia="zh-CN"/>
                    </w:rPr>
                    <w:t>符合</w:t>
                  </w:r>
                  <w:r>
                    <w:rPr>
                      <w:color w:val="000000" w:themeColor="text1"/>
                      <w:kern w:val="0"/>
                      <w:sz w:val="21"/>
                      <w:szCs w:val="21"/>
                      <w:highlight w:val="none"/>
                      <w14:textFill>
                        <w14:solidFill>
                          <w14:schemeClr w14:val="tx1"/>
                        </w14:solidFill>
                      </w14:textFill>
                    </w:rPr>
                    <w:t>节能、环保、质量、安全技术等相关法律法规标准</w:t>
                  </w:r>
                  <w:r>
                    <w:rPr>
                      <w:rFonts w:hint="eastAsia"/>
                      <w:color w:val="000000" w:themeColor="text1"/>
                      <w:kern w:val="0"/>
                      <w:sz w:val="21"/>
                      <w:szCs w:val="21"/>
                      <w:highlight w:val="none"/>
                      <w:lang w:val="en-US" w:eastAsia="zh-CN"/>
                      <w14:textFill>
                        <w14:solidFill>
                          <w14:schemeClr w14:val="tx1"/>
                        </w14:solidFill>
                      </w14:textFill>
                    </w:rPr>
                    <w:t>和</w:t>
                  </w:r>
                  <w:r>
                    <w:rPr>
                      <w:rFonts w:hint="eastAsia"/>
                      <w:color w:val="auto"/>
                      <w:sz w:val="21"/>
                      <w:szCs w:val="21"/>
                      <w:highlight w:val="none"/>
                    </w:rPr>
                    <w:t>国家产业政策</w:t>
                  </w:r>
                </w:p>
              </w:tc>
              <w:tc>
                <w:tcPr>
                  <w:tcW w:w="546" w:type="pct"/>
                  <w:tcMar>
                    <w:top w:w="0" w:type="dxa"/>
                    <w:left w:w="57" w:type="dxa"/>
                    <w:bottom w:w="0" w:type="dxa"/>
                    <w:right w:w="57" w:type="dxa"/>
                  </w:tcMar>
                  <w:vAlign w:val="center"/>
                </w:tcPr>
                <w:p w14:paraId="7166D1F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A42A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tcMar>
                    <w:top w:w="0" w:type="dxa"/>
                    <w:left w:w="57" w:type="dxa"/>
                    <w:bottom w:w="0" w:type="dxa"/>
                    <w:right w:w="57" w:type="dxa"/>
                  </w:tcMar>
                  <w:vAlign w:val="center"/>
                </w:tcPr>
                <w:p w14:paraId="79A68C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767" w:type="pct"/>
                  <w:tcMar>
                    <w:top w:w="0" w:type="dxa"/>
                    <w:left w:w="57" w:type="dxa"/>
                    <w:bottom w:w="0" w:type="dxa"/>
                    <w:right w:w="57" w:type="dxa"/>
                  </w:tcMar>
                  <w:vAlign w:val="center"/>
                </w:tcPr>
                <w:p w14:paraId="521DEC2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支持高端项目建设。推动落实全国统一大市场建设，打通制约行业发展的关键堵点。引导各地结合实际谋划新建或改造升级的高端建设项目落地实施，支持企业围绕主机厂或重大项目配套生产，保障装备制造业产业链供应链安全稳定。严格审批新建、改扩建项目，确保项目备案、环评、排污许可、安评、节能审查等手续清晰、完备，项目建设符合国家相关法律法规标准要求。严格落实主要污染物排放总量控制、能源消耗总量和强度调控制度，坚决遏制不符合要求的项目盲目发展和低水平重复建设，防止产能盲目扩张，切实推进产业结构优化升级。</w:t>
                  </w:r>
                </w:p>
              </w:tc>
              <w:tc>
                <w:tcPr>
                  <w:tcW w:w="1230" w:type="pct"/>
                  <w:tcMar>
                    <w:top w:w="0" w:type="dxa"/>
                    <w:left w:w="57" w:type="dxa"/>
                    <w:bottom w:w="0" w:type="dxa"/>
                    <w:right w:w="57" w:type="dxa"/>
                  </w:tcMar>
                  <w:vAlign w:val="center"/>
                </w:tcPr>
                <w:p w14:paraId="3361748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企业正在办理</w:t>
                  </w:r>
                  <w:r>
                    <w:rPr>
                      <w:color w:val="000000" w:themeColor="text1"/>
                      <w:kern w:val="0"/>
                      <w:sz w:val="21"/>
                      <w:szCs w:val="21"/>
                      <w:highlight w:val="none"/>
                      <w14:textFill>
                        <w14:solidFill>
                          <w14:schemeClr w14:val="tx1"/>
                        </w14:solidFill>
                      </w14:textFill>
                    </w:rPr>
                    <w:t>环评、排污许可、安评、节能审查</w:t>
                  </w:r>
                  <w:r>
                    <w:rPr>
                      <w:rFonts w:hint="eastAsia"/>
                      <w:color w:val="000000" w:themeColor="text1"/>
                      <w:kern w:val="0"/>
                      <w:sz w:val="21"/>
                      <w:szCs w:val="21"/>
                      <w:highlight w:val="none"/>
                      <w:lang w:val="en-US" w:eastAsia="zh-CN"/>
                      <w14:textFill>
                        <w14:solidFill>
                          <w14:schemeClr w14:val="tx1"/>
                        </w14:solidFill>
                      </w14:textFill>
                    </w:rPr>
                    <w:t>等</w:t>
                  </w:r>
                  <w:r>
                    <w:rPr>
                      <w:color w:val="000000" w:themeColor="text1"/>
                      <w:kern w:val="0"/>
                      <w:sz w:val="21"/>
                      <w:szCs w:val="21"/>
                      <w:highlight w:val="none"/>
                      <w14:textFill>
                        <w14:solidFill>
                          <w14:schemeClr w14:val="tx1"/>
                        </w14:solidFill>
                      </w14:textFill>
                    </w:rPr>
                    <w:t>手续，项目建设满足国家及地方相关法律法规标准</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满足</w:t>
                  </w:r>
                  <w:r>
                    <w:rPr>
                      <w:color w:val="000000" w:themeColor="text1"/>
                      <w:kern w:val="0"/>
                      <w:sz w:val="21"/>
                      <w:szCs w:val="21"/>
                      <w:highlight w:val="none"/>
                      <w14:textFill>
                        <w14:solidFill>
                          <w14:schemeClr w14:val="tx1"/>
                        </w14:solidFill>
                      </w14:textFill>
                    </w:rPr>
                    <w:t>主要污染物排放总量控制、能源消耗总量和强度调控制度</w:t>
                  </w:r>
                </w:p>
              </w:tc>
              <w:tc>
                <w:tcPr>
                  <w:tcW w:w="546" w:type="pct"/>
                  <w:tcMar>
                    <w:top w:w="0" w:type="dxa"/>
                    <w:left w:w="57" w:type="dxa"/>
                    <w:bottom w:w="0" w:type="dxa"/>
                    <w:right w:w="57" w:type="dxa"/>
                  </w:tcMar>
                  <w:vAlign w:val="center"/>
                </w:tcPr>
                <w:p w14:paraId="2B7203D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C794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tcMar>
                    <w:top w:w="0" w:type="dxa"/>
                    <w:left w:w="57" w:type="dxa"/>
                    <w:bottom w:w="0" w:type="dxa"/>
                    <w:right w:w="57" w:type="dxa"/>
                  </w:tcMar>
                  <w:vAlign w:val="center"/>
                </w:tcPr>
                <w:p w14:paraId="4AF8375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767" w:type="pct"/>
                  <w:tcMar>
                    <w:top w:w="0" w:type="dxa"/>
                    <w:left w:w="57" w:type="dxa"/>
                    <w:bottom w:w="0" w:type="dxa"/>
                    <w:right w:w="57" w:type="dxa"/>
                  </w:tcMar>
                  <w:vAlign w:val="center"/>
                </w:tcPr>
                <w:p w14:paraId="24DDD881">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规范行业监督管理。系统科学有序推进行业转型升级，避免政策执行</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一刀切</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和</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层层加码</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充分发挥行业自治作用，加强行业自律建设。推动修订《铸造企业规范条件》（T/CFA0310021），鼓励地方参照该条件引导铸造企业规范发展。严格区分锻压行业和钢铁行业生产工艺特征特点，避免锻压配套的炼钢判定为钢铁冶炼生产，也严禁以铸造和锻压名义违规新增钢铁产能、违规生产钢坯钢锭及上市销售。</w:t>
                  </w:r>
                </w:p>
              </w:tc>
              <w:tc>
                <w:tcPr>
                  <w:tcW w:w="1230" w:type="pct"/>
                  <w:tcMar>
                    <w:top w:w="0" w:type="dxa"/>
                    <w:left w:w="57" w:type="dxa"/>
                    <w:bottom w:w="0" w:type="dxa"/>
                    <w:right w:w="57" w:type="dxa"/>
                  </w:tcMar>
                  <w:vAlign w:val="center"/>
                </w:tcPr>
                <w:p w14:paraId="6F8816D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产品为铸件，不涉及</w:t>
                  </w:r>
                  <w:r>
                    <w:rPr>
                      <w:color w:val="000000" w:themeColor="text1"/>
                      <w:kern w:val="0"/>
                      <w:sz w:val="21"/>
                      <w:szCs w:val="21"/>
                      <w:highlight w:val="none"/>
                      <w14:textFill>
                        <w14:solidFill>
                          <w14:schemeClr w14:val="tx1"/>
                        </w14:solidFill>
                      </w14:textFill>
                    </w:rPr>
                    <w:t>钢坯钢锭</w:t>
                  </w:r>
                  <w:r>
                    <w:rPr>
                      <w:rFonts w:hint="eastAsia"/>
                      <w:color w:val="000000" w:themeColor="text1"/>
                      <w:kern w:val="0"/>
                      <w:sz w:val="21"/>
                      <w:szCs w:val="21"/>
                      <w:highlight w:val="none"/>
                      <w:lang w:val="en-US" w:eastAsia="zh-CN"/>
                      <w14:textFill>
                        <w14:solidFill>
                          <w14:schemeClr w14:val="tx1"/>
                        </w14:solidFill>
                      </w14:textFill>
                    </w:rPr>
                    <w:t>生产，不新增钢铁产能，</w:t>
                  </w:r>
                  <w:r>
                    <w:rPr>
                      <w:color w:val="000000" w:themeColor="text1"/>
                      <w:kern w:val="0"/>
                      <w:sz w:val="21"/>
                      <w:szCs w:val="21"/>
                      <w:highlight w:val="none"/>
                      <w14:textFill>
                        <w14:solidFill>
                          <w14:schemeClr w14:val="tx1"/>
                        </w14:solidFill>
                      </w14:textFill>
                    </w:rPr>
                    <w:t>项目建设符合《铸造企业规范条件》要求</w:t>
                  </w:r>
                  <w:r>
                    <w:rPr>
                      <w:rFonts w:hint="eastAsia"/>
                      <w:color w:val="000000" w:themeColor="text1"/>
                      <w:kern w:val="0"/>
                      <w:sz w:val="21"/>
                      <w:szCs w:val="21"/>
                      <w:highlight w:val="none"/>
                      <w:lang w:val="en-US" w:eastAsia="zh-CN"/>
                      <w14:textFill>
                        <w14:solidFill>
                          <w14:schemeClr w14:val="tx1"/>
                        </w14:solidFill>
                      </w14:textFill>
                    </w:rPr>
                    <w:t>。</w:t>
                  </w:r>
                </w:p>
              </w:tc>
              <w:tc>
                <w:tcPr>
                  <w:tcW w:w="546" w:type="pct"/>
                  <w:tcMar>
                    <w:top w:w="0" w:type="dxa"/>
                    <w:left w:w="57" w:type="dxa"/>
                    <w:bottom w:w="0" w:type="dxa"/>
                    <w:right w:w="57" w:type="dxa"/>
                  </w:tcMar>
                  <w:vAlign w:val="center"/>
                </w:tcPr>
                <w:p w14:paraId="7E595B5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84DB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restart"/>
                  <w:tcMar>
                    <w:top w:w="0" w:type="dxa"/>
                    <w:left w:w="57" w:type="dxa"/>
                    <w:bottom w:w="0" w:type="dxa"/>
                    <w:right w:w="57" w:type="dxa"/>
                  </w:tcMar>
                  <w:vAlign w:val="center"/>
                </w:tcPr>
                <w:p w14:paraId="0B92E64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（三）加快行业绿色发展</w:t>
                  </w:r>
                </w:p>
              </w:tc>
              <w:tc>
                <w:tcPr>
                  <w:tcW w:w="2767" w:type="pct"/>
                  <w:tcMar>
                    <w:top w:w="0" w:type="dxa"/>
                    <w:left w:w="57" w:type="dxa"/>
                    <w:bottom w:w="0" w:type="dxa"/>
                    <w:right w:w="57" w:type="dxa"/>
                  </w:tcMar>
                  <w:vAlign w:val="center"/>
                </w:tcPr>
                <w:p w14:paraId="421A59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加快绿色低碳转型。推进绿色方式贯穿铸造和锻压生产全流程，开发绿色原辅材料、推广绿色工艺、建设绿色工厂、发展绿色园区，深入推进园区循环化改造。推动企业依法披露环境信息，接受社会监督。积极开展清洁生产，做好节能监察执法、节能诊断服务工作，深入挖掘节能潜力。鼓励企业采用高效节能熔炼、热处理等设备，提高余热利用水平。推广短流程铸造，鼓励铸造行业冲天炉（10吨/小时及以下）改为电炉。推进铸造废砂再生处理技术应用、废旧金属循环再生与利用。推广整体化大型化短流程低成本锻压技术，推广环保润滑介质应用，加大非调质钢使用比例等。</w:t>
                  </w:r>
                </w:p>
              </w:tc>
              <w:tc>
                <w:tcPr>
                  <w:tcW w:w="1230" w:type="pct"/>
                  <w:tcMar>
                    <w:top w:w="0" w:type="dxa"/>
                    <w:left w:w="57" w:type="dxa"/>
                    <w:bottom w:w="0" w:type="dxa"/>
                    <w:right w:w="57" w:type="dxa"/>
                  </w:tcMar>
                  <w:vAlign w:val="center"/>
                </w:tcPr>
                <w:p w14:paraId="4E074BF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熔化采用中频电炉</w:t>
                  </w:r>
                  <w:r>
                    <w:rPr>
                      <w:color w:val="000000" w:themeColor="text1"/>
                      <w:kern w:val="0"/>
                      <w:sz w:val="21"/>
                      <w:szCs w:val="21"/>
                      <w:highlight w:val="none"/>
                      <w14:textFill>
                        <w14:solidFill>
                          <w14:schemeClr w14:val="tx1"/>
                        </w14:solidFill>
                      </w14:textFill>
                    </w:rPr>
                    <w:t>，符合清洁生产要求</w:t>
                  </w:r>
                  <w:r>
                    <w:rPr>
                      <w:rFonts w:hint="eastAsia"/>
                      <w:color w:val="000000" w:themeColor="text1"/>
                      <w:kern w:val="0"/>
                      <w:sz w:val="21"/>
                      <w:szCs w:val="21"/>
                      <w:highlight w:val="none"/>
                      <w:lang w:eastAsia="zh-CN"/>
                      <w14:textFill>
                        <w14:solidFill>
                          <w14:schemeClr w14:val="tx1"/>
                        </w14:solidFill>
                      </w14:textFill>
                    </w:rPr>
                    <w:t>。</w:t>
                  </w:r>
                </w:p>
              </w:tc>
              <w:tc>
                <w:tcPr>
                  <w:tcW w:w="546" w:type="pct"/>
                  <w:tcMar>
                    <w:top w:w="0" w:type="dxa"/>
                    <w:left w:w="57" w:type="dxa"/>
                    <w:bottom w:w="0" w:type="dxa"/>
                    <w:right w:w="57" w:type="dxa"/>
                  </w:tcMar>
                  <w:vAlign w:val="center"/>
                </w:tcPr>
                <w:p w14:paraId="2C6431A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E8BB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tcMar>
                    <w:top w:w="0" w:type="dxa"/>
                    <w:left w:w="57" w:type="dxa"/>
                    <w:bottom w:w="0" w:type="dxa"/>
                    <w:right w:w="57" w:type="dxa"/>
                  </w:tcMar>
                  <w:vAlign w:val="center"/>
                </w:tcPr>
                <w:p w14:paraId="52AAA98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767" w:type="pct"/>
                  <w:tcMar>
                    <w:top w:w="0" w:type="dxa"/>
                    <w:left w:w="57" w:type="dxa"/>
                    <w:bottom w:w="0" w:type="dxa"/>
                    <w:right w:w="57" w:type="dxa"/>
                  </w:tcMar>
                  <w:vAlign w:val="center"/>
                </w:tcPr>
                <w:p w14:paraId="6EEA2B2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提升环保治理水平。依法申领排污许可证，严格持证排污、按证排污并按排污许可证规定落实自行监测、台账记录、执行报告、信息公开等要求。综合考虑生产工艺、原辅材料使用、无组织排放控制、污染治理设施运行效果等，建设一批达到重污染天气应对绩效分级A级水平的环保标杆企业，带动行业环保水平提升。铸造企业严格执行《铸造工业大气污染物排放标准》（GB39726）及地方排放标准，加强无组织排放控制，不能稳定达标排放的，限期完成设施升级改造，不具备改造条件及改造后仍不能达标的，依法依规进行淘汰。鼓励铸造用生铁企业参照钢铁行业超低排放改造要求开展有组织、无组织和清洁运输超低排放改造，支持行业协会公示进展情况。</w:t>
                  </w:r>
                </w:p>
              </w:tc>
              <w:tc>
                <w:tcPr>
                  <w:tcW w:w="1230" w:type="pct"/>
                  <w:tcMar>
                    <w:top w:w="0" w:type="dxa"/>
                    <w:left w:w="57" w:type="dxa"/>
                    <w:bottom w:w="0" w:type="dxa"/>
                    <w:right w:w="57" w:type="dxa"/>
                  </w:tcMar>
                  <w:vAlign w:val="center"/>
                </w:tcPr>
                <w:p w14:paraId="6EF208E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企业</w:t>
                  </w:r>
                  <w:r>
                    <w:rPr>
                      <w:color w:val="000000" w:themeColor="text1"/>
                      <w:kern w:val="0"/>
                      <w:sz w:val="21"/>
                      <w:szCs w:val="21"/>
                      <w:highlight w:val="none"/>
                      <w14:textFill>
                        <w14:solidFill>
                          <w14:schemeClr w14:val="tx1"/>
                        </w14:solidFill>
                      </w14:textFill>
                    </w:rPr>
                    <w:t>应依法申领排污许可证并按排污许可证规定落实自行监测、台账记录、执行报告、信息公开等要求</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项目绩效分级指标可达到A级</w:t>
                  </w:r>
                  <w:r>
                    <w:rPr>
                      <w:rFonts w:hint="eastAsia"/>
                      <w:color w:val="000000" w:themeColor="text1"/>
                      <w:kern w:val="0"/>
                      <w:sz w:val="21"/>
                      <w:szCs w:val="21"/>
                      <w:highlight w:val="none"/>
                      <w:lang w:val="en-US" w:eastAsia="zh-CN"/>
                      <w14:textFill>
                        <w14:solidFill>
                          <w14:schemeClr w14:val="tx1"/>
                        </w14:solidFill>
                      </w14:textFill>
                    </w:rPr>
                    <w:t>水平</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污染物排放</w:t>
                  </w:r>
                  <w:r>
                    <w:rPr>
                      <w:color w:val="000000" w:themeColor="text1"/>
                      <w:kern w:val="0"/>
                      <w:sz w:val="21"/>
                      <w:szCs w:val="21"/>
                      <w:highlight w:val="none"/>
                      <w14:textFill>
                        <w14:solidFill>
                          <w14:schemeClr w14:val="tx1"/>
                        </w14:solidFill>
                      </w14:textFill>
                    </w:rPr>
                    <w:t>满足《铸造工业大气污染物排放标准》（GB39726）及地方排放标准</w:t>
                  </w:r>
                  <w:r>
                    <w:rPr>
                      <w:rFonts w:hint="eastAsia"/>
                      <w:color w:val="000000" w:themeColor="text1"/>
                      <w:kern w:val="0"/>
                      <w:sz w:val="21"/>
                      <w:szCs w:val="21"/>
                      <w:highlight w:val="none"/>
                      <w:lang w:eastAsia="zh-CN"/>
                      <w14:textFill>
                        <w14:solidFill>
                          <w14:schemeClr w14:val="tx1"/>
                        </w14:solidFill>
                      </w14:textFill>
                    </w:rPr>
                    <w:t>。</w:t>
                  </w:r>
                </w:p>
              </w:tc>
              <w:tc>
                <w:tcPr>
                  <w:tcW w:w="546" w:type="pct"/>
                  <w:tcMar>
                    <w:top w:w="0" w:type="dxa"/>
                    <w:left w:w="57" w:type="dxa"/>
                    <w:bottom w:w="0" w:type="dxa"/>
                    <w:right w:w="57" w:type="dxa"/>
                  </w:tcMar>
                  <w:vAlign w:val="center"/>
                </w:tcPr>
                <w:p w14:paraId="177B1E9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bl>
          <w:p w14:paraId="51F7131B">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bCs/>
                <w:sz w:val="24"/>
                <w:highlight w:val="none"/>
              </w:rPr>
            </w:pPr>
            <w:r>
              <w:rPr>
                <w:bCs/>
                <w:sz w:val="24"/>
                <w:highlight w:val="none"/>
              </w:rPr>
              <w:t>综上所述，项目的建设符合</w:t>
            </w:r>
            <w:r>
              <w:rPr>
                <w:bCs/>
                <w:color w:val="000000" w:themeColor="text1"/>
                <w:sz w:val="24"/>
                <w:highlight w:val="none"/>
                <w14:textFill>
                  <w14:solidFill>
                    <w14:schemeClr w14:val="tx1"/>
                  </w14:solidFill>
                </w14:textFill>
              </w:rPr>
              <w:t>《关于推动铸造和锻压行业高质量发展的指导意见》（工信部联通装</w:t>
            </w:r>
            <w:r>
              <w:rPr>
                <w:rFonts w:hint="default" w:ascii="Times New Roman" w:hAnsi="Times New Roman" w:eastAsia="宋体" w:cs="Times New Roman"/>
                <w:sz w:val="24"/>
                <w:szCs w:val="24"/>
                <w:lang w:val="en-US" w:eastAsia="zh-CN"/>
              </w:rPr>
              <w:t>〔2023〕</w:t>
            </w:r>
            <w:r>
              <w:rPr>
                <w:bCs/>
                <w:color w:val="000000" w:themeColor="text1"/>
                <w:sz w:val="24"/>
                <w:highlight w:val="none"/>
                <w14:textFill>
                  <w14:solidFill>
                    <w14:schemeClr w14:val="tx1"/>
                  </w14:solidFill>
                </w14:textFill>
              </w:rPr>
              <w:t>40号）</w:t>
            </w:r>
            <w:r>
              <w:rPr>
                <w:bCs/>
                <w:sz w:val="24"/>
                <w:highlight w:val="none"/>
              </w:rPr>
              <w:t>中的相关要求。</w:t>
            </w:r>
          </w:p>
          <w:p w14:paraId="731E44CB">
            <w:pPr>
              <w:spacing w:line="360" w:lineRule="auto"/>
              <w:rPr>
                <w:rFonts w:hint="default" w:ascii="Times New Roman" w:hAnsi="Times New Roman" w:eastAsia="宋体" w:cs="Times New Roman"/>
                <w:b w:val="0"/>
                <w:bCs w:val="0"/>
                <w:color w:val="000000"/>
                <w:sz w:val="24"/>
                <w:lang w:val="en-US" w:eastAsia="zh-CN"/>
              </w:rPr>
            </w:pPr>
            <w:r>
              <w:rPr>
                <w:rFonts w:hint="eastAsia" w:ascii="Times New Roman" w:hAnsi="Times New Roman" w:eastAsia="宋体" w:cs="Times New Roman"/>
                <w:b w:val="0"/>
                <w:bCs w:val="0"/>
                <w:color w:val="000000"/>
                <w:sz w:val="24"/>
                <w:lang w:val="en-US" w:eastAsia="zh-CN"/>
              </w:rPr>
              <w:t>1.3.2与河南省工业和信息化厅等三部门关于推动铸造和锻压行业高质量发展推进重点工作通知的相符性分析</w:t>
            </w:r>
          </w:p>
          <w:p w14:paraId="71705EE9">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为推动</w:t>
            </w:r>
            <w:r>
              <w:rPr>
                <w:rFonts w:hint="eastAsia" w:ascii="Times New Roman" w:hAnsi="Times New Roman" w:eastAsia="宋体" w:cs="Times New Roman"/>
                <w:sz w:val="24"/>
                <w:szCs w:val="24"/>
                <w:lang w:val="en-US" w:eastAsia="zh-CN"/>
              </w:rPr>
              <w:t>河南省</w:t>
            </w:r>
            <w:r>
              <w:rPr>
                <w:rFonts w:hint="default" w:ascii="Times New Roman" w:hAnsi="Times New Roman" w:eastAsia="宋体" w:cs="Times New Roman"/>
                <w:sz w:val="24"/>
                <w:szCs w:val="24"/>
              </w:rPr>
              <w:t>铸造和锻压行业高质量发展</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持续提升对装备制造业的支撑和保障作用</w:t>
            </w:r>
            <w:r>
              <w:rPr>
                <w:rFonts w:hint="default"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河南省</w:t>
            </w:r>
            <w:r>
              <w:rPr>
                <w:rFonts w:hint="default" w:ascii="Times New Roman" w:hAnsi="Times New Roman" w:eastAsia="宋体" w:cs="Times New Roman"/>
                <w:sz w:val="24"/>
                <w:szCs w:val="24"/>
              </w:rPr>
              <w:t>工业和信息化</w:t>
            </w:r>
            <w:r>
              <w:rPr>
                <w:rFonts w:hint="eastAsia" w:ascii="Times New Roman" w:hAnsi="Times New Roman" w:eastAsia="宋体" w:cs="Times New Roman"/>
                <w:sz w:val="24"/>
                <w:szCs w:val="24"/>
                <w:lang w:val="en-US" w:eastAsia="zh-CN"/>
              </w:rPr>
              <w:t>厅</w:t>
            </w:r>
            <w:r>
              <w:rPr>
                <w:rFonts w:hint="default"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省</w:t>
            </w:r>
            <w:r>
              <w:rPr>
                <w:rFonts w:hint="default" w:ascii="Times New Roman" w:hAnsi="Times New Roman" w:eastAsia="宋体" w:cs="Times New Roman"/>
                <w:sz w:val="24"/>
                <w:szCs w:val="24"/>
              </w:rPr>
              <w:t>发展</w:t>
            </w:r>
            <w:r>
              <w:rPr>
                <w:rFonts w:hint="eastAsia" w:ascii="Times New Roman" w:hAnsi="Times New Roman" w:eastAsia="宋体" w:cs="Times New Roman"/>
                <w:sz w:val="24"/>
                <w:szCs w:val="24"/>
                <w:lang w:val="en-US" w:eastAsia="zh-CN"/>
              </w:rPr>
              <w:t>和</w:t>
            </w:r>
            <w:r>
              <w:rPr>
                <w:rFonts w:hint="default" w:ascii="Times New Roman" w:hAnsi="Times New Roman" w:eastAsia="宋体" w:cs="Times New Roman"/>
                <w:sz w:val="24"/>
                <w:szCs w:val="24"/>
              </w:rPr>
              <w:t>改革</w:t>
            </w:r>
            <w:r>
              <w:rPr>
                <w:rFonts w:hint="eastAsia" w:ascii="Times New Roman" w:hAnsi="Times New Roman" w:eastAsia="宋体" w:cs="Times New Roman"/>
                <w:sz w:val="24"/>
                <w:szCs w:val="24"/>
                <w:lang w:val="en-US" w:eastAsia="zh-CN"/>
              </w:rPr>
              <w:t>委员会</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生态环境</w:t>
            </w:r>
            <w:r>
              <w:rPr>
                <w:rFonts w:hint="eastAsia" w:ascii="Times New Roman" w:hAnsi="Times New Roman" w:eastAsia="宋体" w:cs="Times New Roman"/>
                <w:sz w:val="24"/>
                <w:szCs w:val="24"/>
                <w:lang w:val="en-US" w:eastAsia="zh-CN"/>
              </w:rPr>
              <w:t>厅</w:t>
            </w:r>
            <w:r>
              <w:rPr>
                <w:rFonts w:hint="default" w:ascii="Times New Roman" w:hAnsi="Times New Roman" w:eastAsia="宋体" w:cs="Times New Roman"/>
                <w:sz w:val="24"/>
                <w:szCs w:val="24"/>
                <w:lang w:val="en-US" w:eastAsia="zh-CN"/>
              </w:rPr>
              <w:t>于2023年</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月</w:t>
            </w:r>
            <w:r>
              <w:rPr>
                <w:rFonts w:hint="eastAsia" w:ascii="Times New Roman" w:hAnsi="Times New Roman" w:eastAsia="宋体" w:cs="Times New Roman"/>
                <w:sz w:val="24"/>
                <w:szCs w:val="24"/>
                <w:lang w:val="en-US" w:eastAsia="zh-CN"/>
              </w:rPr>
              <w:t>24</w:t>
            </w:r>
            <w:r>
              <w:rPr>
                <w:rFonts w:hint="default" w:ascii="Times New Roman" w:hAnsi="Times New Roman" w:eastAsia="宋体" w:cs="Times New Roman"/>
                <w:sz w:val="24"/>
                <w:szCs w:val="24"/>
                <w:lang w:val="en-US" w:eastAsia="zh-CN"/>
              </w:rPr>
              <w:t>日联合发布了《关于推动铸造和锻压行业高质量发展</w:t>
            </w:r>
            <w:r>
              <w:rPr>
                <w:rFonts w:hint="eastAsia" w:ascii="Times New Roman" w:hAnsi="Times New Roman" w:eastAsia="宋体" w:cs="Times New Roman"/>
                <w:sz w:val="24"/>
                <w:szCs w:val="24"/>
                <w:lang w:val="en-US" w:eastAsia="zh-CN"/>
              </w:rPr>
              <w:t>推进重点工作</w:t>
            </w:r>
            <w:r>
              <w:rPr>
                <w:rFonts w:hint="default" w:ascii="Times New Roman" w:hAnsi="Times New Roman" w:eastAsia="宋体" w:cs="Times New Roman"/>
                <w:sz w:val="24"/>
                <w:szCs w:val="24"/>
                <w:lang w:val="en-US" w:eastAsia="zh-CN"/>
              </w:rPr>
              <w:t>的</w:t>
            </w:r>
            <w:r>
              <w:rPr>
                <w:rFonts w:hint="eastAsia" w:ascii="Times New Roman" w:hAnsi="Times New Roman" w:eastAsia="宋体" w:cs="Times New Roman"/>
                <w:sz w:val="24"/>
                <w:szCs w:val="24"/>
                <w:lang w:val="en-US" w:eastAsia="zh-CN"/>
              </w:rPr>
              <w:t>通知</w:t>
            </w:r>
            <w:r>
              <w:rPr>
                <w:rFonts w:hint="default" w:ascii="Times New Roman" w:hAnsi="Times New Roman" w:eastAsia="宋体" w:cs="Times New Roman"/>
                <w:sz w:val="24"/>
                <w:szCs w:val="24"/>
                <w:lang w:val="en-US" w:eastAsia="zh-CN"/>
              </w:rPr>
              <w:t>》（</w:t>
            </w:r>
            <w:r>
              <w:rPr>
                <w:rFonts w:ascii="宋体" w:hAnsi="宋体" w:eastAsia="宋体" w:cs="宋体"/>
                <w:sz w:val="24"/>
                <w:szCs w:val="24"/>
              </w:rPr>
              <w:t>豫工信联装</w:t>
            </w:r>
            <w:r>
              <w:rPr>
                <w:rFonts w:hint="default" w:ascii="Times New Roman" w:hAnsi="Times New Roman" w:eastAsia="宋体" w:cs="Times New Roman"/>
                <w:sz w:val="24"/>
                <w:szCs w:val="24"/>
                <w:lang w:val="en-US" w:eastAsia="zh-CN"/>
              </w:rPr>
              <w:t>〔2023〕</w:t>
            </w:r>
            <w:r>
              <w:rPr>
                <w:rFonts w:hint="eastAsia" w:ascii="Times New Roman" w:hAnsi="Times New Roman" w:eastAsia="宋体" w:cs="Times New Roman"/>
                <w:sz w:val="24"/>
                <w:szCs w:val="24"/>
                <w:lang w:val="en-US" w:eastAsia="zh-CN"/>
              </w:rPr>
              <w:t>87</w:t>
            </w:r>
            <w:r>
              <w:rPr>
                <w:rFonts w:hint="default" w:ascii="Times New Roman" w:hAnsi="Times New Roman" w:eastAsia="宋体" w:cs="Times New Roman"/>
                <w:sz w:val="24"/>
                <w:szCs w:val="24"/>
                <w:lang w:val="en-US" w:eastAsia="zh-CN"/>
              </w:rPr>
              <w:t>号）</w:t>
            </w:r>
            <w:r>
              <w:rPr>
                <w:rFonts w:hint="eastAsia" w:ascii="Times New Roman" w:hAnsi="Times New Roman" w:eastAsia="宋体" w:cs="Times New Roman"/>
                <w:sz w:val="24"/>
                <w:szCs w:val="24"/>
                <w:lang w:val="en-US" w:eastAsia="zh-CN"/>
              </w:rPr>
              <w:t>，具体管控要求如下。</w:t>
            </w:r>
          </w:p>
          <w:p w14:paraId="55A2AA72">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eastAsia="黑体" w:cs="Times New Roman"/>
                <w:bCs/>
                <w:kern w:val="21"/>
                <w:szCs w:val="24"/>
              </w:rPr>
            </w:pPr>
            <w:r>
              <w:rPr>
                <w:rFonts w:hint="eastAsia" w:ascii="Times New Roman" w:hAnsi="Times New Roman" w:eastAsia="黑体" w:cs="Times New Roman"/>
                <w:bCs/>
                <w:kern w:val="21"/>
                <w:szCs w:val="24"/>
              </w:rPr>
              <w:t>表1-</w:t>
            </w:r>
            <w:r>
              <w:rPr>
                <w:rFonts w:hint="eastAsia" w:ascii="Times New Roman" w:hAnsi="Times New Roman" w:eastAsia="黑体" w:cs="Times New Roman"/>
                <w:bCs/>
                <w:kern w:val="21"/>
                <w:szCs w:val="24"/>
                <w:lang w:val="en-US" w:eastAsia="zh-CN"/>
              </w:rPr>
              <w:t>7</w:t>
            </w:r>
            <w:r>
              <w:rPr>
                <w:rFonts w:hint="eastAsia" w:ascii="Times New Roman" w:hAnsi="Times New Roman" w:eastAsia="黑体" w:cs="Times New Roman"/>
                <w:bCs/>
                <w:kern w:val="21"/>
                <w:szCs w:val="24"/>
              </w:rPr>
              <w:t xml:space="preserve">  与</w:t>
            </w:r>
            <w:r>
              <w:rPr>
                <w:rFonts w:hint="eastAsia" w:ascii="Times New Roman" w:hAnsi="Times New Roman" w:eastAsia="黑体" w:cs="Times New Roman"/>
                <w:bCs/>
                <w:kern w:val="21"/>
                <w:szCs w:val="24"/>
                <w:lang w:eastAsia="zh-CN"/>
              </w:rPr>
              <w:t>“豫工信联装</w:t>
            </w:r>
            <w:r>
              <w:rPr>
                <w:rFonts w:hint="default" w:ascii="Times New Roman" w:hAnsi="Times New Roman" w:eastAsia="黑体" w:cs="Times New Roman"/>
                <w:bCs/>
                <w:kern w:val="21"/>
                <w:szCs w:val="24"/>
                <w:lang w:eastAsia="zh-CN"/>
              </w:rPr>
              <w:t>〔2023〕87号</w:t>
            </w:r>
            <w:r>
              <w:rPr>
                <w:rFonts w:hint="eastAsia" w:ascii="Times New Roman" w:hAnsi="Times New Roman" w:eastAsia="黑体" w:cs="Times New Roman"/>
                <w:bCs/>
                <w:kern w:val="21"/>
                <w:szCs w:val="24"/>
                <w:lang w:eastAsia="zh-CN"/>
              </w:rPr>
              <w:t>”</w:t>
            </w:r>
            <w:r>
              <w:rPr>
                <w:rFonts w:hint="eastAsia" w:ascii="Times New Roman" w:hAnsi="Times New Roman" w:eastAsia="黑体" w:cs="Times New Roman"/>
                <w:bCs/>
                <w:kern w:val="21"/>
                <w:szCs w:val="24"/>
              </w:rPr>
              <w:t>相符性分析</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4535"/>
              <w:gridCol w:w="2038"/>
              <w:gridCol w:w="772"/>
            </w:tblGrid>
            <w:tr w14:paraId="55D8E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60" w:type="pct"/>
                  <w:gridSpan w:val="2"/>
                  <w:tcMar>
                    <w:top w:w="0" w:type="dxa"/>
                    <w:left w:w="57" w:type="dxa"/>
                    <w:bottom w:w="0" w:type="dxa"/>
                    <w:right w:w="57" w:type="dxa"/>
                  </w:tcMar>
                  <w:vAlign w:val="center"/>
                </w:tcPr>
                <w:p w14:paraId="5454A0C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主要</w:t>
                  </w:r>
                  <w:r>
                    <w:rPr>
                      <w:color w:val="000000" w:themeColor="text1"/>
                      <w:kern w:val="0"/>
                      <w:sz w:val="21"/>
                      <w:szCs w:val="21"/>
                      <w:highlight w:val="none"/>
                      <w14:textFill>
                        <w14:solidFill>
                          <w14:schemeClr w14:val="tx1"/>
                        </w14:solidFill>
                      </w14:textFill>
                    </w:rPr>
                    <w:t>内容</w:t>
                  </w:r>
                </w:p>
              </w:tc>
              <w:tc>
                <w:tcPr>
                  <w:tcW w:w="1261" w:type="pct"/>
                  <w:tcMar>
                    <w:top w:w="0" w:type="dxa"/>
                    <w:left w:w="57" w:type="dxa"/>
                    <w:bottom w:w="0" w:type="dxa"/>
                    <w:right w:w="57" w:type="dxa"/>
                  </w:tcMar>
                  <w:vAlign w:val="center"/>
                </w:tcPr>
                <w:p w14:paraId="6960135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本项目情况</w:t>
                  </w:r>
                </w:p>
              </w:tc>
              <w:tc>
                <w:tcPr>
                  <w:tcW w:w="478" w:type="pct"/>
                  <w:tcMar>
                    <w:top w:w="0" w:type="dxa"/>
                    <w:left w:w="57" w:type="dxa"/>
                    <w:bottom w:w="0" w:type="dxa"/>
                    <w:right w:w="57" w:type="dxa"/>
                  </w:tcMar>
                  <w:vAlign w:val="center"/>
                </w:tcPr>
                <w:p w14:paraId="2A4AAB8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相符性</w:t>
                  </w:r>
                </w:p>
              </w:tc>
            </w:tr>
            <w:tr w14:paraId="4C31E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2AAC50F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支持高端项目建设</w:t>
                  </w:r>
                </w:p>
              </w:tc>
              <w:tc>
                <w:tcPr>
                  <w:tcW w:w="2808" w:type="pct"/>
                  <w:tcMar>
                    <w:top w:w="0" w:type="dxa"/>
                    <w:left w:w="57" w:type="dxa"/>
                    <w:bottom w:w="0" w:type="dxa"/>
                    <w:right w:w="57" w:type="dxa"/>
                  </w:tcMar>
                  <w:vAlign w:val="center"/>
                </w:tcPr>
                <w:p w14:paraId="280EDBC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支持铸造和锻压行业高端项目建设，鼓励企业围绕国内外汽车、工程机械、轨道交通、农机装备、航空航天及海洋装备、数控机床等整机装备企业或我省重大项目配套生产，保障装备制造业产业供应链安全稳定。严格审批新建、改扩建项目，确保项目备案、环评、排污许可、安评、节能审查等手续清晰、完备，项目建设符合国家相关法律法规标准要求。严格落实主要污染物排放总量控制、能源消耗总量和强度调控制度，坚决遏制不符合要求的项目盲目发展和低水平重复建设，防止产能盲目扩张，切实推进产业结构优化升级。</w:t>
                  </w:r>
                </w:p>
              </w:tc>
              <w:tc>
                <w:tcPr>
                  <w:tcW w:w="1261" w:type="pct"/>
                  <w:tcMar>
                    <w:top w:w="0" w:type="dxa"/>
                    <w:left w:w="57" w:type="dxa"/>
                    <w:bottom w:w="0" w:type="dxa"/>
                    <w:right w:w="57" w:type="dxa"/>
                  </w:tcMar>
                  <w:vAlign w:val="center"/>
                </w:tcPr>
                <w:p w14:paraId="153902C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本项目生产铸件，企业已取得备案，环</w:t>
                  </w:r>
                  <w:r>
                    <w:rPr>
                      <w:rFonts w:hint="eastAsia"/>
                      <w:color w:val="000000" w:themeColor="text1"/>
                      <w:kern w:val="0"/>
                      <w:sz w:val="21"/>
                      <w:szCs w:val="21"/>
                      <w:highlight w:val="none"/>
                      <w:lang w:val="en-US" w:eastAsia="zh-CN"/>
                      <w14:textFill>
                        <w14:solidFill>
                          <w14:schemeClr w14:val="tx1"/>
                        </w14:solidFill>
                      </w14:textFill>
                    </w:rPr>
                    <w:cr/>
                  </w:r>
                  <w:r>
                    <w:rPr>
                      <w:rFonts w:hint="eastAsia"/>
                      <w:color w:val="000000" w:themeColor="text1"/>
                      <w:kern w:val="0"/>
                      <w:sz w:val="21"/>
                      <w:szCs w:val="21"/>
                      <w:highlight w:val="none"/>
                      <w:lang w:val="en-US" w:eastAsia="zh-CN"/>
                      <w14:textFill>
                        <w14:solidFill>
                          <w14:schemeClr w14:val="tx1"/>
                        </w14:solidFill>
                      </w14:textFill>
                    </w:rPr>
                    <w:t>保手续、安评、技能审查等手续目前正在有序完善。项目建设符合国家相关法律法规标准要求。项目严格落实主要污染物排放总量控制、能源消耗总量和强度调控制度，不进行盲目发展和低水平重复建设，防止产能盲目扩张。</w:t>
                  </w:r>
                </w:p>
              </w:tc>
              <w:tc>
                <w:tcPr>
                  <w:tcW w:w="478" w:type="pct"/>
                  <w:tcMar>
                    <w:top w:w="0" w:type="dxa"/>
                    <w:left w:w="57" w:type="dxa"/>
                    <w:bottom w:w="0" w:type="dxa"/>
                    <w:right w:w="57" w:type="dxa"/>
                  </w:tcMar>
                  <w:vAlign w:val="center"/>
                </w:tcPr>
                <w:p w14:paraId="3361F79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6958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49958EE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支持优质企业发展</w:t>
                  </w:r>
                </w:p>
              </w:tc>
              <w:tc>
                <w:tcPr>
                  <w:tcW w:w="2808" w:type="pct"/>
                  <w:tcMar>
                    <w:top w:w="0" w:type="dxa"/>
                    <w:left w:w="57" w:type="dxa"/>
                    <w:bottom w:w="0" w:type="dxa"/>
                    <w:right w:w="57" w:type="dxa"/>
                  </w:tcMar>
                  <w:vAlign w:val="center"/>
                </w:tcPr>
                <w:p w14:paraId="64C7421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发挥优势企业示范带动作用，围绕高端装备制造企业培育建设一批产业链供应链核心企业，带动形成一批行业单项冠军企业、创新型中小企业、专精特新中小企业和专精特新“小巨人”企业。新建铸造、锻压企业应按要求进入园区，配套建设高效环保治理设施。促进产能富裕地区铸造产业集聚发展，推动洛阳、安阳、许昌等地铸造园区建设，引导具备条件的企业入园，打造具有示范效应的产业集群。支持各地从生产工艺、产品质量、安全生产、污染防治（源头减量、过程控制、末端治理）等方面制定综合整治方案，推进铸造产业集群升级改造。引导企业加强质量保障体系建设，提升产品品质。支持有条件的企业积极开展国际交流合作。</w:t>
                  </w:r>
                </w:p>
              </w:tc>
              <w:tc>
                <w:tcPr>
                  <w:tcW w:w="1261" w:type="pct"/>
                  <w:tcMar>
                    <w:top w:w="0" w:type="dxa"/>
                    <w:left w:w="57" w:type="dxa"/>
                    <w:bottom w:w="0" w:type="dxa"/>
                    <w:right w:w="57" w:type="dxa"/>
                  </w:tcMar>
                  <w:vAlign w:val="center"/>
                </w:tcPr>
                <w:p w14:paraId="7D2AF86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本项目为新建项目，位于镇平县先进制造业开发区。</w:t>
                  </w:r>
                </w:p>
              </w:tc>
              <w:tc>
                <w:tcPr>
                  <w:tcW w:w="478" w:type="pct"/>
                  <w:tcMar>
                    <w:top w:w="0" w:type="dxa"/>
                    <w:left w:w="57" w:type="dxa"/>
                    <w:bottom w:w="0" w:type="dxa"/>
                    <w:right w:w="57" w:type="dxa"/>
                  </w:tcMar>
                  <w:vAlign w:val="center"/>
                </w:tcPr>
                <w:p w14:paraId="49D3A7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09A4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2E7EF4B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推动行业规范发展</w:t>
                  </w:r>
                </w:p>
              </w:tc>
              <w:tc>
                <w:tcPr>
                  <w:tcW w:w="2808" w:type="pct"/>
                  <w:tcMar>
                    <w:top w:w="0" w:type="dxa"/>
                    <w:left w:w="57" w:type="dxa"/>
                    <w:bottom w:w="0" w:type="dxa"/>
                    <w:right w:w="57" w:type="dxa"/>
                  </w:tcMar>
                  <w:vAlign w:val="center"/>
                </w:tcPr>
                <w:p w14:paraId="16177AB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充分发挥行业自治作用，加强行业自律建设。强化标准引领，参照《铸造企业规范条件》等标准引导企业对标规范发展，减少行业盲目投资和低水平重复建设。推进产业结构优化，严格执行节能、环保、质量、安全技术等相关法律法规标准和《产业结构调整指导目录》等政策，依法依规淘汰工艺装备落后、污染物排放不达标、生产安全无保障的落后产能。铸造企业不得采用无芯工频感应电炉、无磁轭（≥0.25吨）铝壳中频感应电炉、水玻璃熔模精密铸造氯化铵硬化模壳、铝合金六氯乙烷精炼等淘汰类工艺和装备。规范行业监督管理，禁止以铸造和锻压名义违规新增钢铁产能、违规生产钢坯锭及上市销售。</w:t>
                  </w:r>
                </w:p>
              </w:tc>
              <w:tc>
                <w:tcPr>
                  <w:tcW w:w="1261" w:type="pct"/>
                  <w:tcMar>
                    <w:top w:w="0" w:type="dxa"/>
                    <w:left w:w="57" w:type="dxa"/>
                    <w:bottom w:w="0" w:type="dxa"/>
                    <w:right w:w="57" w:type="dxa"/>
                  </w:tcMar>
                  <w:vAlign w:val="center"/>
                </w:tcPr>
                <w:p w14:paraId="39D9BF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建设满足</w:t>
                  </w:r>
                  <w:r>
                    <w:rPr>
                      <w:rFonts w:hint="eastAsia"/>
                      <w:color w:val="000000" w:themeColor="text1"/>
                      <w:kern w:val="0"/>
                      <w:sz w:val="21"/>
                      <w:szCs w:val="21"/>
                      <w:highlight w:val="none"/>
                      <w14:textFill>
                        <w14:solidFill>
                          <w14:schemeClr w14:val="tx1"/>
                        </w14:solidFill>
                      </w14:textFill>
                    </w:rPr>
                    <w:t>《铸造企业规范条件》要求</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严格执行节能、环保、质量、安全技术等相关法律法规标准</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14:textFill>
                        <w14:solidFill>
                          <w14:schemeClr w14:val="tx1"/>
                        </w14:solidFill>
                      </w14:textFill>
                    </w:rPr>
                    <w:t>不涉及淘汰工艺装备</w:t>
                  </w:r>
                  <w:r>
                    <w:rPr>
                      <w:rFonts w:hint="eastAsia"/>
                      <w:color w:val="000000" w:themeColor="text1"/>
                      <w:kern w:val="0"/>
                      <w:sz w:val="21"/>
                      <w:szCs w:val="21"/>
                      <w:highlight w:val="none"/>
                      <w:lang w:eastAsia="zh-CN"/>
                      <w14:textFill>
                        <w14:solidFill>
                          <w14:schemeClr w14:val="tx1"/>
                        </w14:solidFill>
                      </w14:textFill>
                    </w:rPr>
                    <w:t>。</w:t>
                  </w:r>
                </w:p>
              </w:tc>
              <w:tc>
                <w:tcPr>
                  <w:tcW w:w="478" w:type="pct"/>
                  <w:tcMar>
                    <w:top w:w="0" w:type="dxa"/>
                    <w:left w:w="57" w:type="dxa"/>
                    <w:bottom w:w="0" w:type="dxa"/>
                    <w:right w:w="57" w:type="dxa"/>
                  </w:tcMar>
                  <w:vAlign w:val="center"/>
                </w:tcPr>
                <w:p w14:paraId="13A842E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9D78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021A686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提高创新发展能力</w:t>
                  </w:r>
                </w:p>
              </w:tc>
              <w:tc>
                <w:tcPr>
                  <w:tcW w:w="2808" w:type="pct"/>
                  <w:tcMar>
                    <w:top w:w="0" w:type="dxa"/>
                    <w:left w:w="57" w:type="dxa"/>
                    <w:bottom w:w="0" w:type="dxa"/>
                    <w:right w:w="57" w:type="dxa"/>
                  </w:tcMar>
                  <w:vAlign w:val="center"/>
                </w:tcPr>
                <w:p w14:paraId="7E31C13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强化企业创新主体地位，瞄准铸造行业大型化、精密化、轻量化、复杂化技术发展趋势，依托省内骨干企业、科研院所开展新型铸造、新型材料、质量控制、缺陷预防与控制等共性技术攻关研究，重点发展汽车铸件、农机装备铸件、矿山冶金重型机械铸件、大型主机设备铸锻件、航空航天和船舶等高端合金铸件，推动产业链上下游协同创新、大小企业融通创新和科技成果转化应用。推动一体化压铸成型、无模铸造、砂型3D打印、超高强钢热成型、精密冷温热锻、轻质高强合金轻量化等先进工艺技术产业化应用。鼓励企业加大研发投入，争创国家级、省级、市级企业技术中心和工程研究中心，增强创新平台行业服务能力。发展先进铸造和锻压装备，支持企业申报首台(套)重大技术装备。</w:t>
                  </w:r>
                </w:p>
              </w:tc>
              <w:tc>
                <w:tcPr>
                  <w:tcW w:w="1261" w:type="pct"/>
                  <w:tcMar>
                    <w:top w:w="0" w:type="dxa"/>
                    <w:left w:w="57" w:type="dxa"/>
                    <w:bottom w:w="0" w:type="dxa"/>
                    <w:right w:w="57" w:type="dxa"/>
                  </w:tcMar>
                  <w:vAlign w:val="center"/>
                </w:tcPr>
                <w:p w14:paraId="030F380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后续</w:t>
                  </w:r>
                  <w:r>
                    <w:rPr>
                      <w:rFonts w:hint="eastAsia"/>
                      <w:color w:val="000000" w:themeColor="text1"/>
                      <w:kern w:val="0"/>
                      <w:sz w:val="21"/>
                      <w:szCs w:val="21"/>
                      <w:highlight w:val="none"/>
                      <w14:textFill>
                        <w14:solidFill>
                          <w14:schemeClr w14:val="tx1"/>
                        </w14:solidFill>
                      </w14:textFill>
                    </w:rPr>
                    <w:t>将积极加大研发投入，提高创新发展能力</w:t>
                  </w:r>
                  <w:r>
                    <w:rPr>
                      <w:rFonts w:hint="eastAsia"/>
                      <w:color w:val="000000" w:themeColor="text1"/>
                      <w:kern w:val="0"/>
                      <w:sz w:val="21"/>
                      <w:szCs w:val="21"/>
                      <w:highlight w:val="none"/>
                      <w:lang w:eastAsia="zh-CN"/>
                      <w14:textFill>
                        <w14:solidFill>
                          <w14:schemeClr w14:val="tx1"/>
                        </w14:solidFill>
                      </w14:textFill>
                    </w:rPr>
                    <w:t>。</w:t>
                  </w:r>
                </w:p>
              </w:tc>
              <w:tc>
                <w:tcPr>
                  <w:tcW w:w="478" w:type="pct"/>
                  <w:tcMar>
                    <w:top w:w="0" w:type="dxa"/>
                    <w:left w:w="57" w:type="dxa"/>
                    <w:bottom w:w="0" w:type="dxa"/>
                    <w:right w:w="57" w:type="dxa"/>
                  </w:tcMar>
                  <w:vAlign w:val="center"/>
                </w:tcPr>
                <w:p w14:paraId="3E67861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2848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356F85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深度实施智能化改造</w:t>
                  </w:r>
                </w:p>
              </w:tc>
              <w:tc>
                <w:tcPr>
                  <w:tcW w:w="2808" w:type="pct"/>
                  <w:tcMar>
                    <w:top w:w="0" w:type="dxa"/>
                    <w:left w:w="57" w:type="dxa"/>
                    <w:bottom w:w="0" w:type="dxa"/>
                    <w:right w:w="57" w:type="dxa"/>
                  </w:tcMar>
                  <w:vAlign w:val="center"/>
                </w:tcPr>
                <w:p w14:paraId="3FCE549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加快新一代信息技术与铸造和锻压生产过程、全要素深度融合，支持企业利用数字化技术改造传统工艺装备及生产线，申报技术改造、“机器换人”等制造业高质量发展专项资金，推动企业工艺革新、装备升级、管理优化和生产过程智能化。鼓励企业开展智能制造能力成熟度评估，遴选一批铸造和锻压领域智能制造典型场景，建设一批智能制造示范工厂、智能车间，引领行业智能化制造快速发展。</w:t>
                  </w:r>
                </w:p>
              </w:tc>
              <w:tc>
                <w:tcPr>
                  <w:tcW w:w="1261" w:type="pct"/>
                  <w:tcMar>
                    <w:top w:w="0" w:type="dxa"/>
                    <w:left w:w="57" w:type="dxa"/>
                    <w:bottom w:w="0" w:type="dxa"/>
                    <w:right w:w="57" w:type="dxa"/>
                  </w:tcMar>
                  <w:vAlign w:val="center"/>
                </w:tcPr>
                <w:p w14:paraId="0430441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后续</w:t>
                  </w:r>
                  <w:r>
                    <w:rPr>
                      <w:rFonts w:hint="eastAsia"/>
                      <w:color w:val="000000" w:themeColor="text1"/>
                      <w:kern w:val="0"/>
                      <w:sz w:val="21"/>
                      <w:szCs w:val="21"/>
                      <w:highlight w:val="none"/>
                      <w14:textFill>
                        <w14:solidFill>
                          <w14:schemeClr w14:val="tx1"/>
                        </w14:solidFill>
                      </w14:textFill>
                    </w:rPr>
                    <w:t>将积极引进</w:t>
                  </w:r>
                  <w:r>
                    <w:rPr>
                      <w:rFonts w:hint="eastAsia"/>
                      <w:color w:val="000000" w:themeColor="text1"/>
                      <w:kern w:val="0"/>
                      <w:sz w:val="21"/>
                      <w:szCs w:val="21"/>
                      <w:highlight w:val="none"/>
                      <w:lang w:val="en-US" w:eastAsia="zh-CN"/>
                      <w14:textFill>
                        <w14:solidFill>
                          <w14:schemeClr w14:val="tx1"/>
                        </w14:solidFill>
                      </w14:textFill>
                    </w:rPr>
                    <w:t>数字化、</w:t>
                  </w:r>
                  <w:r>
                    <w:rPr>
                      <w:rFonts w:hint="eastAsia"/>
                      <w:color w:val="000000" w:themeColor="text1"/>
                      <w:kern w:val="0"/>
                      <w:sz w:val="21"/>
                      <w:szCs w:val="21"/>
                      <w:highlight w:val="none"/>
                      <w14:textFill>
                        <w14:solidFill>
                          <w14:schemeClr w14:val="tx1"/>
                        </w14:solidFill>
                      </w14:textFill>
                    </w:rPr>
                    <w:t>智能化</w:t>
                  </w:r>
                  <w:r>
                    <w:rPr>
                      <w:rFonts w:hint="eastAsia"/>
                      <w:color w:val="000000" w:themeColor="text1"/>
                      <w:kern w:val="0"/>
                      <w:sz w:val="21"/>
                      <w:szCs w:val="21"/>
                      <w:highlight w:val="none"/>
                      <w:lang w:val="en-US" w:eastAsia="zh-CN"/>
                      <w14:textFill>
                        <w14:solidFill>
                          <w14:schemeClr w14:val="tx1"/>
                        </w14:solidFill>
                      </w14:textFill>
                    </w:rPr>
                    <w:t>技术</w:t>
                  </w:r>
                </w:p>
              </w:tc>
              <w:tc>
                <w:tcPr>
                  <w:tcW w:w="478" w:type="pct"/>
                  <w:tcMar>
                    <w:top w:w="0" w:type="dxa"/>
                    <w:left w:w="57" w:type="dxa"/>
                    <w:bottom w:w="0" w:type="dxa"/>
                    <w:right w:w="57" w:type="dxa"/>
                  </w:tcMar>
                  <w:vAlign w:val="center"/>
                </w:tcPr>
                <w:p w14:paraId="5962CD2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1C5B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tcMar>
                    <w:top w:w="0" w:type="dxa"/>
                    <w:left w:w="57" w:type="dxa"/>
                    <w:bottom w:w="0" w:type="dxa"/>
                    <w:right w:w="57" w:type="dxa"/>
                  </w:tcMar>
                  <w:vAlign w:val="center"/>
                </w:tcPr>
                <w:p w14:paraId="102F759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加快行业绿色发展</w:t>
                  </w:r>
                </w:p>
              </w:tc>
              <w:tc>
                <w:tcPr>
                  <w:tcW w:w="2808" w:type="pct"/>
                  <w:tcMar>
                    <w:top w:w="0" w:type="dxa"/>
                    <w:left w:w="57" w:type="dxa"/>
                    <w:bottom w:w="0" w:type="dxa"/>
                    <w:right w:w="57" w:type="dxa"/>
                  </w:tcMar>
                  <w:vAlign w:val="center"/>
                </w:tcPr>
                <w:p w14:paraId="221D549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坚持绿色发展，将绿色发展理念贯穿铸造和锻压生产全流程，支持企业建设国家级绿色工厂。鼓励企业采用高效节能熔炼、热处理等设备，提高余热利用水平。推广短流程铸造，鼓励铸造行业冲天炉(10吨/小时及以下)改为电炉。推进铸造废砂再生处理技术应用、废旧金属循环再生与利用。推广整体化大型化短流程低成本锻压技术，推广环保润滑介质应用，加大非调制钢使用比例。提升环保治理水平，企业依法申领排污许可证，严格持证排污、按证排污并按排污许可证规定落实自行监测、台账记录、执行报告、信息公开等要求。铸造企业严格执行《铸造工业大气污染物排放标准》及地方排放标准，加强无组织排放控制，不能稳定达标排放的，限期完成设施升级改造，不具备改造条件及改造后仍不能达标的，依法依规进行淘汰。鼓励铸造用生铁企业参照钢铁行业超低排放改造要求开展有组织、无组织和清洁运输超低排放改造。</w:t>
                  </w:r>
                </w:p>
              </w:tc>
              <w:tc>
                <w:tcPr>
                  <w:tcW w:w="1261" w:type="pct"/>
                  <w:tcMar>
                    <w:top w:w="0" w:type="dxa"/>
                    <w:left w:w="57" w:type="dxa"/>
                    <w:bottom w:w="0" w:type="dxa"/>
                    <w:right w:w="57" w:type="dxa"/>
                  </w:tcMar>
                  <w:vAlign w:val="center"/>
                </w:tcPr>
                <w:p w14:paraId="0A0302B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熔炼采用中频电炉</w:t>
                  </w:r>
                  <w:r>
                    <w:rPr>
                      <w:color w:val="000000" w:themeColor="text1"/>
                      <w:kern w:val="0"/>
                      <w:sz w:val="21"/>
                      <w:szCs w:val="21"/>
                      <w:highlight w:val="none"/>
                      <w14:textFill>
                        <w14:solidFill>
                          <w14:schemeClr w14:val="tx1"/>
                        </w14:solidFill>
                      </w14:textFill>
                    </w:rPr>
                    <w:t>，符合清洁生产要求</w:t>
                  </w:r>
                  <w:r>
                    <w:rPr>
                      <w:rFonts w:hint="eastAsia"/>
                      <w:color w:val="000000" w:themeColor="text1"/>
                      <w:kern w:val="0"/>
                      <w:sz w:val="21"/>
                      <w:szCs w:val="21"/>
                      <w:highlight w:val="none"/>
                      <w:lang w:eastAsia="zh-CN"/>
                      <w14:textFill>
                        <w14:solidFill>
                          <w14:schemeClr w14:val="tx1"/>
                        </w14:solidFill>
                      </w14:textFill>
                    </w:rPr>
                    <w:t>；企业将依法申领排污许可证，</w:t>
                  </w:r>
                  <w:r>
                    <w:rPr>
                      <w:rFonts w:hint="eastAsia"/>
                      <w:color w:val="000000" w:themeColor="text1"/>
                      <w:kern w:val="0"/>
                      <w:sz w:val="21"/>
                      <w:szCs w:val="21"/>
                      <w:highlight w:val="none"/>
                      <w:lang w:val="en-US" w:eastAsia="zh-CN"/>
                      <w14:textFill>
                        <w14:solidFill>
                          <w14:schemeClr w14:val="tx1"/>
                        </w14:solidFill>
                      </w14:textFill>
                    </w:rPr>
                    <w:t>并</w:t>
                  </w:r>
                  <w:r>
                    <w:rPr>
                      <w:rFonts w:hint="eastAsia"/>
                      <w:color w:val="000000" w:themeColor="text1"/>
                      <w:kern w:val="0"/>
                      <w:sz w:val="21"/>
                      <w:szCs w:val="21"/>
                      <w:highlight w:val="none"/>
                      <w14:textFill>
                        <w14:solidFill>
                          <w14:schemeClr w14:val="tx1"/>
                        </w14:solidFill>
                      </w14:textFill>
                    </w:rPr>
                    <w:t>严格</w:t>
                  </w:r>
                  <w:r>
                    <w:rPr>
                      <w:rFonts w:hint="eastAsia"/>
                      <w:color w:val="000000" w:themeColor="text1"/>
                      <w:kern w:val="0"/>
                      <w:sz w:val="21"/>
                      <w:szCs w:val="21"/>
                      <w:highlight w:val="none"/>
                      <w:lang w:val="en-US" w:eastAsia="zh-CN"/>
                      <w14:textFill>
                        <w14:solidFill>
                          <w14:schemeClr w14:val="tx1"/>
                        </w14:solidFill>
                      </w14:textFill>
                    </w:rPr>
                    <w:t>按照</w:t>
                  </w:r>
                  <w:r>
                    <w:rPr>
                      <w:rFonts w:hint="eastAsia"/>
                      <w:color w:val="000000" w:themeColor="text1"/>
                      <w:kern w:val="0"/>
                      <w:sz w:val="21"/>
                      <w:szCs w:val="21"/>
                      <w:highlight w:val="none"/>
                      <w14:textFill>
                        <w14:solidFill>
                          <w14:schemeClr w14:val="tx1"/>
                        </w14:solidFill>
                      </w14:textFill>
                    </w:rPr>
                    <w:t>排污许可证要求落实</w:t>
                  </w:r>
                  <w:r>
                    <w:rPr>
                      <w:color w:val="000000" w:themeColor="text1"/>
                      <w:kern w:val="0"/>
                      <w:sz w:val="21"/>
                      <w:szCs w:val="21"/>
                      <w:highlight w:val="none"/>
                      <w14:textFill>
                        <w14:solidFill>
                          <w14:schemeClr w14:val="tx1"/>
                        </w14:solidFill>
                      </w14:textFill>
                    </w:rPr>
                    <w:t>自行监测、台账记录、执行报告、信息公开等</w:t>
                  </w:r>
                  <w:r>
                    <w:rPr>
                      <w:rFonts w:hint="eastAsia"/>
                      <w:color w:val="000000" w:themeColor="text1"/>
                      <w:kern w:val="0"/>
                      <w:sz w:val="21"/>
                      <w:szCs w:val="21"/>
                      <w:highlight w:val="none"/>
                      <w:lang w:val="en-US" w:eastAsia="zh-CN"/>
                      <w14:textFill>
                        <w14:solidFill>
                          <w14:schemeClr w14:val="tx1"/>
                        </w14:solidFill>
                      </w14:textFill>
                    </w:rPr>
                    <w:t>内容。企业各污染物经采取相应的措施后能满足达标排放要求。</w:t>
                  </w:r>
                </w:p>
              </w:tc>
              <w:tc>
                <w:tcPr>
                  <w:tcW w:w="478" w:type="pct"/>
                  <w:tcMar>
                    <w:top w:w="0" w:type="dxa"/>
                    <w:left w:w="57" w:type="dxa"/>
                    <w:bottom w:w="0" w:type="dxa"/>
                    <w:right w:w="57" w:type="dxa"/>
                  </w:tcMar>
                  <w:vAlign w:val="center"/>
                </w:tcPr>
                <w:p w14:paraId="1F1F162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B491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452" w:type="pct"/>
                  <w:tcMar>
                    <w:top w:w="0" w:type="dxa"/>
                    <w:left w:w="57" w:type="dxa"/>
                    <w:bottom w:w="0" w:type="dxa"/>
                    <w:right w:w="57" w:type="dxa"/>
                  </w:tcMar>
                  <w:vAlign w:val="center"/>
                </w:tcPr>
                <w:p w14:paraId="7052F75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凝聚合力推动行业发展</w:t>
                  </w:r>
                </w:p>
              </w:tc>
              <w:tc>
                <w:tcPr>
                  <w:tcW w:w="2808" w:type="pct"/>
                  <w:tcMar>
                    <w:top w:w="0" w:type="dxa"/>
                    <w:left w:w="57" w:type="dxa"/>
                    <w:bottom w:w="0" w:type="dxa"/>
                    <w:right w:w="57" w:type="dxa"/>
                  </w:tcMar>
                  <w:vAlign w:val="center"/>
                </w:tcPr>
                <w:p w14:paraId="144A9A2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各地工业和信息化主管部门、发展改革委、生态环境主管部门要做好铸锻行业政策调整宣传工作，加强统筹协调，强化责任分工，认真履行项目备案、环保等责任，推动行业健康发展。企业新建、改造升级的铸造项目，需符合国家相关法律法规标准，按照《河南省企业投资项目核准和备案管理办法》等现行项目建设管理有关要求，办理项目备案、环评、排污许可、安评、节能审查等手续。</w:t>
                  </w:r>
                </w:p>
              </w:tc>
              <w:tc>
                <w:tcPr>
                  <w:tcW w:w="1261" w:type="pct"/>
                  <w:tcMar>
                    <w:top w:w="0" w:type="dxa"/>
                    <w:left w:w="57" w:type="dxa"/>
                    <w:bottom w:w="0" w:type="dxa"/>
                    <w:right w:w="57" w:type="dxa"/>
                  </w:tcMar>
                  <w:vAlign w:val="center"/>
                </w:tcPr>
                <w:p w14:paraId="5636A5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本项目属于新建，将依法按序</w:t>
                  </w:r>
                  <w:r>
                    <w:rPr>
                      <w:color w:val="000000" w:themeColor="text1"/>
                      <w:kern w:val="0"/>
                      <w:sz w:val="21"/>
                      <w:szCs w:val="21"/>
                      <w:highlight w:val="none"/>
                      <w14:textFill>
                        <w14:solidFill>
                          <w14:schemeClr w14:val="tx1"/>
                        </w14:solidFill>
                      </w14:textFill>
                    </w:rPr>
                    <w:t>办理项目备案、环评、排污许可、安评、节能审查等手续</w:t>
                  </w:r>
                  <w:r>
                    <w:rPr>
                      <w:rFonts w:hint="eastAsia"/>
                      <w:color w:val="000000" w:themeColor="text1"/>
                      <w:kern w:val="0"/>
                      <w:sz w:val="21"/>
                      <w:szCs w:val="21"/>
                      <w:highlight w:val="none"/>
                      <w:lang w:eastAsia="zh-CN"/>
                      <w14:textFill>
                        <w14:solidFill>
                          <w14:schemeClr w14:val="tx1"/>
                        </w14:solidFill>
                      </w14:textFill>
                    </w:rPr>
                    <w:t>。</w:t>
                  </w:r>
                </w:p>
              </w:tc>
              <w:tc>
                <w:tcPr>
                  <w:tcW w:w="478" w:type="pct"/>
                  <w:tcMar>
                    <w:top w:w="0" w:type="dxa"/>
                    <w:left w:w="57" w:type="dxa"/>
                    <w:bottom w:w="0" w:type="dxa"/>
                    <w:right w:w="57" w:type="dxa"/>
                  </w:tcMar>
                  <w:vAlign w:val="center"/>
                </w:tcPr>
                <w:p w14:paraId="5948F27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bl>
          <w:p w14:paraId="0B4795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bCs/>
                <w:color w:val="000000"/>
                <w:sz w:val="24"/>
                <w:lang w:val="en-US" w:eastAsia="zh-CN"/>
              </w:rPr>
            </w:pPr>
            <w:r>
              <w:rPr>
                <w:bCs/>
                <w:sz w:val="24"/>
                <w:highlight w:val="none"/>
              </w:rPr>
              <w:t>综上所述，项目的建设符合</w:t>
            </w:r>
            <w:r>
              <w:rPr>
                <w:bCs/>
                <w:color w:val="000000" w:themeColor="text1"/>
                <w:sz w:val="24"/>
                <w:highlight w:val="none"/>
                <w14:textFill>
                  <w14:solidFill>
                    <w14:schemeClr w14:val="tx1"/>
                  </w14:solidFill>
                </w14:textFill>
              </w:rPr>
              <w:t>《关于推动铸造和锻压行业高质量发展的指导意见》（工信部联通装</w:t>
            </w:r>
            <w:r>
              <w:rPr>
                <w:rFonts w:hint="eastAsia"/>
                <w:bCs/>
                <w:color w:val="000000" w:themeColor="text1"/>
                <w:sz w:val="24"/>
                <w:highlight w:val="none"/>
                <w14:textFill>
                  <w14:solidFill>
                    <w14:schemeClr w14:val="tx1"/>
                  </w14:solidFill>
                </w14:textFill>
              </w:rPr>
              <w:t>〔2023〕</w:t>
            </w:r>
            <w:r>
              <w:rPr>
                <w:bCs/>
                <w:color w:val="000000" w:themeColor="text1"/>
                <w:sz w:val="24"/>
                <w:highlight w:val="none"/>
                <w14:textFill>
                  <w14:solidFill>
                    <w14:schemeClr w14:val="tx1"/>
                  </w14:solidFill>
                </w14:textFill>
              </w:rPr>
              <w:t>40号）</w:t>
            </w:r>
            <w:r>
              <w:rPr>
                <w:bCs/>
                <w:sz w:val="24"/>
                <w:highlight w:val="none"/>
              </w:rPr>
              <w:t>中的相关要求。</w:t>
            </w:r>
          </w:p>
          <w:p w14:paraId="06B5161E">
            <w:pPr>
              <w:spacing w:line="360" w:lineRule="auto"/>
              <w:rPr>
                <w:rFonts w:hint="eastAsia" w:ascii="Times New Roman" w:hAnsi="Times New Roman" w:eastAsia="宋体" w:cs="Times New Roman"/>
                <w:b w:val="0"/>
                <w:bCs w:val="0"/>
                <w:color w:val="000000"/>
                <w:sz w:val="24"/>
                <w:lang w:val="en-US" w:eastAsia="zh-CN"/>
              </w:rPr>
            </w:pPr>
            <w:r>
              <w:rPr>
                <w:rFonts w:hint="eastAsia" w:ascii="Times New Roman" w:hAnsi="Times New Roman" w:eastAsia="宋体" w:cs="Times New Roman"/>
                <w:b w:val="0"/>
                <w:bCs w:val="0"/>
                <w:color w:val="000000"/>
                <w:sz w:val="24"/>
                <w:lang w:val="en-US" w:eastAsia="zh-CN"/>
              </w:rPr>
              <w:t>1.3.3与铸造协会公告《铸造企业规范条件》相符性分析</w:t>
            </w:r>
          </w:p>
          <w:p w14:paraId="5E8D62AB">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eastAsia"/>
                <w:color w:val="000000" w:themeColor="text1"/>
                <w:kern w:val="0"/>
                <w:sz w:val="24"/>
                <w:highlight w:val="none"/>
                <w:lang w:val="en-US" w:eastAsia="zh-CN"/>
                <w14:textFill>
                  <w14:solidFill>
                    <w14:schemeClr w14:val="tx1"/>
                  </w14:solidFill>
                </w14:textFill>
              </w:rPr>
            </w:pPr>
            <w:r>
              <w:rPr>
                <w:rFonts w:hint="eastAsia" w:ascii="Times New Roman" w:hAnsi="Times New Roman"/>
                <w:bCs/>
                <w:color w:val="000000"/>
                <w:sz w:val="24"/>
                <w:lang w:val="en-US" w:eastAsia="zh-CN"/>
              </w:rPr>
              <w:t>为加强铸造行业自律，优化产业结构、提升质量与能效，中国铸造协会于2023年3月31日发布了《铸造企业规范条件》</w:t>
            </w:r>
            <w:r>
              <w:rPr>
                <w:color w:val="000000" w:themeColor="text1"/>
                <w:kern w:val="0"/>
                <w:sz w:val="24"/>
                <w:highlight w:val="none"/>
                <w14:textFill>
                  <w14:solidFill>
                    <w14:schemeClr w14:val="tx1"/>
                  </w14:solidFill>
                </w14:textFill>
              </w:rPr>
              <w:t>（T/CFA</w:t>
            </w:r>
            <w:r>
              <w:rPr>
                <w:rFonts w:hint="eastAsia"/>
                <w:color w:val="000000" w:themeColor="text1"/>
                <w:kern w:val="0"/>
                <w:sz w:val="24"/>
                <w:highlight w:val="none"/>
                <w:lang w:val="en-US" w:eastAsia="zh-CN"/>
                <w14:textFill>
                  <w14:solidFill>
                    <w14:schemeClr w14:val="tx1"/>
                  </w14:solidFill>
                </w14:textFill>
              </w:rPr>
              <w:t xml:space="preserve"> </w:t>
            </w:r>
            <w:r>
              <w:rPr>
                <w:color w:val="000000" w:themeColor="text1"/>
                <w:kern w:val="0"/>
                <w:sz w:val="24"/>
                <w:highlight w:val="none"/>
                <w14:textFill>
                  <w14:solidFill>
                    <w14:schemeClr w14:val="tx1"/>
                  </w14:solidFill>
                </w14:textFill>
              </w:rPr>
              <w:t>0310021-2023）</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具体管控要求如下。</w:t>
            </w:r>
          </w:p>
          <w:p w14:paraId="164712E7">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eastAsia="黑体" w:cs="Times New Roman"/>
                <w:bCs/>
                <w:kern w:val="21"/>
                <w:szCs w:val="24"/>
              </w:rPr>
            </w:pPr>
            <w:r>
              <w:rPr>
                <w:rFonts w:hint="eastAsia" w:ascii="Times New Roman" w:hAnsi="Times New Roman" w:eastAsia="黑体" w:cs="Times New Roman"/>
                <w:bCs/>
                <w:kern w:val="21"/>
                <w:szCs w:val="24"/>
              </w:rPr>
              <w:t>表1-</w:t>
            </w:r>
            <w:r>
              <w:rPr>
                <w:rFonts w:hint="eastAsia" w:eastAsia="黑体" w:cs="Times New Roman"/>
                <w:bCs/>
                <w:kern w:val="21"/>
                <w:szCs w:val="24"/>
                <w:lang w:val="en-US" w:eastAsia="zh-CN"/>
              </w:rPr>
              <w:t>8</w:t>
            </w:r>
            <w:r>
              <w:rPr>
                <w:rFonts w:hint="eastAsia" w:ascii="Times New Roman" w:hAnsi="Times New Roman" w:eastAsia="黑体" w:cs="Times New Roman"/>
                <w:bCs/>
                <w:kern w:val="21"/>
                <w:szCs w:val="24"/>
              </w:rPr>
              <w:t xml:space="preserve">  与铸造企业规范条件相符性分析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12"/>
              <w:gridCol w:w="3840"/>
              <w:gridCol w:w="2624"/>
              <w:gridCol w:w="802"/>
            </w:tblGrid>
            <w:tr w14:paraId="6214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879" w:type="pct"/>
                  <w:gridSpan w:val="2"/>
                  <w:tcMar>
                    <w:top w:w="0" w:type="dxa"/>
                    <w:left w:w="57" w:type="dxa"/>
                    <w:bottom w:w="0" w:type="dxa"/>
                    <w:right w:w="57" w:type="dxa"/>
                  </w:tcMar>
                  <w:vAlign w:val="center"/>
                </w:tcPr>
                <w:p w14:paraId="2C6C3E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主要内容</w:t>
                  </w:r>
                </w:p>
              </w:tc>
              <w:tc>
                <w:tcPr>
                  <w:tcW w:w="1624" w:type="pct"/>
                  <w:tcMar>
                    <w:top w:w="0" w:type="dxa"/>
                    <w:left w:w="57" w:type="dxa"/>
                    <w:bottom w:w="0" w:type="dxa"/>
                    <w:right w:w="57" w:type="dxa"/>
                  </w:tcMar>
                  <w:vAlign w:val="center"/>
                </w:tcPr>
                <w:p w14:paraId="22CFA0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本项目情况</w:t>
                  </w:r>
                </w:p>
              </w:tc>
              <w:tc>
                <w:tcPr>
                  <w:tcW w:w="496" w:type="pct"/>
                  <w:tcMar>
                    <w:top w:w="0" w:type="dxa"/>
                    <w:left w:w="57" w:type="dxa"/>
                    <w:bottom w:w="0" w:type="dxa"/>
                    <w:right w:w="57" w:type="dxa"/>
                  </w:tcMar>
                  <w:vAlign w:val="center"/>
                </w:tcPr>
                <w:p w14:paraId="318995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相符性</w:t>
                  </w:r>
                </w:p>
              </w:tc>
            </w:tr>
            <w:tr w14:paraId="71CF3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restart"/>
                  <w:tcMar>
                    <w:top w:w="0" w:type="dxa"/>
                    <w:left w:w="57" w:type="dxa"/>
                    <w:bottom w:w="0" w:type="dxa"/>
                    <w:right w:w="57" w:type="dxa"/>
                  </w:tcMar>
                  <w:vAlign w:val="center"/>
                </w:tcPr>
                <w:p w14:paraId="45D34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建设条件与布局</w:t>
                  </w:r>
                </w:p>
              </w:tc>
              <w:tc>
                <w:tcPr>
                  <w:tcW w:w="2376" w:type="pct"/>
                  <w:tcMar>
                    <w:top w:w="0" w:type="dxa"/>
                    <w:left w:w="57" w:type="dxa"/>
                    <w:bottom w:w="0" w:type="dxa"/>
                    <w:right w:w="57" w:type="dxa"/>
                  </w:tcMar>
                  <w:vAlign w:val="center"/>
                </w:tcPr>
                <w:p w14:paraId="364D50C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企业的布局及厂址的确定应符合国家相关法律法规、产业政策以及各地方装备制造业和铸造行业的总体规划要求。</w:t>
                  </w:r>
                </w:p>
              </w:tc>
              <w:tc>
                <w:tcPr>
                  <w:tcW w:w="1624" w:type="pct"/>
                  <w:tcMar>
                    <w:top w:w="0" w:type="dxa"/>
                    <w:left w:w="57" w:type="dxa"/>
                    <w:bottom w:w="0" w:type="dxa"/>
                    <w:right w:w="57" w:type="dxa"/>
                  </w:tcMar>
                  <w:vAlign w:val="center"/>
                </w:tcPr>
                <w:p w14:paraId="189CAEE6">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项目位于</w:t>
                  </w:r>
                  <w:r>
                    <w:rPr>
                      <w:rFonts w:hint="eastAsia"/>
                      <w:color w:val="000000" w:themeColor="text1"/>
                      <w:kern w:val="0"/>
                      <w:sz w:val="21"/>
                      <w:szCs w:val="21"/>
                      <w:highlight w:val="none"/>
                      <w:lang w:val="en-US" w:eastAsia="zh-CN"/>
                      <w14:textFill>
                        <w14:solidFill>
                          <w14:schemeClr w14:val="tx1"/>
                        </w14:solidFill>
                      </w14:textFill>
                    </w:rPr>
                    <w:t>镇平县先进制造业开发区</w:t>
                  </w:r>
                  <w:r>
                    <w:rPr>
                      <w:rFonts w:hint="eastAsia"/>
                      <w:color w:val="000000" w:themeColor="text1"/>
                      <w:kern w:val="0"/>
                      <w:sz w:val="21"/>
                      <w:szCs w:val="21"/>
                      <w:highlight w:val="none"/>
                      <w14:textFill>
                        <w14:solidFill>
                          <w14:schemeClr w14:val="tx1"/>
                        </w14:solidFill>
                      </w14:textFill>
                    </w:rPr>
                    <w:t>，符合国家产业政策和相关法律法规，符合</w:t>
                  </w:r>
                  <w:r>
                    <w:rPr>
                      <w:rFonts w:hint="eastAsia"/>
                      <w:color w:val="000000" w:themeColor="text1"/>
                      <w:kern w:val="0"/>
                      <w:sz w:val="21"/>
                      <w:szCs w:val="21"/>
                      <w:highlight w:val="none"/>
                      <w:lang w:val="en-US" w:eastAsia="zh-CN"/>
                      <w14:textFill>
                        <w14:solidFill>
                          <w14:schemeClr w14:val="tx1"/>
                        </w14:solidFill>
                      </w14:textFill>
                    </w:rPr>
                    <w:t>镇平县相关</w:t>
                  </w:r>
                  <w:r>
                    <w:rPr>
                      <w:rFonts w:hint="eastAsia"/>
                      <w:color w:val="000000" w:themeColor="text1"/>
                      <w:kern w:val="0"/>
                      <w:sz w:val="21"/>
                      <w:szCs w:val="21"/>
                      <w:highlight w:val="none"/>
                      <w14:textFill>
                        <w14:solidFill>
                          <w14:schemeClr w14:val="tx1"/>
                        </w14:solidFill>
                      </w14:textFill>
                    </w:rPr>
                    <w:t>规划</w:t>
                  </w:r>
                  <w:r>
                    <w:rPr>
                      <w:rFonts w:hint="eastAsia"/>
                      <w:color w:val="000000" w:themeColor="text1"/>
                      <w:kern w:val="0"/>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469A45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219CF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41528E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2376" w:type="pct"/>
                  <w:tcMar>
                    <w:top w:w="0" w:type="dxa"/>
                    <w:left w:w="57" w:type="dxa"/>
                    <w:bottom w:w="0" w:type="dxa"/>
                    <w:right w:w="57" w:type="dxa"/>
                  </w:tcMar>
                  <w:vAlign w:val="center"/>
                </w:tcPr>
                <w:p w14:paraId="3B365202">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企业生产场所应依法取得土地使用权并符合土地使用性质。</w:t>
                  </w:r>
                </w:p>
              </w:tc>
              <w:tc>
                <w:tcPr>
                  <w:tcW w:w="1624" w:type="pct"/>
                  <w:tcMar>
                    <w:top w:w="0" w:type="dxa"/>
                    <w:left w:w="57" w:type="dxa"/>
                    <w:bottom w:w="0" w:type="dxa"/>
                    <w:right w:w="57" w:type="dxa"/>
                  </w:tcMar>
                  <w:vAlign w:val="center"/>
                </w:tcPr>
                <w:p w14:paraId="4063AFCD">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本项目生产场所已</w:t>
                  </w:r>
                  <w:r>
                    <w:rPr>
                      <w:rFonts w:hint="eastAsia"/>
                      <w:color w:val="000000" w:themeColor="text1"/>
                      <w:sz w:val="21"/>
                      <w:szCs w:val="21"/>
                      <w:highlight w:val="none"/>
                      <w14:textFill>
                        <w14:solidFill>
                          <w14:schemeClr w14:val="tx1"/>
                        </w14:solidFill>
                      </w14:textFill>
                    </w:rPr>
                    <w:t>取得土地使用权</w:t>
                  </w:r>
                  <w:r>
                    <w:rPr>
                      <w:rFonts w:hint="eastAsia"/>
                      <w:color w:val="000000" w:themeColor="text1"/>
                      <w:sz w:val="21"/>
                      <w:szCs w:val="21"/>
                      <w:highlight w:val="none"/>
                      <w:lang w:val="en-US" w:eastAsia="zh-CN"/>
                      <w14:textFill>
                        <w14:solidFill>
                          <w14:schemeClr w14:val="tx1"/>
                        </w14:solidFill>
                      </w14:textFill>
                    </w:rPr>
                    <w:t>且</w:t>
                  </w:r>
                  <w:r>
                    <w:rPr>
                      <w:rFonts w:hint="eastAsia"/>
                      <w:color w:val="000000" w:themeColor="text1"/>
                      <w:sz w:val="21"/>
                      <w:szCs w:val="21"/>
                      <w:highlight w:val="none"/>
                      <w14:textFill>
                        <w14:solidFill>
                          <w14:schemeClr w14:val="tx1"/>
                        </w14:solidFill>
                      </w14:textFill>
                    </w:rPr>
                    <w:t>符合土地使用性质</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71E896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1C5F6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tcMar>
                    <w:top w:w="0" w:type="dxa"/>
                    <w:left w:w="57" w:type="dxa"/>
                    <w:bottom w:w="0" w:type="dxa"/>
                    <w:right w:w="57" w:type="dxa"/>
                  </w:tcMar>
                  <w:vAlign w:val="center"/>
                </w:tcPr>
                <w:p w14:paraId="35BA79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企业规模</w:t>
                  </w:r>
                </w:p>
              </w:tc>
              <w:tc>
                <w:tcPr>
                  <w:tcW w:w="2376" w:type="pct"/>
                  <w:tcMar>
                    <w:top w:w="0" w:type="dxa"/>
                    <w:left w:w="57" w:type="dxa"/>
                    <w:bottom w:w="0" w:type="dxa"/>
                    <w:right w:w="57" w:type="dxa"/>
                  </w:tcMar>
                  <w:vAlign w:val="center"/>
                </w:tcPr>
                <w:p w14:paraId="7D74F909">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现有</w:t>
                  </w:r>
                  <w:r>
                    <w:rPr>
                      <w:color w:val="000000" w:themeColor="text1"/>
                      <w:sz w:val="21"/>
                      <w:szCs w:val="21"/>
                      <w:highlight w:val="none"/>
                      <w14:textFill>
                        <w14:solidFill>
                          <w14:schemeClr w14:val="tx1"/>
                        </w14:solidFill>
                      </w14:textFill>
                    </w:rPr>
                    <w:t>企业上一年度（或近三年）最高销售收入应不低于</w:t>
                  </w: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000万元</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铸铁</w:t>
                  </w:r>
                  <w:r>
                    <w:rPr>
                      <w:color w:val="000000" w:themeColor="text1"/>
                      <w:sz w:val="21"/>
                      <w:szCs w:val="21"/>
                      <w:highlight w:val="none"/>
                      <w14:textFill>
                        <w14:solidFill>
                          <w14:schemeClr w14:val="tx1"/>
                        </w14:solidFill>
                      </w14:textFill>
                    </w:rPr>
                    <w:t>产量</w:t>
                  </w:r>
                  <w:r>
                    <w:rPr>
                      <w:rFonts w:hint="eastAsia"/>
                      <w:color w:val="000000" w:themeColor="text1"/>
                      <w:sz w:val="21"/>
                      <w:szCs w:val="21"/>
                      <w:highlight w:val="none"/>
                      <w:lang w:val="en-US" w:eastAsia="zh-CN"/>
                      <w14:textFill>
                        <w14:solidFill>
                          <w14:schemeClr w14:val="tx1"/>
                        </w14:solidFill>
                      </w14:textFill>
                    </w:rPr>
                    <w:t>不低于5</w:t>
                  </w:r>
                  <w:r>
                    <w:rPr>
                      <w:color w:val="000000" w:themeColor="text1"/>
                      <w:sz w:val="21"/>
                      <w:szCs w:val="21"/>
                      <w:highlight w:val="none"/>
                      <w14:textFill>
                        <w14:solidFill>
                          <w14:schemeClr w14:val="tx1"/>
                        </w14:solidFill>
                      </w14:textFill>
                    </w:rPr>
                    <w:t>000吨</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注：企业技改后其规模要求按照现有企业执行</w:t>
                  </w:r>
                  <w:r>
                    <w:rPr>
                      <w:rFonts w:hint="eastAsia"/>
                      <w:color w:val="000000" w:themeColor="text1"/>
                      <w:sz w:val="21"/>
                      <w:szCs w:val="21"/>
                      <w:highlight w:val="none"/>
                      <w:lang w:eastAsia="zh-CN"/>
                      <w14:textFill>
                        <w14:solidFill>
                          <w14:schemeClr w14:val="tx1"/>
                        </w14:solidFill>
                      </w14:textFill>
                    </w:rPr>
                    <w:t>）</w:t>
                  </w:r>
                </w:p>
              </w:tc>
              <w:tc>
                <w:tcPr>
                  <w:tcW w:w="1624" w:type="pct"/>
                  <w:tcMar>
                    <w:top w:w="0" w:type="dxa"/>
                    <w:left w:w="57" w:type="dxa"/>
                    <w:bottom w:w="0" w:type="dxa"/>
                    <w:right w:w="57" w:type="dxa"/>
                  </w:tcMar>
                  <w:vAlign w:val="center"/>
                </w:tcPr>
                <w:p w14:paraId="040302A2">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olor w:val="000000" w:themeColor="text1"/>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为新建项目。</w:t>
                  </w:r>
                </w:p>
              </w:tc>
              <w:tc>
                <w:tcPr>
                  <w:tcW w:w="496" w:type="pct"/>
                  <w:tcMar>
                    <w:top w:w="0" w:type="dxa"/>
                    <w:left w:w="57" w:type="dxa"/>
                    <w:bottom w:w="0" w:type="dxa"/>
                    <w:right w:w="57" w:type="dxa"/>
                  </w:tcMar>
                  <w:vAlign w:val="center"/>
                </w:tcPr>
                <w:p w14:paraId="01026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6ABA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restart"/>
                  <w:tcMar>
                    <w:top w:w="0" w:type="dxa"/>
                    <w:left w:w="57" w:type="dxa"/>
                    <w:bottom w:w="0" w:type="dxa"/>
                    <w:right w:w="57" w:type="dxa"/>
                  </w:tcMar>
                  <w:vAlign w:val="center"/>
                </w:tcPr>
                <w:p w14:paraId="12F836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生产</w:t>
                  </w:r>
                </w:p>
                <w:p w14:paraId="01FAA3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工艺</w:t>
                  </w:r>
                </w:p>
              </w:tc>
              <w:tc>
                <w:tcPr>
                  <w:tcW w:w="2376" w:type="pct"/>
                  <w:tcMar>
                    <w:top w:w="0" w:type="dxa"/>
                    <w:left w:w="57" w:type="dxa"/>
                    <w:bottom w:w="0" w:type="dxa"/>
                    <w:right w:w="57" w:type="dxa"/>
                  </w:tcMar>
                  <w:vAlign w:val="center"/>
                </w:tcPr>
                <w:p w14:paraId="28D4458A">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企业应根据生产铸件的材质、品种、批量，合理选择低污染、低排放、低能耗、经济高效的铸造工艺。</w:t>
                  </w:r>
                </w:p>
              </w:tc>
              <w:tc>
                <w:tcPr>
                  <w:tcW w:w="1624" w:type="pct"/>
                  <w:tcMar>
                    <w:top w:w="0" w:type="dxa"/>
                    <w:left w:w="57" w:type="dxa"/>
                    <w:bottom w:w="0" w:type="dxa"/>
                    <w:right w:w="57" w:type="dxa"/>
                  </w:tcMar>
                  <w:vAlign w:val="center"/>
                </w:tcPr>
                <w:p w14:paraId="4A2C8FD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铸件</w:t>
                  </w:r>
                  <w:r>
                    <w:rPr>
                      <w:color w:val="000000" w:themeColor="text1"/>
                      <w:sz w:val="21"/>
                      <w:szCs w:val="21"/>
                      <w:highlight w:val="none"/>
                      <w14:textFill>
                        <w14:solidFill>
                          <w14:schemeClr w14:val="tx1"/>
                        </w14:solidFill>
                      </w14:textFill>
                    </w:rPr>
                    <w:t>采用</w:t>
                  </w:r>
                  <w:r>
                    <w:rPr>
                      <w:rFonts w:hint="eastAsia"/>
                      <w:color w:val="000000" w:themeColor="text1"/>
                      <w:sz w:val="21"/>
                      <w:szCs w:val="21"/>
                      <w:highlight w:val="none"/>
                      <w:lang w:val="en-US" w:eastAsia="zh-CN"/>
                      <w14:textFill>
                        <w14:solidFill>
                          <w14:schemeClr w14:val="tx1"/>
                        </w14:solidFill>
                      </w14:textFill>
                    </w:rPr>
                    <w:t>自硬树脂砂</w:t>
                  </w:r>
                  <w:r>
                    <w:rPr>
                      <w:color w:val="000000" w:themeColor="text1"/>
                      <w:sz w:val="21"/>
                      <w:szCs w:val="21"/>
                      <w:highlight w:val="none"/>
                      <w14:textFill>
                        <w14:solidFill>
                          <w14:schemeClr w14:val="tx1"/>
                        </w14:solidFill>
                      </w14:textFill>
                    </w:rPr>
                    <w:t>工艺</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7F9F87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76AB1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2D667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2376" w:type="pct"/>
                  <w:tcMar>
                    <w:top w:w="0" w:type="dxa"/>
                    <w:left w:w="57" w:type="dxa"/>
                    <w:bottom w:w="0" w:type="dxa"/>
                    <w:right w:w="57" w:type="dxa"/>
                  </w:tcMar>
                  <w:vAlign w:val="center"/>
                </w:tcPr>
                <w:p w14:paraId="09B0249E">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企业不应使用国家明令淘汰的生产工艺。不应采用粘土砂干型/芯、油砂制芯、七〇砂制型/芯等落后铸造工艺；粘土砂批量铸件生产企业不应采用手工造型；水玻璃熔模精密铸造企业模壳硬化不应采用氯化铵硬化工艺；铝合金、锌合金等有色金属熔炼不应采用六氯乙烷等有毒有害的精炼剂。</w:t>
                  </w:r>
                </w:p>
              </w:tc>
              <w:tc>
                <w:tcPr>
                  <w:tcW w:w="1624" w:type="pct"/>
                  <w:tcMar>
                    <w:top w:w="0" w:type="dxa"/>
                    <w:left w:w="57" w:type="dxa"/>
                    <w:bottom w:w="0" w:type="dxa"/>
                    <w:right w:w="57" w:type="dxa"/>
                  </w:tcMar>
                  <w:vAlign w:val="center"/>
                </w:tcPr>
                <w:p w14:paraId="215B1FD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本项目不使用</w:t>
                  </w:r>
                  <w:r>
                    <w:rPr>
                      <w:color w:val="000000" w:themeColor="text1"/>
                      <w:sz w:val="21"/>
                      <w:szCs w:val="21"/>
                      <w:highlight w:val="none"/>
                      <w14:textFill>
                        <w14:solidFill>
                          <w14:schemeClr w14:val="tx1"/>
                        </w14:solidFill>
                      </w14:textFill>
                    </w:rPr>
                    <w:t>国家明令淘汰的生产工艺</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4419FE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788BF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0A400B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2376" w:type="pct"/>
                  <w:tcMar>
                    <w:top w:w="0" w:type="dxa"/>
                    <w:left w:w="57" w:type="dxa"/>
                    <w:bottom w:w="0" w:type="dxa"/>
                    <w:right w:w="57" w:type="dxa"/>
                  </w:tcMar>
                  <w:vAlign w:val="center"/>
                </w:tcPr>
                <w:p w14:paraId="7769EB15">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新（改、扩）建粘土砂型铸造项目应采用自动化造型；新（改、扩）建熔模精密铸造项目不应采用水玻璃熔模精密铸造工艺。</w:t>
                  </w:r>
                </w:p>
              </w:tc>
              <w:tc>
                <w:tcPr>
                  <w:tcW w:w="1624" w:type="pct"/>
                  <w:tcMar>
                    <w:top w:w="0" w:type="dxa"/>
                    <w:left w:w="57" w:type="dxa"/>
                    <w:bottom w:w="0" w:type="dxa"/>
                    <w:right w:w="57" w:type="dxa"/>
                  </w:tcMar>
                  <w:vAlign w:val="center"/>
                </w:tcPr>
                <w:p w14:paraId="4F09879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本项目不涉及</w:t>
                  </w:r>
                  <w:r>
                    <w:rPr>
                      <w:color w:val="000000" w:themeColor="text1"/>
                      <w:sz w:val="21"/>
                      <w:szCs w:val="21"/>
                      <w:highlight w:val="none"/>
                      <w14:textFill>
                        <w14:solidFill>
                          <w14:schemeClr w14:val="tx1"/>
                        </w14:solidFill>
                      </w14:textFill>
                    </w:rPr>
                    <w:t>粘土砂型铸造</w:t>
                  </w:r>
                  <w:r>
                    <w:rPr>
                      <w:rFonts w:hint="eastAsia"/>
                      <w:color w:val="000000" w:themeColor="text1"/>
                      <w:sz w:val="21"/>
                      <w:szCs w:val="21"/>
                      <w:highlight w:val="none"/>
                      <w:lang w:val="en-US" w:eastAsia="zh-CN"/>
                      <w14:textFill>
                        <w14:solidFill>
                          <w14:schemeClr w14:val="tx1"/>
                        </w14:solidFill>
                      </w14:textFill>
                    </w:rPr>
                    <w:t>和</w:t>
                  </w:r>
                  <w:r>
                    <w:rPr>
                      <w:color w:val="000000" w:themeColor="text1"/>
                      <w:sz w:val="21"/>
                      <w:szCs w:val="21"/>
                      <w:highlight w:val="none"/>
                      <w14:textFill>
                        <w14:solidFill>
                          <w14:schemeClr w14:val="tx1"/>
                        </w14:solidFill>
                      </w14:textFill>
                    </w:rPr>
                    <w:t>熔模精密铸造</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1E589A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15FEE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restart"/>
                  <w:tcMar>
                    <w:top w:w="0" w:type="dxa"/>
                    <w:left w:w="57" w:type="dxa"/>
                    <w:bottom w:w="0" w:type="dxa"/>
                    <w:right w:w="57" w:type="dxa"/>
                  </w:tcMar>
                  <w:vAlign w:val="center"/>
                </w:tcPr>
                <w:p w14:paraId="229E75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生产</w:t>
                  </w:r>
                </w:p>
                <w:p w14:paraId="2C1447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装备</w:t>
                  </w:r>
                </w:p>
              </w:tc>
              <w:tc>
                <w:tcPr>
                  <w:tcW w:w="2376" w:type="pct"/>
                  <w:tcMar>
                    <w:top w:w="0" w:type="dxa"/>
                    <w:left w:w="57" w:type="dxa"/>
                    <w:bottom w:w="0" w:type="dxa"/>
                    <w:right w:w="57" w:type="dxa"/>
                  </w:tcMar>
                  <w:vAlign w:val="center"/>
                </w:tcPr>
                <w:p w14:paraId="294D4FE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企业不应使用国家明令淘汰的生产装备，如：无芯工频感应电炉、0.25吨及以上无磁轭的铝壳中频感应电炉等。</w:t>
                  </w:r>
                </w:p>
              </w:tc>
              <w:tc>
                <w:tcPr>
                  <w:tcW w:w="1624" w:type="pct"/>
                  <w:tcMar>
                    <w:top w:w="0" w:type="dxa"/>
                    <w:left w:w="57" w:type="dxa"/>
                    <w:bottom w:w="0" w:type="dxa"/>
                    <w:right w:w="57" w:type="dxa"/>
                  </w:tcMar>
                  <w:vAlign w:val="center"/>
                </w:tcPr>
                <w:p w14:paraId="0ABEAB4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项目使用</w:t>
                  </w:r>
                  <w:r>
                    <w:rPr>
                      <w:rFonts w:hint="eastAsia"/>
                      <w:color w:val="000000" w:themeColor="text1"/>
                      <w:sz w:val="21"/>
                      <w:szCs w:val="21"/>
                      <w:highlight w:val="none"/>
                      <w:lang w:val="en-US" w:eastAsia="zh-CN"/>
                      <w14:textFill>
                        <w14:solidFill>
                          <w14:schemeClr w14:val="tx1"/>
                        </w14:solidFill>
                      </w14:textFill>
                    </w:rPr>
                    <w:t>钢壳中频电炉</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不属于国家明令淘汰</w:t>
                  </w:r>
                  <w:r>
                    <w:rPr>
                      <w:rFonts w:hint="eastAsia"/>
                      <w:color w:val="000000" w:themeColor="text1"/>
                      <w:sz w:val="21"/>
                      <w:szCs w:val="21"/>
                      <w:highlight w:val="none"/>
                      <w:lang w:val="en-US" w:eastAsia="zh-CN"/>
                      <w14:textFill>
                        <w14:solidFill>
                          <w14:schemeClr w14:val="tx1"/>
                        </w14:solidFill>
                      </w14:textFill>
                    </w:rPr>
                    <w:t>的生产装备</w:t>
                  </w:r>
                  <w:r>
                    <w:rPr>
                      <w:color w:val="000000" w:themeColor="text1"/>
                      <w:sz w:val="21"/>
                      <w:szCs w:val="21"/>
                      <w:highlight w:val="none"/>
                      <w14:textFill>
                        <w14:solidFill>
                          <w14:schemeClr w14:val="tx1"/>
                        </w14:solidFill>
                      </w14:textFill>
                    </w:rPr>
                    <w:t>设备</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2AC3FB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34361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644C66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60B337F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铸件生产企业采用冲天炉熔炼，其设备熔化率宜大于10吨/小时。</w:t>
                  </w:r>
                </w:p>
              </w:tc>
              <w:tc>
                <w:tcPr>
                  <w:tcW w:w="1624" w:type="pct"/>
                  <w:tcMar>
                    <w:top w:w="0" w:type="dxa"/>
                    <w:left w:w="57" w:type="dxa"/>
                    <w:bottom w:w="0" w:type="dxa"/>
                    <w:right w:w="57" w:type="dxa"/>
                  </w:tcMar>
                  <w:vAlign w:val="center"/>
                </w:tcPr>
                <w:p w14:paraId="30120DF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本项目不使用冲天炉。</w:t>
                  </w:r>
                </w:p>
              </w:tc>
              <w:tc>
                <w:tcPr>
                  <w:tcW w:w="496" w:type="pct"/>
                  <w:tcMar>
                    <w:top w:w="0" w:type="dxa"/>
                    <w:left w:w="57" w:type="dxa"/>
                    <w:bottom w:w="0" w:type="dxa"/>
                    <w:right w:w="57" w:type="dxa"/>
                  </w:tcMar>
                  <w:vAlign w:val="center"/>
                </w:tcPr>
                <w:p w14:paraId="0875B8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0D3D5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32DD2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10CAD8C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企业应配备与生产能力相匹配的熔炼（化）设备，如冲天炉、中频感应电炉、电弧炉、精炼炉（AOD、VOD、LF炉等）、电阻炉、燃气炉、保温炉等。</w:t>
                  </w:r>
                </w:p>
              </w:tc>
              <w:tc>
                <w:tcPr>
                  <w:tcW w:w="1624" w:type="pct"/>
                  <w:tcMar>
                    <w:top w:w="0" w:type="dxa"/>
                    <w:left w:w="57" w:type="dxa"/>
                    <w:bottom w:w="0" w:type="dxa"/>
                    <w:right w:w="57" w:type="dxa"/>
                  </w:tcMar>
                  <w:vAlign w:val="center"/>
                </w:tcPr>
                <w:p w14:paraId="0AEFD2F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本项目建设2台3.5t中频炉，可以满足1.2万t/a的生产规模。</w:t>
                  </w:r>
                </w:p>
              </w:tc>
              <w:tc>
                <w:tcPr>
                  <w:tcW w:w="496" w:type="pct"/>
                  <w:tcMar>
                    <w:top w:w="0" w:type="dxa"/>
                    <w:left w:w="57" w:type="dxa"/>
                    <w:bottom w:w="0" w:type="dxa"/>
                    <w:right w:w="57" w:type="dxa"/>
                  </w:tcMar>
                  <w:vAlign w:val="center"/>
                </w:tcPr>
                <w:p w14:paraId="0D513C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3ABE3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487E78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2376" w:type="pct"/>
                  <w:tcMar>
                    <w:top w:w="0" w:type="dxa"/>
                    <w:left w:w="57" w:type="dxa"/>
                    <w:bottom w:w="0" w:type="dxa"/>
                    <w:right w:w="57" w:type="dxa"/>
                  </w:tcMar>
                  <w:vAlign w:val="center"/>
                </w:tcPr>
                <w:p w14:paraId="38C7449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企业熔炼（化）设备炉前应配置必要的化学成分分析、金属液温度测量等检测仪器。</w:t>
                  </w:r>
                </w:p>
              </w:tc>
              <w:tc>
                <w:tcPr>
                  <w:tcW w:w="1624" w:type="pct"/>
                  <w:tcMar>
                    <w:top w:w="0" w:type="dxa"/>
                    <w:left w:w="57" w:type="dxa"/>
                    <w:bottom w:w="0" w:type="dxa"/>
                    <w:right w:w="57" w:type="dxa"/>
                  </w:tcMar>
                  <w:vAlign w:val="center"/>
                </w:tcPr>
                <w:p w14:paraId="50C443D4">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本项目熔炼设备</w:t>
                  </w:r>
                  <w:r>
                    <w:rPr>
                      <w:color w:val="000000" w:themeColor="text1"/>
                      <w:sz w:val="21"/>
                      <w:szCs w:val="21"/>
                      <w:highlight w:val="none"/>
                      <w14:textFill>
                        <w14:solidFill>
                          <w14:schemeClr w14:val="tx1"/>
                        </w14:solidFill>
                      </w14:textFill>
                    </w:rPr>
                    <w:t>炉前</w:t>
                  </w:r>
                  <w:r>
                    <w:rPr>
                      <w:rFonts w:hint="eastAsia"/>
                      <w:color w:val="000000" w:themeColor="text1"/>
                      <w:sz w:val="21"/>
                      <w:szCs w:val="21"/>
                      <w:highlight w:val="none"/>
                      <w:lang w:val="en-US" w:eastAsia="zh-CN"/>
                      <w14:textFill>
                        <w14:solidFill>
                          <w14:schemeClr w14:val="tx1"/>
                        </w14:solidFill>
                      </w14:textFill>
                    </w:rPr>
                    <w:t>配备</w:t>
                  </w:r>
                  <w:r>
                    <w:rPr>
                      <w:color w:val="000000" w:themeColor="text1"/>
                      <w:sz w:val="21"/>
                      <w:szCs w:val="21"/>
                      <w:highlight w:val="none"/>
                      <w14:textFill>
                        <w14:solidFill>
                          <w14:schemeClr w14:val="tx1"/>
                        </w14:solidFill>
                      </w14:textFill>
                    </w:rPr>
                    <w:t>化学成分分析、金属液温度测量等检测仪器</w:t>
                  </w:r>
                </w:p>
              </w:tc>
              <w:tc>
                <w:tcPr>
                  <w:tcW w:w="496" w:type="pct"/>
                  <w:tcMar>
                    <w:top w:w="0" w:type="dxa"/>
                    <w:left w:w="57" w:type="dxa"/>
                    <w:bottom w:w="0" w:type="dxa"/>
                    <w:right w:w="57" w:type="dxa"/>
                  </w:tcMar>
                  <w:vAlign w:val="center"/>
                </w:tcPr>
                <w:p w14:paraId="1D12B0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59014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636637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3EC593E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配备与产品及生产能力相匹配的造型、制芯及成型设备（线），如粘土砂造型机（线）、树脂砂混砂机、壳型（芯）机、铁模覆砂生产线、水玻璃砂生产线、消失模/V法/实型铸造设备、离心铸造设备、压铸设备、低压铸造机、重力铸造设备、挤压铸造设备、差压铸造设备、熔模铸造设备（线）、制芯设备、快速成型设备等。</w:t>
                  </w:r>
                </w:p>
              </w:tc>
              <w:tc>
                <w:tcPr>
                  <w:tcW w:w="1624" w:type="pct"/>
                  <w:tcMar>
                    <w:top w:w="0" w:type="dxa"/>
                    <w:left w:w="57" w:type="dxa"/>
                    <w:bottom w:w="0" w:type="dxa"/>
                    <w:right w:w="57" w:type="dxa"/>
                  </w:tcMar>
                  <w:vAlign w:val="center"/>
                </w:tcPr>
                <w:p w14:paraId="2A35DA7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项目配备与产品及生产能力相匹配的造型及成型设备</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211607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2A874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restart"/>
                  <w:tcMar>
                    <w:top w:w="0" w:type="dxa"/>
                    <w:left w:w="57" w:type="dxa"/>
                    <w:bottom w:w="0" w:type="dxa"/>
                    <w:right w:w="57" w:type="dxa"/>
                  </w:tcMar>
                  <w:vAlign w:val="center"/>
                </w:tcPr>
                <w:p w14:paraId="41921E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质量</w:t>
                  </w:r>
                </w:p>
                <w:p w14:paraId="022958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控制</w:t>
                  </w:r>
                </w:p>
              </w:tc>
              <w:tc>
                <w:tcPr>
                  <w:tcW w:w="2376" w:type="pct"/>
                  <w:tcMar>
                    <w:top w:w="0" w:type="dxa"/>
                    <w:left w:w="57" w:type="dxa"/>
                    <w:bottom w:w="0" w:type="dxa"/>
                    <w:right w:w="57" w:type="dxa"/>
                  </w:tcMar>
                  <w:vAlign w:val="center"/>
                </w:tcPr>
                <w:p w14:paraId="6D7BA80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企业应按照GB/T19001（或IATF16949、GJB 9001C、RB/T048等）标准要求建立质量管理体系、通过认证并持续有效运行。</w:t>
                  </w:r>
                </w:p>
              </w:tc>
              <w:tc>
                <w:tcPr>
                  <w:tcW w:w="1624" w:type="pct"/>
                  <w:tcMar>
                    <w:top w:w="0" w:type="dxa"/>
                    <w:left w:w="57" w:type="dxa"/>
                    <w:bottom w:w="0" w:type="dxa"/>
                    <w:right w:w="57" w:type="dxa"/>
                  </w:tcMar>
                  <w:vAlign w:val="center"/>
                </w:tcPr>
                <w:p w14:paraId="352A688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eastAsiaTheme="minorEastAsia"/>
                      <w:color w:val="000000" w:themeColor="text1"/>
                      <w:sz w:val="21"/>
                      <w:szCs w:val="21"/>
                      <w:highlight w:val="none"/>
                      <w:lang w:val="en-US" w:eastAsia="zh-CN"/>
                      <w14:textFill>
                        <w14:solidFill>
                          <w14:schemeClr w14:val="tx1"/>
                        </w14:solidFill>
                      </w14:textFill>
                    </w:rPr>
                    <w:t>评价要求企业按照本条要求获得相关铸造行业的质量管理体系认证。</w:t>
                  </w:r>
                </w:p>
              </w:tc>
              <w:tc>
                <w:tcPr>
                  <w:tcW w:w="496" w:type="pct"/>
                  <w:tcMar>
                    <w:top w:w="0" w:type="dxa"/>
                    <w:left w:w="57" w:type="dxa"/>
                    <w:bottom w:w="0" w:type="dxa"/>
                    <w:right w:w="57" w:type="dxa"/>
                  </w:tcMar>
                  <w:vAlign w:val="center"/>
                </w:tcPr>
                <w:p w14:paraId="2AE2C9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04B5D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1B1A23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2376" w:type="pct"/>
                  <w:tcMar>
                    <w:top w:w="0" w:type="dxa"/>
                    <w:left w:w="57" w:type="dxa"/>
                    <w:bottom w:w="0" w:type="dxa"/>
                    <w:right w:w="57" w:type="dxa"/>
                  </w:tcMar>
                  <w:vAlign w:val="center"/>
                </w:tcPr>
                <w:p w14:paraId="283AB936">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企业应设有质量管理部门，配有专职质量监测人员，应配置与原辅材料、生产过程以及铸件质量相关的理化、计量、无损、砂型检测等检验检测设备。</w:t>
                  </w:r>
                </w:p>
              </w:tc>
              <w:tc>
                <w:tcPr>
                  <w:tcW w:w="1624" w:type="pct"/>
                  <w:tcMar>
                    <w:top w:w="0" w:type="dxa"/>
                    <w:left w:w="57" w:type="dxa"/>
                    <w:bottom w:w="0" w:type="dxa"/>
                    <w:right w:w="57" w:type="dxa"/>
                  </w:tcMar>
                  <w:vAlign w:val="center"/>
                </w:tcPr>
                <w:p w14:paraId="5DC4A91F">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本项目建成后按要求</w:t>
                  </w:r>
                  <w:r>
                    <w:rPr>
                      <w:rFonts w:hint="eastAsia" w:eastAsiaTheme="minorEastAsia"/>
                      <w:color w:val="000000" w:themeColor="text1"/>
                      <w:sz w:val="21"/>
                      <w:szCs w:val="21"/>
                      <w:highlight w:val="none"/>
                      <w:lang w:val="en-US" w:eastAsia="zh-CN"/>
                      <w14:textFill>
                        <w14:solidFill>
                          <w14:schemeClr w14:val="tx1"/>
                        </w14:solidFill>
                      </w14:textFill>
                    </w:rPr>
                    <w:t>设置质量管理部门并配备专职质量监测人员。</w:t>
                  </w:r>
                </w:p>
              </w:tc>
              <w:tc>
                <w:tcPr>
                  <w:tcW w:w="496" w:type="pct"/>
                  <w:tcMar>
                    <w:top w:w="0" w:type="dxa"/>
                    <w:left w:w="57" w:type="dxa"/>
                    <w:bottom w:w="0" w:type="dxa"/>
                    <w:right w:w="57" w:type="dxa"/>
                  </w:tcMar>
                  <w:vAlign w:val="center"/>
                </w:tcPr>
                <w:p w14:paraId="2AA20D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5FCAB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653D4D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22DA39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铸件的外观质量（尺寸精度、表面粗糙度等）、内在质量（化学成分、金相组织等）及力学性能等应符合规定的技术要求。</w:t>
                  </w:r>
                </w:p>
              </w:tc>
              <w:tc>
                <w:tcPr>
                  <w:tcW w:w="1624" w:type="pct"/>
                  <w:tcMar>
                    <w:top w:w="0" w:type="dxa"/>
                    <w:left w:w="57" w:type="dxa"/>
                    <w:bottom w:w="0" w:type="dxa"/>
                    <w:right w:w="57" w:type="dxa"/>
                  </w:tcMar>
                  <w:vAlign w:val="center"/>
                </w:tcPr>
                <w:p w14:paraId="23741D64">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项目铸件产品</w:t>
                  </w:r>
                  <w:r>
                    <w:rPr>
                      <w:rFonts w:hint="eastAsia"/>
                      <w:color w:val="000000" w:themeColor="text1"/>
                      <w:sz w:val="21"/>
                      <w:szCs w:val="21"/>
                      <w:highlight w:val="none"/>
                      <w:lang w:val="en-US" w:eastAsia="zh-CN"/>
                      <w14:textFill>
                        <w14:solidFill>
                          <w14:schemeClr w14:val="tx1"/>
                        </w14:solidFill>
                      </w14:textFill>
                    </w:rPr>
                    <w:t>属于</w:t>
                  </w:r>
                  <w:r>
                    <w:rPr>
                      <w:color w:val="000000" w:themeColor="text1"/>
                      <w:sz w:val="21"/>
                      <w:szCs w:val="21"/>
                      <w:highlight w:val="none"/>
                      <w14:textFill>
                        <w14:solidFill>
                          <w14:schemeClr w14:val="tx1"/>
                        </w14:solidFill>
                      </w14:textFill>
                    </w:rPr>
                    <w:t>合格产品</w:t>
                  </w:r>
                </w:p>
              </w:tc>
              <w:tc>
                <w:tcPr>
                  <w:tcW w:w="496" w:type="pct"/>
                  <w:tcMar>
                    <w:top w:w="0" w:type="dxa"/>
                    <w:left w:w="57" w:type="dxa"/>
                    <w:bottom w:w="0" w:type="dxa"/>
                    <w:right w:w="57" w:type="dxa"/>
                  </w:tcMar>
                  <w:vAlign w:val="center"/>
                </w:tcPr>
                <w:p w14:paraId="783F2D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3BAFE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tcMar>
                    <w:top w:w="0" w:type="dxa"/>
                    <w:left w:w="57" w:type="dxa"/>
                    <w:bottom w:w="0" w:type="dxa"/>
                    <w:right w:w="57" w:type="dxa"/>
                  </w:tcMar>
                  <w:vAlign w:val="center"/>
                </w:tcPr>
                <w:p w14:paraId="7A1DA6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能源</w:t>
                  </w:r>
                </w:p>
                <w:p w14:paraId="663B30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消耗</w:t>
                  </w:r>
                </w:p>
              </w:tc>
              <w:tc>
                <w:tcPr>
                  <w:tcW w:w="2376" w:type="pct"/>
                  <w:tcMar>
                    <w:top w:w="0" w:type="dxa"/>
                    <w:left w:w="57" w:type="dxa"/>
                    <w:bottom w:w="0" w:type="dxa"/>
                    <w:right w:w="57" w:type="dxa"/>
                  </w:tcMar>
                  <w:vAlign w:val="center"/>
                </w:tcPr>
                <w:p w14:paraId="0F0EE9B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中频无心感应电炉熔炼铸铁的能耗指标：容量1t，（灰铸铁）最高能耗限值600千瓦·小时/吨金属液</w:t>
                  </w:r>
                </w:p>
              </w:tc>
              <w:tc>
                <w:tcPr>
                  <w:tcW w:w="1624" w:type="pct"/>
                  <w:tcMar>
                    <w:top w:w="0" w:type="dxa"/>
                    <w:left w:w="57" w:type="dxa"/>
                    <w:bottom w:w="0" w:type="dxa"/>
                    <w:right w:w="57" w:type="dxa"/>
                  </w:tcMar>
                  <w:vAlign w:val="center"/>
                </w:tcPr>
                <w:p w14:paraId="7D638D6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本项目不</w:t>
                  </w:r>
                  <w:r>
                    <w:rPr>
                      <w:rFonts w:hint="eastAsia"/>
                      <w:color w:val="000000" w:themeColor="text1"/>
                      <w:sz w:val="21"/>
                      <w:szCs w:val="21"/>
                      <w:highlight w:val="none"/>
                      <w:lang w:val="en-US" w:eastAsia="zh-CN"/>
                      <w14:textFill>
                        <w14:solidFill>
                          <w14:schemeClr w14:val="tx1"/>
                        </w14:solidFill>
                      </w14:textFill>
                    </w:rPr>
                    <w:t>使用</w:t>
                  </w:r>
                  <w:r>
                    <w:rPr>
                      <w:color w:val="000000" w:themeColor="text1"/>
                      <w:sz w:val="21"/>
                      <w:szCs w:val="21"/>
                      <w:highlight w:val="none"/>
                      <w14:textFill>
                        <w14:solidFill>
                          <w14:schemeClr w14:val="tx1"/>
                        </w14:solidFill>
                      </w14:textFill>
                    </w:rPr>
                    <w:t>中频无心感应电炉</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02E7C4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6AC52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restart"/>
                  <w:tcMar>
                    <w:top w:w="0" w:type="dxa"/>
                    <w:left w:w="57" w:type="dxa"/>
                    <w:bottom w:w="0" w:type="dxa"/>
                    <w:right w:w="57" w:type="dxa"/>
                  </w:tcMar>
                  <w:vAlign w:val="center"/>
                </w:tcPr>
                <w:p w14:paraId="52F23D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w:t>
                  </w:r>
                </w:p>
                <w:p w14:paraId="176437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保护</w:t>
                  </w:r>
                </w:p>
              </w:tc>
              <w:tc>
                <w:tcPr>
                  <w:tcW w:w="2376" w:type="pct"/>
                  <w:tcMar>
                    <w:top w:w="0" w:type="dxa"/>
                    <w:left w:w="57" w:type="dxa"/>
                    <w:bottom w:w="0" w:type="dxa"/>
                    <w:right w:w="57" w:type="dxa"/>
                  </w:tcMar>
                  <w:vAlign w:val="center"/>
                </w:tcPr>
                <w:p w14:paraId="56D3DF3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企业应按照HJ1115、HJ1200的要求，取得排污许可证；宜按照HJ1251的要求制定自行监测方案。</w:t>
                  </w:r>
                </w:p>
              </w:tc>
              <w:tc>
                <w:tcPr>
                  <w:tcW w:w="1624" w:type="pct"/>
                  <w:tcMar>
                    <w:top w:w="0" w:type="dxa"/>
                    <w:left w:w="57" w:type="dxa"/>
                    <w:bottom w:w="0" w:type="dxa"/>
                    <w:right w:w="57" w:type="dxa"/>
                  </w:tcMar>
                  <w:vAlign w:val="center"/>
                </w:tcPr>
                <w:p w14:paraId="5C0F02F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w:t>
                  </w:r>
                  <w:r>
                    <w:rPr>
                      <w:rFonts w:hint="eastAsia"/>
                      <w:color w:val="000000" w:themeColor="text1"/>
                      <w:sz w:val="21"/>
                      <w:szCs w:val="21"/>
                      <w:highlight w:val="none"/>
                      <w:lang w:val="en-US" w:eastAsia="zh-CN"/>
                      <w14:textFill>
                        <w14:solidFill>
                          <w14:schemeClr w14:val="tx1"/>
                        </w14:solidFill>
                      </w14:textFill>
                    </w:rPr>
                    <w:t>建成后按要求</w:t>
                  </w:r>
                  <w:r>
                    <w:rPr>
                      <w:color w:val="000000" w:themeColor="text1"/>
                      <w:sz w:val="21"/>
                      <w:szCs w:val="21"/>
                      <w:highlight w:val="none"/>
                      <w14:textFill>
                        <w14:solidFill>
                          <w14:schemeClr w14:val="tx1"/>
                        </w14:solidFill>
                      </w14:textFill>
                    </w:rPr>
                    <w:t>申领排污许可证，并按要求制定自行监测方案</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44E86A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7C014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60028F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2376" w:type="pct"/>
                  <w:tcMar>
                    <w:top w:w="0" w:type="dxa"/>
                    <w:left w:w="57" w:type="dxa"/>
                    <w:bottom w:w="0" w:type="dxa"/>
                    <w:right w:w="57" w:type="dxa"/>
                  </w:tcMar>
                  <w:vAlign w:val="center"/>
                </w:tcPr>
                <w:p w14:paraId="394324E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企业大气污染物排放应符合GB39726的要求。应配置完善的环保处理装置，废气、废水、噪声、工业固体废物等排放与处置措施应符合国家及地方环保法规和标准的规定。</w:t>
                  </w:r>
                </w:p>
              </w:tc>
              <w:tc>
                <w:tcPr>
                  <w:tcW w:w="1624" w:type="pct"/>
                  <w:tcMar>
                    <w:top w:w="0" w:type="dxa"/>
                    <w:left w:w="57" w:type="dxa"/>
                    <w:bottom w:w="0" w:type="dxa"/>
                    <w:right w:w="57" w:type="dxa"/>
                  </w:tcMar>
                  <w:vAlign w:val="center"/>
                </w:tcPr>
                <w:p w14:paraId="5A9DD033">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项目大气污染物排放符合GB39726的要求</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配套的废气、废水、噪声、工业固体废物等排放与处置措施符合国家及地方环保法规和标准的规定</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05DA8E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27165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31264F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47D5FA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企业宜参照《重污染天气重点行业应急减排措施制定技术指南》的要求开展绩效分级管理，制定重污染天气应急减排措施。</w:t>
                  </w:r>
                </w:p>
              </w:tc>
              <w:tc>
                <w:tcPr>
                  <w:tcW w:w="1624" w:type="pct"/>
                  <w:tcMar>
                    <w:top w:w="0" w:type="dxa"/>
                    <w:left w:w="57" w:type="dxa"/>
                    <w:bottom w:w="0" w:type="dxa"/>
                    <w:right w:w="57" w:type="dxa"/>
                  </w:tcMar>
                  <w:vAlign w:val="center"/>
                </w:tcPr>
                <w:p w14:paraId="7917FCF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本项目建成后按</w:t>
                  </w:r>
                  <w:r>
                    <w:rPr>
                      <w:color w:val="000000" w:themeColor="text1"/>
                      <w:sz w:val="21"/>
                      <w:szCs w:val="21"/>
                      <w:highlight w:val="none"/>
                      <w14:textFill>
                        <w14:solidFill>
                          <w14:schemeClr w14:val="tx1"/>
                        </w14:solidFill>
                      </w14:textFill>
                    </w:rPr>
                    <w:t>要求开展绩效分级管理，制定重污染天气应急减排措施</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2BC916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504C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571D0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7AB027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企业可按照GB/T24001要求建立环境管理体系，通过认证并持续有效运行。</w:t>
                  </w:r>
                </w:p>
              </w:tc>
              <w:tc>
                <w:tcPr>
                  <w:tcW w:w="1624" w:type="pct"/>
                  <w:tcMar>
                    <w:top w:w="0" w:type="dxa"/>
                    <w:left w:w="57" w:type="dxa"/>
                    <w:bottom w:w="0" w:type="dxa"/>
                    <w:right w:w="57" w:type="dxa"/>
                  </w:tcMar>
                  <w:vAlign w:val="center"/>
                </w:tcPr>
                <w:p w14:paraId="36EC9FD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本项目建成后按要求建立环境管理体系认证。</w:t>
                  </w:r>
                </w:p>
              </w:tc>
              <w:tc>
                <w:tcPr>
                  <w:tcW w:w="496" w:type="pct"/>
                  <w:tcMar>
                    <w:top w:w="0" w:type="dxa"/>
                    <w:left w:w="57" w:type="dxa"/>
                    <w:bottom w:w="0" w:type="dxa"/>
                    <w:right w:w="57" w:type="dxa"/>
                  </w:tcMar>
                  <w:vAlign w:val="center"/>
                </w:tcPr>
                <w:p w14:paraId="11FC51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5B8D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02" w:type="pct"/>
                  <w:vMerge w:val="restart"/>
                  <w:tcMar>
                    <w:top w:w="0" w:type="dxa"/>
                    <w:left w:w="57" w:type="dxa"/>
                    <w:bottom w:w="0" w:type="dxa"/>
                    <w:right w:w="57" w:type="dxa"/>
                  </w:tcMar>
                  <w:vAlign w:val="center"/>
                </w:tcPr>
                <w:p w14:paraId="59B381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安全生产及职业健康</w:t>
                  </w:r>
                </w:p>
              </w:tc>
              <w:tc>
                <w:tcPr>
                  <w:tcW w:w="2376" w:type="pct"/>
                  <w:tcMar>
                    <w:top w:w="0" w:type="dxa"/>
                    <w:left w:w="57" w:type="dxa"/>
                    <w:bottom w:w="0" w:type="dxa"/>
                    <w:right w:w="57" w:type="dxa"/>
                  </w:tcMar>
                  <w:vAlign w:val="center"/>
                </w:tcPr>
                <w:p w14:paraId="41CA2C1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企业应遵守国家安全生产相关法律法规和标准要求，建立健全安全设施并有效运行。</w:t>
                  </w:r>
                </w:p>
              </w:tc>
              <w:tc>
                <w:tcPr>
                  <w:tcW w:w="1624" w:type="pct"/>
                  <w:tcMar>
                    <w:top w:w="0" w:type="dxa"/>
                    <w:left w:w="57" w:type="dxa"/>
                    <w:bottom w:w="0" w:type="dxa"/>
                    <w:right w:w="57" w:type="dxa"/>
                  </w:tcMar>
                  <w:vAlign w:val="center"/>
                </w:tcPr>
                <w:p w14:paraId="0B832DF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本项目严格</w:t>
                  </w:r>
                  <w:r>
                    <w:rPr>
                      <w:color w:val="000000" w:themeColor="text1"/>
                      <w:sz w:val="21"/>
                      <w:szCs w:val="21"/>
                      <w:highlight w:val="none"/>
                      <w14:textFill>
                        <w14:solidFill>
                          <w14:schemeClr w14:val="tx1"/>
                        </w14:solidFill>
                      </w14:textFill>
                    </w:rPr>
                    <w:t>遵守国家安全生产相关法律法规和标准要求</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建立健全安全设施并有效运行</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456861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64497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4BE204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5AF8B79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企业应遵守国家职业健康相关法律法规和标准要求，建立健全职业危害防治设施和职业卫生管理制度并有效运行。</w:t>
                  </w:r>
                </w:p>
              </w:tc>
              <w:tc>
                <w:tcPr>
                  <w:tcW w:w="1624" w:type="pct"/>
                  <w:tcMar>
                    <w:top w:w="0" w:type="dxa"/>
                    <w:left w:w="57" w:type="dxa"/>
                    <w:bottom w:w="0" w:type="dxa"/>
                    <w:right w:w="57" w:type="dxa"/>
                  </w:tcMar>
                  <w:vAlign w:val="center"/>
                </w:tcPr>
                <w:p w14:paraId="78BA2AE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本项目严格</w:t>
                  </w:r>
                  <w:r>
                    <w:rPr>
                      <w:color w:val="000000" w:themeColor="text1"/>
                      <w:sz w:val="21"/>
                      <w:szCs w:val="21"/>
                      <w:highlight w:val="none"/>
                      <w14:textFill>
                        <w14:solidFill>
                          <w14:schemeClr w14:val="tx1"/>
                        </w14:solidFill>
                      </w14:textFill>
                    </w:rPr>
                    <w:t>遵守国家职业健康相关法律法规和标准要求，建立健全职业危害防治设施和职业卫生管理制度并有效运行</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1C57F8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6CFEA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1A823B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3FE1B70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企业宜参照铸造领域相关安全标准开展安全生产管理。</w:t>
                  </w:r>
                </w:p>
              </w:tc>
              <w:tc>
                <w:tcPr>
                  <w:tcW w:w="1624" w:type="pct"/>
                  <w:tcMar>
                    <w:top w:w="0" w:type="dxa"/>
                    <w:left w:w="57" w:type="dxa"/>
                    <w:bottom w:w="0" w:type="dxa"/>
                    <w:right w:w="57" w:type="dxa"/>
                  </w:tcMar>
                  <w:vAlign w:val="center"/>
                </w:tcPr>
                <w:p w14:paraId="201C203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项目建成后</w:t>
                  </w:r>
                  <w:r>
                    <w:rPr>
                      <w:color w:val="000000" w:themeColor="text1"/>
                      <w:sz w:val="21"/>
                      <w:szCs w:val="21"/>
                      <w:highlight w:val="none"/>
                      <w14:textFill>
                        <w14:solidFill>
                          <w14:schemeClr w14:val="tx1"/>
                        </w14:solidFill>
                      </w14:textFill>
                    </w:rPr>
                    <w:t>参照铸造领域相关安全标准开展安全生产管理。</w:t>
                  </w:r>
                </w:p>
              </w:tc>
              <w:tc>
                <w:tcPr>
                  <w:tcW w:w="496" w:type="pct"/>
                  <w:tcMar>
                    <w:top w:w="0" w:type="dxa"/>
                    <w:left w:w="57" w:type="dxa"/>
                    <w:bottom w:w="0" w:type="dxa"/>
                    <w:right w:w="57" w:type="dxa"/>
                  </w:tcMar>
                  <w:vAlign w:val="center"/>
                </w:tcPr>
                <w:p w14:paraId="4B83DC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53221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1A7EB5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22DB7C1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企业可按照GB/T45001标准要求建立治理健康安全管理体系，通过认证并持续有效运行。</w:t>
                  </w:r>
                </w:p>
              </w:tc>
              <w:tc>
                <w:tcPr>
                  <w:tcW w:w="1624" w:type="pct"/>
                  <w:tcMar>
                    <w:top w:w="0" w:type="dxa"/>
                    <w:left w:w="57" w:type="dxa"/>
                    <w:bottom w:w="0" w:type="dxa"/>
                    <w:right w:w="57" w:type="dxa"/>
                  </w:tcMar>
                  <w:vAlign w:val="center"/>
                </w:tcPr>
                <w:p w14:paraId="670BCE3F">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项目建成后按要求</w:t>
                  </w:r>
                  <w:r>
                    <w:rPr>
                      <w:color w:val="000000" w:themeColor="text1"/>
                      <w:sz w:val="21"/>
                      <w:szCs w:val="21"/>
                      <w:highlight w:val="none"/>
                      <w14:textFill>
                        <w14:solidFill>
                          <w14:schemeClr w14:val="tx1"/>
                        </w14:solidFill>
                      </w14:textFill>
                    </w:rPr>
                    <w:t>建立治理健康安全管理体系，通过认证并持续有效运行</w:t>
                  </w:r>
                  <w:r>
                    <w:rPr>
                      <w:rFonts w:hint="eastAsia"/>
                      <w:color w:val="000000" w:themeColor="text1"/>
                      <w:sz w:val="21"/>
                      <w:szCs w:val="21"/>
                      <w:highlight w:val="none"/>
                      <w:lang w:eastAsia="zh-CN"/>
                      <w14:textFill>
                        <w14:solidFill>
                          <w14:schemeClr w14:val="tx1"/>
                        </w14:solidFill>
                      </w14:textFill>
                    </w:rPr>
                    <w:t>。</w:t>
                  </w:r>
                </w:p>
              </w:tc>
              <w:tc>
                <w:tcPr>
                  <w:tcW w:w="496" w:type="pct"/>
                  <w:tcMar>
                    <w:top w:w="0" w:type="dxa"/>
                    <w:left w:w="57" w:type="dxa"/>
                    <w:bottom w:w="0" w:type="dxa"/>
                    <w:right w:w="57" w:type="dxa"/>
                  </w:tcMar>
                  <w:vAlign w:val="center"/>
                </w:tcPr>
                <w:p w14:paraId="45B2FE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r w14:paraId="4605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02" w:type="pct"/>
                  <w:vMerge w:val="continue"/>
                  <w:tcMar>
                    <w:top w:w="0" w:type="dxa"/>
                    <w:left w:w="57" w:type="dxa"/>
                    <w:bottom w:w="0" w:type="dxa"/>
                    <w:right w:w="57" w:type="dxa"/>
                  </w:tcMar>
                  <w:vAlign w:val="center"/>
                </w:tcPr>
                <w:p w14:paraId="21E1DB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376" w:type="pct"/>
                  <w:tcMar>
                    <w:top w:w="0" w:type="dxa"/>
                    <w:left w:w="57" w:type="dxa"/>
                    <w:bottom w:w="0" w:type="dxa"/>
                    <w:right w:w="57" w:type="dxa"/>
                  </w:tcMar>
                  <w:vAlign w:val="center"/>
                </w:tcPr>
                <w:p w14:paraId="7E17B48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特种作业人员、特种设备操作人员、计量人员、理化检验人员及无损探伤等特殊岗位的人员应具有经相应的资质部门颁发的资格证书，持证上岗率应达100%。</w:t>
                  </w:r>
                </w:p>
              </w:tc>
              <w:tc>
                <w:tcPr>
                  <w:tcW w:w="1624" w:type="pct"/>
                  <w:tcMar>
                    <w:top w:w="0" w:type="dxa"/>
                    <w:left w:w="57" w:type="dxa"/>
                    <w:bottom w:w="0" w:type="dxa"/>
                    <w:right w:w="57" w:type="dxa"/>
                  </w:tcMar>
                  <w:vAlign w:val="center"/>
                </w:tcPr>
                <w:p w14:paraId="471F61C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本项目特殊岗位人员要求100%持证上岗。</w:t>
                  </w:r>
                </w:p>
              </w:tc>
              <w:tc>
                <w:tcPr>
                  <w:tcW w:w="496" w:type="pct"/>
                  <w:tcMar>
                    <w:top w:w="0" w:type="dxa"/>
                    <w:left w:w="57" w:type="dxa"/>
                    <w:bottom w:w="0" w:type="dxa"/>
                    <w:right w:w="57" w:type="dxa"/>
                  </w:tcMar>
                  <w:vAlign w:val="center"/>
                </w:tcPr>
                <w:p w14:paraId="29DDB3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w:t>
                  </w:r>
                </w:p>
              </w:tc>
            </w:tr>
          </w:tbl>
          <w:p w14:paraId="3E49B450">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eastAsia"/>
                <w:color w:val="000000" w:themeColor="text1"/>
                <w:kern w:val="0"/>
                <w:sz w:val="24"/>
                <w:highlight w:val="none"/>
                <w:lang w:val="en-US" w:eastAsia="zh-CN"/>
                <w14:textFill>
                  <w14:solidFill>
                    <w14:schemeClr w14:val="tx1"/>
                  </w14:solidFill>
                </w14:textFill>
              </w:rPr>
            </w:pPr>
            <w:r>
              <w:rPr>
                <w:bCs/>
                <w:sz w:val="24"/>
                <w:highlight w:val="none"/>
              </w:rPr>
              <w:t>综上所述，项目建设符合《铸造企业规范条件》（T/CFA0310021-2023）</w:t>
            </w:r>
            <w:r>
              <w:rPr>
                <w:rFonts w:hint="eastAsia"/>
                <w:bCs/>
                <w:sz w:val="24"/>
                <w:highlight w:val="none"/>
              </w:rPr>
              <w:t>中</w:t>
            </w:r>
            <w:r>
              <w:rPr>
                <w:bCs/>
                <w:sz w:val="24"/>
                <w:highlight w:val="none"/>
              </w:rPr>
              <w:t>的相关要求。</w:t>
            </w:r>
          </w:p>
          <w:p w14:paraId="2E67143E">
            <w:pPr>
              <w:keepNext w:val="0"/>
              <w:keepLines w:val="0"/>
              <w:pageBreakBefore w:val="0"/>
              <w:widowControl w:val="0"/>
              <w:tabs>
                <w:tab w:val="left" w:pos="1081"/>
              </w:tabs>
              <w:kinsoku/>
              <w:wordWrap/>
              <w:overflowPunct/>
              <w:topLinePunct w:val="0"/>
              <w:autoSpaceDE/>
              <w:autoSpaceDN/>
              <w:bidi w:val="0"/>
              <w:adjustRightInd/>
              <w:snapToGrid/>
              <w:spacing w:line="360" w:lineRule="auto"/>
              <w:rPr>
                <w:rFonts w:hint="eastAsia" w:ascii="Times New Roman" w:hAnsi="Times New Roman" w:eastAsia="宋体" w:cs="Times New Roman"/>
                <w:b w:val="0"/>
                <w:bCs w:val="0"/>
                <w:color w:val="000000"/>
                <w:sz w:val="24"/>
                <w:lang w:val="en-US" w:eastAsia="zh-CN"/>
              </w:rPr>
            </w:pPr>
            <w:r>
              <w:rPr>
                <w:rFonts w:hint="eastAsia" w:ascii="Times New Roman" w:hAnsi="Times New Roman" w:eastAsia="宋体" w:cs="Times New Roman"/>
                <w:b w:val="0"/>
                <w:bCs w:val="0"/>
                <w:color w:val="000000"/>
                <w:sz w:val="24"/>
                <w:lang w:val="en-US" w:eastAsia="zh-CN"/>
              </w:rPr>
              <w:t>1.3.4与《铸造工业大气污染防治技术规范》相符性分析</w:t>
            </w:r>
          </w:p>
          <w:p w14:paraId="12DC059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河南省市场监督管理局于2023年3月7日发布了《铸造工业大气污染防治技术规范》（DB41/T2388</w:t>
            </w:r>
            <w:r>
              <w:rPr>
                <w:rFonts w:hint="eastAsia" w:eastAsia="宋体" w:cs="Times New Roman"/>
                <w:sz w:val="24"/>
                <w:szCs w:val="24"/>
                <w:lang w:val="en-US" w:eastAsia="zh-CN"/>
              </w:rPr>
              <w:t>-</w:t>
            </w:r>
            <w:r>
              <w:rPr>
                <w:rFonts w:hint="eastAsia" w:ascii="Times New Roman" w:hAnsi="Times New Roman" w:eastAsia="宋体" w:cs="Times New Roman"/>
                <w:sz w:val="24"/>
                <w:szCs w:val="24"/>
                <w:lang w:val="en-US" w:eastAsia="zh-CN"/>
              </w:rPr>
              <w:t>2023），具体要求如下。</w:t>
            </w:r>
          </w:p>
          <w:p w14:paraId="0459D978">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eastAsia="黑体" w:cs="Times New Roman"/>
                <w:bCs/>
                <w:kern w:val="21"/>
                <w:szCs w:val="24"/>
              </w:rPr>
            </w:pPr>
            <w:r>
              <w:rPr>
                <w:rFonts w:hint="eastAsia" w:ascii="Times New Roman" w:hAnsi="Times New Roman" w:eastAsia="黑体" w:cs="Times New Roman"/>
                <w:bCs/>
                <w:kern w:val="21"/>
                <w:szCs w:val="24"/>
              </w:rPr>
              <w:t>表1-</w:t>
            </w:r>
            <w:r>
              <w:rPr>
                <w:rFonts w:hint="eastAsia" w:eastAsia="黑体" w:cs="Times New Roman"/>
                <w:bCs/>
                <w:kern w:val="21"/>
                <w:szCs w:val="24"/>
                <w:lang w:val="en-US" w:eastAsia="zh-CN"/>
              </w:rPr>
              <w:t>9</w:t>
            </w:r>
            <w:r>
              <w:rPr>
                <w:rFonts w:hint="eastAsia" w:ascii="Times New Roman" w:hAnsi="Times New Roman" w:eastAsia="黑体" w:cs="Times New Roman"/>
                <w:bCs/>
                <w:kern w:val="21"/>
                <w:szCs w:val="24"/>
              </w:rPr>
              <w:t xml:space="preserve">  与铸造工业大气污染防治技术规范相符性分析</w:t>
            </w:r>
          </w:p>
          <w:tbl>
            <w:tblPr>
              <w:tblStyle w:val="2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3279"/>
              <w:gridCol w:w="3231"/>
              <w:gridCol w:w="904"/>
            </w:tblGrid>
            <w:tr w14:paraId="7B116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tcMar>
                    <w:top w:w="0" w:type="dxa"/>
                    <w:left w:w="57" w:type="dxa"/>
                    <w:bottom w:w="0" w:type="dxa"/>
                    <w:right w:w="57" w:type="dxa"/>
                  </w:tcMar>
                  <w:vAlign w:val="center"/>
                </w:tcPr>
                <w:p w14:paraId="7E6EF50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分类</w:t>
                  </w:r>
                </w:p>
              </w:tc>
              <w:tc>
                <w:tcPr>
                  <w:tcW w:w="2031" w:type="pct"/>
                  <w:tcMar>
                    <w:top w:w="0" w:type="dxa"/>
                    <w:left w:w="57" w:type="dxa"/>
                    <w:bottom w:w="0" w:type="dxa"/>
                    <w:right w:w="57" w:type="dxa"/>
                  </w:tcMar>
                  <w:vAlign w:val="center"/>
                </w:tcPr>
                <w:p w14:paraId="77DE7C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技术规范内容</w:t>
                  </w:r>
                </w:p>
              </w:tc>
              <w:tc>
                <w:tcPr>
                  <w:tcW w:w="2001" w:type="pct"/>
                  <w:tcMar>
                    <w:top w:w="0" w:type="dxa"/>
                    <w:left w:w="57" w:type="dxa"/>
                    <w:bottom w:w="0" w:type="dxa"/>
                    <w:right w:w="57" w:type="dxa"/>
                  </w:tcMar>
                  <w:vAlign w:val="center"/>
                </w:tcPr>
                <w:p w14:paraId="0FD7513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本项目情况</w:t>
                  </w:r>
                </w:p>
              </w:tc>
              <w:tc>
                <w:tcPr>
                  <w:tcW w:w="560" w:type="pct"/>
                  <w:tcMar>
                    <w:top w:w="0" w:type="dxa"/>
                    <w:left w:w="57" w:type="dxa"/>
                    <w:bottom w:w="0" w:type="dxa"/>
                    <w:right w:w="57" w:type="dxa"/>
                  </w:tcMar>
                  <w:vAlign w:val="center"/>
                </w:tcPr>
                <w:p w14:paraId="3C96BC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相符性</w:t>
                  </w:r>
                </w:p>
              </w:tc>
            </w:tr>
            <w:tr w14:paraId="74EC0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3EDB22F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原材料、辅助材料及能源</w:t>
                  </w:r>
                </w:p>
              </w:tc>
              <w:tc>
                <w:tcPr>
                  <w:tcW w:w="2031" w:type="pct"/>
                  <w:tcMar>
                    <w:top w:w="0" w:type="dxa"/>
                    <w:left w:w="57" w:type="dxa"/>
                    <w:bottom w:w="0" w:type="dxa"/>
                    <w:right w:w="57" w:type="dxa"/>
                  </w:tcMar>
                  <w:vAlign w:val="center"/>
                </w:tcPr>
                <w:p w14:paraId="22B1D9D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炉料用切削废料、粉状废料等废旧金属原材料应压块处理。</w:t>
                  </w:r>
                </w:p>
              </w:tc>
              <w:tc>
                <w:tcPr>
                  <w:tcW w:w="2001" w:type="pct"/>
                  <w:tcMar>
                    <w:top w:w="0" w:type="dxa"/>
                    <w:left w:w="57" w:type="dxa"/>
                    <w:bottom w:w="0" w:type="dxa"/>
                    <w:right w:w="57" w:type="dxa"/>
                  </w:tcMar>
                  <w:vAlign w:val="center"/>
                </w:tcPr>
                <w:p w14:paraId="21479F4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本项目原料</w:t>
                  </w:r>
                  <w:r>
                    <w:rPr>
                      <w:rFonts w:hint="eastAsia"/>
                      <w:color w:val="000000" w:themeColor="text1"/>
                      <w:kern w:val="0"/>
                      <w:sz w:val="21"/>
                      <w:szCs w:val="21"/>
                      <w:highlight w:val="none"/>
                      <w:lang w:val="en-US" w:eastAsia="zh-CN"/>
                      <w14:textFill>
                        <w14:solidFill>
                          <w14:schemeClr w14:val="tx1"/>
                        </w14:solidFill>
                      </w14:textFill>
                    </w:rPr>
                    <w:t>为生铁、废钢，不涉及切削废料和粉状废料。</w:t>
                  </w:r>
                </w:p>
              </w:tc>
              <w:tc>
                <w:tcPr>
                  <w:tcW w:w="560" w:type="pct"/>
                  <w:tcMar>
                    <w:top w:w="0" w:type="dxa"/>
                    <w:left w:w="57" w:type="dxa"/>
                    <w:bottom w:w="0" w:type="dxa"/>
                    <w:right w:w="57" w:type="dxa"/>
                  </w:tcMar>
                  <w:vAlign w:val="center"/>
                </w:tcPr>
                <w:p w14:paraId="0C1AB6C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4E19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211772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61CC70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炉料使用废旧金属时，应不使用或少使用含塑料、油脂、油漆等杂质的废旧金属原材料。</w:t>
                  </w:r>
                </w:p>
              </w:tc>
              <w:tc>
                <w:tcPr>
                  <w:tcW w:w="2001" w:type="pct"/>
                  <w:tcMar>
                    <w:top w:w="0" w:type="dxa"/>
                    <w:left w:w="57" w:type="dxa"/>
                    <w:bottom w:w="0" w:type="dxa"/>
                    <w:right w:w="57" w:type="dxa"/>
                  </w:tcMar>
                  <w:vAlign w:val="center"/>
                </w:tcPr>
                <w:p w14:paraId="087A2B1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本项目原料不</w:t>
                  </w:r>
                  <w:r>
                    <w:rPr>
                      <w:color w:val="000000" w:themeColor="text1"/>
                      <w:kern w:val="0"/>
                      <w:sz w:val="21"/>
                      <w:szCs w:val="21"/>
                      <w:highlight w:val="none"/>
                      <w14:textFill>
                        <w14:solidFill>
                          <w14:schemeClr w14:val="tx1"/>
                        </w14:solidFill>
                      </w14:textFill>
                    </w:rPr>
                    <w:t>含塑料、油脂、油漆等杂质</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6C065B5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BE6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EC3F78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0AFFAEB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应提升工艺水平，降低粘结剂、改性剂、粉状添加物等辅助材料的使用量。</w:t>
                  </w:r>
                </w:p>
              </w:tc>
              <w:tc>
                <w:tcPr>
                  <w:tcW w:w="2001" w:type="pct"/>
                  <w:tcMar>
                    <w:top w:w="0" w:type="dxa"/>
                    <w:left w:w="57" w:type="dxa"/>
                    <w:bottom w:w="0" w:type="dxa"/>
                    <w:right w:w="57" w:type="dxa"/>
                  </w:tcMar>
                  <w:vAlign w:val="center"/>
                </w:tcPr>
                <w:p w14:paraId="78585E8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不使用</w:t>
                  </w:r>
                  <w:r>
                    <w:rPr>
                      <w:color w:val="000000" w:themeColor="text1"/>
                      <w:kern w:val="0"/>
                      <w:sz w:val="21"/>
                      <w:szCs w:val="21"/>
                      <w:highlight w:val="none"/>
                      <w14:textFill>
                        <w14:solidFill>
                          <w14:schemeClr w14:val="tx1"/>
                        </w14:solidFill>
                      </w14:textFill>
                    </w:rPr>
                    <w:t>粘结剂、改性剂</w:t>
                  </w:r>
                  <w:r>
                    <w:rPr>
                      <w:rFonts w:hint="eastAsia"/>
                      <w:color w:val="000000" w:themeColor="text1"/>
                      <w:kern w:val="0"/>
                      <w:sz w:val="21"/>
                      <w:szCs w:val="21"/>
                      <w:highlight w:val="none"/>
                      <w:lang w:val="en-US" w:eastAsia="zh-CN"/>
                      <w14:textFill>
                        <w14:solidFill>
                          <w14:schemeClr w14:val="tx1"/>
                        </w14:solidFill>
                      </w14:textFill>
                    </w:rPr>
                    <w:t>等辅助材料。</w:t>
                  </w:r>
                </w:p>
              </w:tc>
              <w:tc>
                <w:tcPr>
                  <w:tcW w:w="560" w:type="pct"/>
                  <w:tcMar>
                    <w:top w:w="0" w:type="dxa"/>
                    <w:left w:w="57" w:type="dxa"/>
                    <w:bottom w:w="0" w:type="dxa"/>
                    <w:right w:w="57" w:type="dxa"/>
                  </w:tcMar>
                  <w:vAlign w:val="center"/>
                </w:tcPr>
                <w:p w14:paraId="06A31A0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BFD7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B03E9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C2A1BC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冲天炉燃烧宜采用天然气等清洁能源；使用焦炭时，焦炭应符合GB/T8729的规定。</w:t>
                  </w:r>
                </w:p>
              </w:tc>
              <w:tc>
                <w:tcPr>
                  <w:tcW w:w="2001" w:type="pct"/>
                  <w:tcMar>
                    <w:top w:w="0" w:type="dxa"/>
                    <w:left w:w="57" w:type="dxa"/>
                    <w:bottom w:w="0" w:type="dxa"/>
                    <w:right w:w="57" w:type="dxa"/>
                  </w:tcMar>
                  <w:vAlign w:val="center"/>
                </w:tcPr>
                <w:p w14:paraId="7FC368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000000" w:themeColor="text1"/>
                      <w:kern w:val="0"/>
                      <w:sz w:val="21"/>
                      <w:szCs w:val="21"/>
                      <w:highlight w:val="none"/>
                      <w:lang w:val="en-US"/>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本项目不涉及冲天炉。</w:t>
                  </w:r>
                </w:p>
              </w:tc>
              <w:tc>
                <w:tcPr>
                  <w:tcW w:w="560" w:type="pct"/>
                  <w:tcMar>
                    <w:top w:w="0" w:type="dxa"/>
                    <w:left w:w="57" w:type="dxa"/>
                    <w:bottom w:w="0" w:type="dxa"/>
                    <w:right w:w="57" w:type="dxa"/>
                  </w:tcMar>
                  <w:vAlign w:val="center"/>
                </w:tcPr>
                <w:p w14:paraId="3894825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2E244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5A9EDD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3C1376D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烤包、燃气热处理炉、旧砂热法再生焙烧炉的能源用采用天然气等清洁能源或电力。</w:t>
                  </w:r>
                </w:p>
              </w:tc>
              <w:tc>
                <w:tcPr>
                  <w:tcW w:w="2001" w:type="pct"/>
                  <w:tcMar>
                    <w:top w:w="0" w:type="dxa"/>
                    <w:left w:w="57" w:type="dxa"/>
                    <w:bottom w:w="0" w:type="dxa"/>
                    <w:right w:w="57" w:type="dxa"/>
                  </w:tcMar>
                  <w:vAlign w:val="center"/>
                </w:tcPr>
                <w:p w14:paraId="700D8B6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中频炉使</w:t>
                  </w:r>
                  <w:r>
                    <w:rPr>
                      <w:color w:val="000000" w:themeColor="text1"/>
                      <w:kern w:val="0"/>
                      <w:sz w:val="21"/>
                      <w:szCs w:val="21"/>
                      <w:highlight w:val="none"/>
                      <w14:textFill>
                        <w14:solidFill>
                          <w14:schemeClr w14:val="tx1"/>
                        </w14:solidFill>
                      </w14:textFill>
                    </w:rPr>
                    <w:t>用电能</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属于清洁能源。</w:t>
                  </w:r>
                </w:p>
              </w:tc>
              <w:tc>
                <w:tcPr>
                  <w:tcW w:w="560" w:type="pct"/>
                  <w:tcMar>
                    <w:top w:w="0" w:type="dxa"/>
                    <w:left w:w="57" w:type="dxa"/>
                    <w:bottom w:w="0" w:type="dxa"/>
                    <w:right w:w="57" w:type="dxa"/>
                  </w:tcMar>
                  <w:vAlign w:val="center"/>
                </w:tcPr>
                <w:p w14:paraId="583772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BD86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022AF7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工艺及设备</w:t>
                  </w:r>
                </w:p>
              </w:tc>
              <w:tc>
                <w:tcPr>
                  <w:tcW w:w="2031" w:type="pct"/>
                  <w:tcMar>
                    <w:top w:w="0" w:type="dxa"/>
                    <w:left w:w="57" w:type="dxa"/>
                    <w:bottom w:w="0" w:type="dxa"/>
                    <w:right w:w="57" w:type="dxa"/>
                  </w:tcMar>
                  <w:vAlign w:val="center"/>
                </w:tcPr>
                <w:p w14:paraId="277165A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粘土砂、消失模、真空密封造型、熔模铸造等造型工艺宜采用机械化、自动化生产线。</w:t>
                  </w:r>
                </w:p>
              </w:tc>
              <w:tc>
                <w:tcPr>
                  <w:tcW w:w="2001" w:type="pct"/>
                  <w:tcMar>
                    <w:top w:w="0" w:type="dxa"/>
                    <w:left w:w="57" w:type="dxa"/>
                    <w:bottom w:w="0" w:type="dxa"/>
                    <w:right w:w="57" w:type="dxa"/>
                  </w:tcMar>
                  <w:vAlign w:val="center"/>
                </w:tcPr>
                <w:p w14:paraId="425AFAA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不涉及</w:t>
                  </w:r>
                  <w:r>
                    <w:rPr>
                      <w:color w:val="000000" w:themeColor="text1"/>
                      <w:kern w:val="0"/>
                      <w:sz w:val="21"/>
                      <w:szCs w:val="21"/>
                      <w:highlight w:val="none"/>
                      <w14:textFill>
                        <w14:solidFill>
                          <w14:schemeClr w14:val="tx1"/>
                        </w14:solidFill>
                      </w14:textFill>
                    </w:rPr>
                    <w:t>粘土砂、消失模、真空密封造型、熔模铸造等造型工艺</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E1B3DC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173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74F021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2C16741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黑色金属铸造熔炼设备宜采用中频感应电炉或电弧炉。</w:t>
                  </w:r>
                </w:p>
              </w:tc>
              <w:tc>
                <w:tcPr>
                  <w:tcW w:w="2001" w:type="pct"/>
                  <w:tcMar>
                    <w:top w:w="0" w:type="dxa"/>
                    <w:left w:w="57" w:type="dxa"/>
                    <w:bottom w:w="0" w:type="dxa"/>
                    <w:right w:w="57" w:type="dxa"/>
                  </w:tcMar>
                  <w:vAlign w:val="center"/>
                </w:tcPr>
                <w:p w14:paraId="7D5737D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本项目熔炼设备为中频感应电炉。</w:t>
                  </w:r>
                </w:p>
              </w:tc>
              <w:tc>
                <w:tcPr>
                  <w:tcW w:w="560" w:type="pct"/>
                  <w:tcMar>
                    <w:top w:w="0" w:type="dxa"/>
                    <w:left w:w="57" w:type="dxa"/>
                    <w:bottom w:w="0" w:type="dxa"/>
                    <w:right w:w="57" w:type="dxa"/>
                  </w:tcMar>
                  <w:vAlign w:val="center"/>
                </w:tcPr>
                <w:p w14:paraId="44D8F91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8E0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5911C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0EBBD3F6">
                  <w:pPr>
                    <w:keepNext w:val="0"/>
                    <w:keepLines w:val="0"/>
                    <w:pageBreakBefore w:val="0"/>
                    <w:widowControl w:val="0"/>
                    <w:kinsoku/>
                    <w:wordWrap/>
                    <w:overflowPunct/>
                    <w:topLinePunct w:val="0"/>
                    <w:autoSpaceDE/>
                    <w:autoSpaceDN/>
                    <w:bidi w:val="0"/>
                    <w:adjustRightIn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有色金属铸造熔炼设备宜采用电加热坩埚炉或天然气快速熔化炉。</w:t>
                  </w:r>
                </w:p>
              </w:tc>
              <w:tc>
                <w:tcPr>
                  <w:tcW w:w="2001" w:type="pct"/>
                  <w:tcMar>
                    <w:top w:w="0" w:type="dxa"/>
                    <w:left w:w="57" w:type="dxa"/>
                    <w:bottom w:w="0" w:type="dxa"/>
                    <w:right w:w="57" w:type="dxa"/>
                  </w:tcMar>
                  <w:vAlign w:val="center"/>
                </w:tcPr>
                <w:p w14:paraId="339BE6E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本项目不涉及有色金属铸造。</w:t>
                  </w:r>
                </w:p>
              </w:tc>
              <w:tc>
                <w:tcPr>
                  <w:tcW w:w="560" w:type="pct"/>
                  <w:tcMar>
                    <w:top w:w="0" w:type="dxa"/>
                    <w:left w:w="57" w:type="dxa"/>
                    <w:bottom w:w="0" w:type="dxa"/>
                    <w:right w:w="57" w:type="dxa"/>
                  </w:tcMar>
                  <w:vAlign w:val="center"/>
                </w:tcPr>
                <w:p w14:paraId="12D777E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4D274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C4B21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6C2E452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容量为3t及以上中频感应电炉加料宜采用加料车。</w:t>
                  </w:r>
                </w:p>
              </w:tc>
              <w:tc>
                <w:tcPr>
                  <w:tcW w:w="2001" w:type="pct"/>
                  <w:tcMar>
                    <w:top w:w="0" w:type="dxa"/>
                    <w:left w:w="57" w:type="dxa"/>
                    <w:bottom w:w="0" w:type="dxa"/>
                    <w:right w:w="57" w:type="dxa"/>
                  </w:tcMar>
                  <w:vAlign w:val="center"/>
                </w:tcPr>
                <w:p w14:paraId="661BE0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本项目中频炉容量为3.5t，</w:t>
                  </w:r>
                  <w:r>
                    <w:rPr>
                      <w:color w:val="000000" w:themeColor="text1"/>
                      <w:sz w:val="21"/>
                      <w:szCs w:val="21"/>
                      <w:highlight w:val="none"/>
                      <w14:textFill>
                        <w14:solidFill>
                          <w14:schemeClr w14:val="tx1"/>
                        </w14:solidFill>
                      </w14:textFill>
                    </w:rPr>
                    <w:t>加料</w:t>
                  </w:r>
                  <w:r>
                    <w:rPr>
                      <w:rFonts w:hint="eastAsia"/>
                      <w:color w:val="000000" w:themeColor="text1"/>
                      <w:sz w:val="21"/>
                      <w:szCs w:val="21"/>
                      <w:highlight w:val="none"/>
                      <w:lang w:val="en-US" w:eastAsia="zh-CN"/>
                      <w14:textFill>
                        <w14:solidFill>
                          <w14:schemeClr w14:val="tx1"/>
                        </w14:solidFill>
                      </w14:textFill>
                    </w:rPr>
                    <w:t>时</w:t>
                  </w:r>
                  <w:r>
                    <w:rPr>
                      <w:color w:val="000000" w:themeColor="text1"/>
                      <w:sz w:val="21"/>
                      <w:szCs w:val="21"/>
                      <w:highlight w:val="none"/>
                      <w14:textFill>
                        <w14:solidFill>
                          <w14:schemeClr w14:val="tx1"/>
                        </w14:solidFill>
                      </w14:textFill>
                    </w:rPr>
                    <w:t>采用加料车。</w:t>
                  </w:r>
                </w:p>
              </w:tc>
              <w:tc>
                <w:tcPr>
                  <w:tcW w:w="560" w:type="pct"/>
                  <w:tcMar>
                    <w:top w:w="0" w:type="dxa"/>
                    <w:left w:w="57" w:type="dxa"/>
                    <w:bottom w:w="0" w:type="dxa"/>
                    <w:right w:w="57" w:type="dxa"/>
                  </w:tcMar>
                  <w:vAlign w:val="center"/>
                </w:tcPr>
                <w:p w14:paraId="11C1C9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A396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505622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7B2D0CB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天然气快速熔化炉应采用机械化、自动化上料系统。</w:t>
                  </w:r>
                </w:p>
              </w:tc>
              <w:tc>
                <w:tcPr>
                  <w:tcW w:w="2001" w:type="pct"/>
                  <w:tcMar>
                    <w:top w:w="0" w:type="dxa"/>
                    <w:left w:w="57" w:type="dxa"/>
                    <w:bottom w:w="0" w:type="dxa"/>
                    <w:right w:w="57" w:type="dxa"/>
                  </w:tcMar>
                  <w:vAlign w:val="center"/>
                </w:tcPr>
                <w:p w14:paraId="5DAFBCC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本项目不涉及。</w:t>
                  </w:r>
                </w:p>
              </w:tc>
              <w:tc>
                <w:tcPr>
                  <w:tcW w:w="560" w:type="pct"/>
                  <w:tcMar>
                    <w:top w:w="0" w:type="dxa"/>
                    <w:left w:w="57" w:type="dxa"/>
                    <w:bottom w:w="0" w:type="dxa"/>
                    <w:right w:w="57" w:type="dxa"/>
                  </w:tcMar>
                  <w:vAlign w:val="center"/>
                </w:tcPr>
                <w:p w14:paraId="77F2FF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3BE95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A85BEE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72E2836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燃气炉、热法砂再生焙烧炉、燃气热处理炉宜采用低氮燃烧技术。</w:t>
                  </w:r>
                </w:p>
              </w:tc>
              <w:tc>
                <w:tcPr>
                  <w:tcW w:w="2001" w:type="pct"/>
                  <w:tcMar>
                    <w:top w:w="0" w:type="dxa"/>
                    <w:left w:w="57" w:type="dxa"/>
                    <w:bottom w:w="0" w:type="dxa"/>
                    <w:right w:w="57" w:type="dxa"/>
                  </w:tcMar>
                  <w:vAlign w:val="center"/>
                </w:tcPr>
                <w:p w14:paraId="4AFDB93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本项目不涉及。</w:t>
                  </w:r>
                </w:p>
              </w:tc>
              <w:tc>
                <w:tcPr>
                  <w:tcW w:w="560" w:type="pct"/>
                  <w:tcMar>
                    <w:top w:w="0" w:type="dxa"/>
                    <w:left w:w="57" w:type="dxa"/>
                    <w:bottom w:w="0" w:type="dxa"/>
                    <w:right w:w="57" w:type="dxa"/>
                  </w:tcMar>
                  <w:vAlign w:val="center"/>
                </w:tcPr>
                <w:p w14:paraId="02ABABA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ACE9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790D8CB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生产过程</w:t>
                  </w:r>
                </w:p>
              </w:tc>
              <w:tc>
                <w:tcPr>
                  <w:tcW w:w="2031" w:type="pct"/>
                  <w:tcMar>
                    <w:top w:w="0" w:type="dxa"/>
                    <w:left w:w="57" w:type="dxa"/>
                    <w:bottom w:w="0" w:type="dxa"/>
                    <w:right w:w="57" w:type="dxa"/>
                  </w:tcMar>
                  <w:vAlign w:val="center"/>
                </w:tcPr>
                <w:p w14:paraId="4882775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型砂在车间内输送方式宜采用气力输送、封闭</w:t>
                  </w:r>
                  <w:r>
                    <w:rPr>
                      <w:color w:val="000000" w:themeColor="text1"/>
                      <w:kern w:val="0"/>
                      <w:sz w:val="21"/>
                      <w:szCs w:val="21"/>
                      <w:highlight w:val="none"/>
                      <w14:textFill>
                        <w14:solidFill>
                          <w14:schemeClr w14:val="tx1"/>
                        </w14:solidFill>
                      </w14:textFill>
                    </w:rPr>
                    <w:t>式带式输送机、螺旋输送机等密闭输送方式。</w:t>
                  </w:r>
                </w:p>
              </w:tc>
              <w:tc>
                <w:tcPr>
                  <w:tcW w:w="2001" w:type="pct"/>
                  <w:tcMar>
                    <w:top w:w="0" w:type="dxa"/>
                    <w:left w:w="57" w:type="dxa"/>
                    <w:bottom w:w="0" w:type="dxa"/>
                    <w:right w:w="57" w:type="dxa"/>
                  </w:tcMar>
                  <w:vAlign w:val="center"/>
                </w:tcPr>
                <w:p w14:paraId="22C5B25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树脂</w:t>
                  </w:r>
                  <w:r>
                    <w:rPr>
                      <w:color w:val="000000" w:themeColor="text1"/>
                      <w:kern w:val="0"/>
                      <w:sz w:val="21"/>
                      <w:szCs w:val="21"/>
                      <w:highlight w:val="none"/>
                      <w14:textFill>
                        <w14:solidFill>
                          <w14:schemeClr w14:val="tx1"/>
                        </w14:solidFill>
                      </w14:textFill>
                    </w:rPr>
                    <w:t>砂</w:t>
                  </w:r>
                  <w:r>
                    <w:rPr>
                      <w:rFonts w:hint="eastAsia"/>
                      <w:color w:val="000000" w:themeColor="text1"/>
                      <w:kern w:val="0"/>
                      <w:sz w:val="21"/>
                      <w:szCs w:val="21"/>
                      <w:highlight w:val="none"/>
                      <w:lang w:val="en-US" w:eastAsia="zh-CN"/>
                      <w14:textFill>
                        <w14:solidFill>
                          <w14:schemeClr w14:val="tx1"/>
                        </w14:solidFill>
                      </w14:textFill>
                    </w:rPr>
                    <w:t>采用气力输送方式。</w:t>
                  </w:r>
                </w:p>
              </w:tc>
              <w:tc>
                <w:tcPr>
                  <w:tcW w:w="560" w:type="pct"/>
                  <w:tcMar>
                    <w:top w:w="0" w:type="dxa"/>
                    <w:left w:w="57" w:type="dxa"/>
                    <w:bottom w:w="0" w:type="dxa"/>
                    <w:right w:w="57" w:type="dxa"/>
                  </w:tcMar>
                  <w:vAlign w:val="center"/>
                </w:tcPr>
                <w:p w14:paraId="1B3EE90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549B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F8182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7F556C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合箱、开箱、落砂、清砂、切割、打磨、焊补、浇包维修、金属液球化处理、倒包和分包等工序宜固定作业工位或场地。</w:t>
                  </w:r>
                </w:p>
              </w:tc>
              <w:tc>
                <w:tcPr>
                  <w:tcW w:w="2001" w:type="pct"/>
                  <w:tcMar>
                    <w:top w:w="0" w:type="dxa"/>
                    <w:left w:w="57" w:type="dxa"/>
                    <w:bottom w:w="0" w:type="dxa"/>
                    <w:right w:w="57" w:type="dxa"/>
                  </w:tcMar>
                  <w:vAlign w:val="center"/>
                </w:tcPr>
                <w:p w14:paraId="0D41E30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color w:val="000000" w:themeColor="text1"/>
                      <w:sz w:val="21"/>
                      <w:szCs w:val="21"/>
                      <w:highlight w:val="none"/>
                      <w14:textFill>
                        <w14:solidFill>
                          <w14:schemeClr w14:val="tx1"/>
                        </w14:solidFill>
                      </w14:textFill>
                    </w:rPr>
                    <w:t>合箱、落砂、</w:t>
                  </w:r>
                  <w:r>
                    <w:rPr>
                      <w:color w:val="000000" w:themeColor="text1"/>
                      <w:kern w:val="0"/>
                      <w:sz w:val="21"/>
                      <w:szCs w:val="21"/>
                      <w:highlight w:val="none"/>
                      <w14:textFill>
                        <w14:solidFill>
                          <w14:schemeClr w14:val="tx1"/>
                        </w14:solidFill>
                      </w14:textFill>
                    </w:rPr>
                    <w:t>打磨</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切割</w:t>
                  </w:r>
                  <w:r>
                    <w:rPr>
                      <w:color w:val="000000" w:themeColor="text1"/>
                      <w:kern w:val="0"/>
                      <w:sz w:val="21"/>
                      <w:szCs w:val="21"/>
                      <w:highlight w:val="none"/>
                      <w14:textFill>
                        <w14:solidFill>
                          <w14:schemeClr w14:val="tx1"/>
                        </w14:solidFill>
                      </w14:textFill>
                    </w:rPr>
                    <w:t>等工序均设置固定作业工位</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070C8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56F7C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9DAD1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3A02738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大气污染治理设施与工艺设备应联动控制，大气污染治理设施应先于工艺设备开启、后于工艺设备且无可见烟粉尘外逸时停机。</w:t>
                  </w:r>
                </w:p>
              </w:tc>
              <w:tc>
                <w:tcPr>
                  <w:tcW w:w="2001" w:type="pct"/>
                  <w:tcMar>
                    <w:top w:w="0" w:type="dxa"/>
                    <w:left w:w="57" w:type="dxa"/>
                    <w:bottom w:w="0" w:type="dxa"/>
                    <w:right w:w="57" w:type="dxa"/>
                  </w:tcMar>
                  <w:vAlign w:val="center"/>
                </w:tcPr>
                <w:p w14:paraId="16C6D1C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000000" w:themeColor="text1"/>
                      <w:sz w:val="21"/>
                      <w:szCs w:val="21"/>
                      <w:highlight w:val="none"/>
                      <w:lang w:val="en-US"/>
                      <w14:textFill>
                        <w14:solidFill>
                          <w14:schemeClr w14:val="tx1"/>
                        </w14:solidFill>
                      </w14:textFill>
                    </w:rPr>
                  </w:pPr>
                  <w:r>
                    <w:rPr>
                      <w:color w:val="000000" w:themeColor="text1"/>
                      <w:kern w:val="0"/>
                      <w:sz w:val="21"/>
                      <w:szCs w:val="21"/>
                      <w:highlight w:val="none"/>
                      <w14:textFill>
                        <w14:solidFill>
                          <w14:schemeClr w14:val="tx1"/>
                        </w14:solidFill>
                      </w14:textFill>
                    </w:rPr>
                    <w:t>项目大气污染治理设施</w:t>
                  </w:r>
                  <w:r>
                    <w:rPr>
                      <w:rFonts w:hint="eastAsia"/>
                      <w:color w:val="000000" w:themeColor="text1"/>
                      <w:kern w:val="0"/>
                      <w:sz w:val="21"/>
                      <w:szCs w:val="21"/>
                      <w:highlight w:val="none"/>
                      <w:lang w:val="en-US" w:eastAsia="zh-CN"/>
                      <w14:textFill>
                        <w14:solidFill>
                          <w14:schemeClr w14:val="tx1"/>
                        </w14:solidFill>
                      </w14:textFill>
                    </w:rPr>
                    <w:t>严格执行“先启后停”制度，</w:t>
                  </w:r>
                  <w:r>
                    <w:rPr>
                      <w:color w:val="000000" w:themeColor="text1"/>
                      <w:kern w:val="0"/>
                      <w:sz w:val="21"/>
                      <w:szCs w:val="21"/>
                      <w:highlight w:val="none"/>
                      <w14:textFill>
                        <w14:solidFill>
                          <w14:schemeClr w14:val="tx1"/>
                        </w14:solidFill>
                      </w14:textFill>
                    </w:rPr>
                    <w:t>先于工艺设备开启</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后于工艺设备停机</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作业结束后持续对废气进行收集处理，确保无可见烟粉尘外溢。</w:t>
                  </w:r>
                </w:p>
              </w:tc>
              <w:tc>
                <w:tcPr>
                  <w:tcW w:w="560" w:type="pct"/>
                  <w:tcMar>
                    <w:top w:w="0" w:type="dxa"/>
                    <w:left w:w="57" w:type="dxa"/>
                    <w:bottom w:w="0" w:type="dxa"/>
                    <w:right w:w="57" w:type="dxa"/>
                  </w:tcMar>
                  <w:vAlign w:val="center"/>
                </w:tcPr>
                <w:p w14:paraId="4B4983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30774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DFD948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338595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铸件涂装工序的配料、涂装和清洗作业应采用密闭设备或在封闭空间内操作</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无法密闭或封闭的，应设置固定式或移动式排风罩。</w:t>
                  </w:r>
                </w:p>
              </w:tc>
              <w:tc>
                <w:tcPr>
                  <w:tcW w:w="2001" w:type="pct"/>
                  <w:tcMar>
                    <w:top w:w="0" w:type="dxa"/>
                    <w:left w:w="57" w:type="dxa"/>
                    <w:bottom w:w="0" w:type="dxa"/>
                    <w:right w:w="57" w:type="dxa"/>
                  </w:tcMar>
                  <w:vAlign w:val="center"/>
                </w:tcPr>
                <w:p w14:paraId="338ED3C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不涉及。</w:t>
                  </w:r>
                </w:p>
              </w:tc>
              <w:tc>
                <w:tcPr>
                  <w:tcW w:w="560" w:type="pct"/>
                  <w:tcMar>
                    <w:top w:w="0" w:type="dxa"/>
                    <w:left w:w="57" w:type="dxa"/>
                    <w:bottom w:w="0" w:type="dxa"/>
                    <w:right w:w="57" w:type="dxa"/>
                  </w:tcMar>
                  <w:vAlign w:val="center"/>
                </w:tcPr>
                <w:p w14:paraId="0FE0E8C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2333D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497FC60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废气收集及输送</w:t>
                  </w:r>
                </w:p>
              </w:tc>
              <w:tc>
                <w:tcPr>
                  <w:tcW w:w="2031" w:type="pct"/>
                  <w:tcMar>
                    <w:top w:w="0" w:type="dxa"/>
                    <w:left w:w="57" w:type="dxa"/>
                    <w:bottom w:w="0" w:type="dxa"/>
                    <w:right w:w="57" w:type="dxa"/>
                  </w:tcMar>
                  <w:vAlign w:val="center"/>
                </w:tcPr>
                <w:p w14:paraId="3A1E811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废气收集和治理系统的划分应依据通风管道布置、废气治理设施布置、余热回收利用、工艺操作同时性等因素确定。</w:t>
                  </w:r>
                </w:p>
              </w:tc>
              <w:tc>
                <w:tcPr>
                  <w:tcW w:w="2001" w:type="pct"/>
                  <w:tcMar>
                    <w:top w:w="0" w:type="dxa"/>
                    <w:left w:w="57" w:type="dxa"/>
                    <w:bottom w:w="0" w:type="dxa"/>
                    <w:right w:w="57" w:type="dxa"/>
                  </w:tcMar>
                  <w:vAlign w:val="center"/>
                </w:tcPr>
                <w:p w14:paraId="5E80768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项目废气收集和治理</w:t>
                  </w:r>
                  <w:r>
                    <w:rPr>
                      <w:rFonts w:hint="eastAsia"/>
                      <w:color w:val="000000" w:themeColor="text1"/>
                      <w:kern w:val="0"/>
                      <w:sz w:val="21"/>
                      <w:szCs w:val="21"/>
                      <w:highlight w:val="none"/>
                      <w:lang w:val="en-US" w:eastAsia="zh-CN"/>
                      <w14:textFill>
                        <w14:solidFill>
                          <w14:schemeClr w14:val="tx1"/>
                        </w14:solidFill>
                      </w14:textFill>
                    </w:rPr>
                    <w:t>在设计过程中充分考虑了</w:t>
                  </w:r>
                  <w:r>
                    <w:rPr>
                      <w:color w:val="000000" w:themeColor="text1"/>
                      <w:kern w:val="0"/>
                      <w:sz w:val="21"/>
                      <w:szCs w:val="21"/>
                      <w:highlight w:val="none"/>
                      <w14:textFill>
                        <w14:solidFill>
                          <w14:schemeClr w14:val="tx1"/>
                        </w14:solidFill>
                      </w14:textFill>
                    </w:rPr>
                    <w:t>通风管道布置、废气治理设施布置</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工艺操作同时性等</w:t>
                  </w:r>
                  <w:r>
                    <w:rPr>
                      <w:rFonts w:hint="eastAsia"/>
                      <w:color w:val="000000" w:themeColor="text1"/>
                      <w:kern w:val="0"/>
                      <w:sz w:val="21"/>
                      <w:szCs w:val="21"/>
                      <w:highlight w:val="none"/>
                      <w14:textFill>
                        <w14:solidFill>
                          <w14:schemeClr w14:val="tx1"/>
                        </w14:solidFill>
                      </w14:textFill>
                    </w:rPr>
                    <w:t>各项技术与安全要求，保障废气达标排放和整体运行的可靠性</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B73B85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1E6B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AC963A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3DD786C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废气治理系统的通风系统设计应符合GB8959、GB50019的规定。</w:t>
                  </w:r>
                </w:p>
              </w:tc>
              <w:tc>
                <w:tcPr>
                  <w:tcW w:w="2001" w:type="pct"/>
                  <w:tcMar>
                    <w:top w:w="0" w:type="dxa"/>
                    <w:left w:w="57" w:type="dxa"/>
                    <w:bottom w:w="0" w:type="dxa"/>
                    <w:right w:w="57" w:type="dxa"/>
                  </w:tcMar>
                  <w:vAlign w:val="center"/>
                </w:tcPr>
                <w:p w14:paraId="00589F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项目废气治理系统的通风系统设计符合GB8959、GB50019的规定。</w:t>
                  </w:r>
                </w:p>
              </w:tc>
              <w:tc>
                <w:tcPr>
                  <w:tcW w:w="560" w:type="pct"/>
                  <w:tcMar>
                    <w:top w:w="0" w:type="dxa"/>
                    <w:left w:w="57" w:type="dxa"/>
                    <w:bottom w:w="0" w:type="dxa"/>
                    <w:right w:w="57" w:type="dxa"/>
                  </w:tcMar>
                  <w:vAlign w:val="center"/>
                </w:tcPr>
                <w:p w14:paraId="12FA975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C20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22852A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43AE5F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落砂、喷</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抛</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丸等工序的废气宜循环利用，并宜配置二级除尘设施，第一级宜选用旋风除尘器，第二级宜选用袋式除尘器或滤简式除尘器等除尘设施。</w:t>
                  </w:r>
                </w:p>
              </w:tc>
              <w:tc>
                <w:tcPr>
                  <w:tcW w:w="2001" w:type="pct"/>
                  <w:tcMar>
                    <w:top w:w="0" w:type="dxa"/>
                    <w:left w:w="57" w:type="dxa"/>
                    <w:bottom w:w="0" w:type="dxa"/>
                    <w:right w:w="57" w:type="dxa"/>
                  </w:tcMar>
                  <w:vAlign w:val="center"/>
                </w:tcPr>
                <w:p w14:paraId="5880B04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落砂、</w:t>
                  </w:r>
                  <w:r>
                    <w:rPr>
                      <w:color w:val="000000" w:themeColor="text1"/>
                      <w:kern w:val="0"/>
                      <w:sz w:val="21"/>
                      <w:szCs w:val="21"/>
                      <w:highlight w:val="none"/>
                      <w14:textFill>
                        <w14:solidFill>
                          <w14:schemeClr w14:val="tx1"/>
                        </w14:solidFill>
                      </w14:textFill>
                    </w:rPr>
                    <w:t>抛丸等工序粉尘经配套的袋式除尘</w:t>
                  </w:r>
                  <w:r>
                    <w:rPr>
                      <w:rFonts w:hint="eastAsia"/>
                      <w:color w:val="000000" w:themeColor="text1"/>
                      <w:kern w:val="0"/>
                      <w:sz w:val="21"/>
                      <w:szCs w:val="21"/>
                      <w:highlight w:val="none"/>
                      <w:lang w:val="en-US" w:eastAsia="zh-CN"/>
                      <w14:textFill>
                        <w14:solidFill>
                          <w14:schemeClr w14:val="tx1"/>
                        </w14:solidFill>
                      </w14:textFill>
                    </w:rPr>
                    <w:t>装置</w:t>
                  </w:r>
                  <w:r>
                    <w:rPr>
                      <w:color w:val="000000" w:themeColor="text1"/>
                      <w:kern w:val="0"/>
                      <w:sz w:val="21"/>
                      <w:szCs w:val="21"/>
                      <w:highlight w:val="none"/>
                      <w14:textFill>
                        <w14:solidFill>
                          <w14:schemeClr w14:val="tx1"/>
                        </w14:solidFill>
                      </w14:textFill>
                    </w:rPr>
                    <w:t>处理后能够实现达标排放</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4A78D6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ACC7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4732E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1F3C5BE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排风罩的性能、结构和加工应符合GB/T16758的规定。</w:t>
                  </w:r>
                </w:p>
              </w:tc>
              <w:tc>
                <w:tcPr>
                  <w:tcW w:w="2001" w:type="pct"/>
                  <w:tcMar>
                    <w:top w:w="0" w:type="dxa"/>
                    <w:left w:w="57" w:type="dxa"/>
                    <w:bottom w:w="0" w:type="dxa"/>
                    <w:right w:w="57" w:type="dxa"/>
                  </w:tcMar>
                  <w:vAlign w:val="center"/>
                </w:tcPr>
                <w:p w14:paraId="22D5B89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项目排风罩的性能、结构和加工符合GB/T16758的规定</w:t>
                  </w:r>
                </w:p>
              </w:tc>
              <w:tc>
                <w:tcPr>
                  <w:tcW w:w="560" w:type="pct"/>
                  <w:tcMar>
                    <w:top w:w="0" w:type="dxa"/>
                    <w:left w:w="57" w:type="dxa"/>
                    <w:bottom w:w="0" w:type="dxa"/>
                    <w:right w:w="57" w:type="dxa"/>
                  </w:tcMar>
                  <w:vAlign w:val="center"/>
                </w:tcPr>
                <w:p w14:paraId="6AF357F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63E9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1C78F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76E38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电炉熔炼设备应设置排风罩，熔炼过程、加料、出铁</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钢</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、修炉全过程应无可见烟粉尘外逸。</w:t>
                  </w:r>
                </w:p>
              </w:tc>
              <w:tc>
                <w:tcPr>
                  <w:tcW w:w="2001" w:type="pct"/>
                  <w:tcMar>
                    <w:top w:w="0" w:type="dxa"/>
                    <w:left w:w="57" w:type="dxa"/>
                    <w:bottom w:w="0" w:type="dxa"/>
                    <w:right w:w="57" w:type="dxa"/>
                  </w:tcMar>
                  <w:vAlign w:val="center"/>
                </w:tcPr>
                <w:p w14:paraId="1E01BB8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中频炉</w:t>
                  </w:r>
                  <w:r>
                    <w:rPr>
                      <w:color w:val="000000" w:themeColor="text1"/>
                      <w:kern w:val="0"/>
                      <w:sz w:val="21"/>
                      <w:szCs w:val="21"/>
                      <w:highlight w:val="none"/>
                      <w14:textFill>
                        <w14:solidFill>
                          <w14:schemeClr w14:val="tx1"/>
                        </w14:solidFill>
                      </w14:textFill>
                    </w:rPr>
                    <w:t>设置</w:t>
                  </w:r>
                  <w:r>
                    <w:rPr>
                      <w:rFonts w:hint="eastAsia"/>
                      <w:color w:val="000000" w:themeColor="text1"/>
                      <w:kern w:val="0"/>
                      <w:sz w:val="21"/>
                      <w:szCs w:val="21"/>
                      <w:highlight w:val="none"/>
                      <w:lang w:val="en-US" w:eastAsia="zh-CN"/>
                      <w14:textFill>
                        <w14:solidFill>
                          <w14:schemeClr w14:val="tx1"/>
                        </w14:solidFill>
                      </w14:textFill>
                    </w:rPr>
                    <w:t>排风罩</w:t>
                  </w:r>
                  <w:r>
                    <w:rPr>
                      <w:color w:val="000000" w:themeColor="text1"/>
                      <w:kern w:val="0"/>
                      <w:sz w:val="21"/>
                      <w:szCs w:val="21"/>
                      <w:highlight w:val="none"/>
                      <w14:textFill>
                        <w14:solidFill>
                          <w14:schemeClr w14:val="tx1"/>
                        </w14:solidFill>
                      </w14:textFill>
                    </w:rPr>
                    <w:t>，熔炼过程、加料、出铁、修炉全过程无可见烟粉尘外逸</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3B9D090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D0A8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2826D0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28EEE11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砂型冷却区应封闭或设置排风罩，冷却过程中应无烟粉尘外逸。</w:t>
                  </w:r>
                </w:p>
              </w:tc>
              <w:tc>
                <w:tcPr>
                  <w:tcW w:w="2001" w:type="pct"/>
                  <w:tcMar>
                    <w:top w:w="0" w:type="dxa"/>
                    <w:left w:w="57" w:type="dxa"/>
                    <w:bottom w:w="0" w:type="dxa"/>
                    <w:right w:w="57" w:type="dxa"/>
                  </w:tcMar>
                  <w:vAlign w:val="center"/>
                </w:tcPr>
                <w:p w14:paraId="036ED1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项目砂型冷却区</w:t>
                  </w:r>
                  <w:r>
                    <w:rPr>
                      <w:rFonts w:hint="eastAsia"/>
                      <w:color w:val="000000" w:themeColor="text1"/>
                      <w:kern w:val="0"/>
                      <w:sz w:val="21"/>
                      <w:szCs w:val="21"/>
                      <w:highlight w:val="none"/>
                      <w:lang w:val="en-US" w:eastAsia="zh-CN"/>
                      <w14:textFill>
                        <w14:solidFill>
                          <w14:schemeClr w14:val="tx1"/>
                        </w14:solidFill>
                      </w14:textFill>
                    </w:rPr>
                    <w:t>设置排风罩</w:t>
                  </w:r>
                  <w:r>
                    <w:rPr>
                      <w:color w:val="000000" w:themeColor="text1"/>
                      <w:kern w:val="0"/>
                      <w:sz w:val="21"/>
                      <w:szCs w:val="21"/>
                      <w:highlight w:val="none"/>
                      <w14:textFill>
                        <w14:solidFill>
                          <w14:schemeClr w14:val="tx1"/>
                        </w14:solidFill>
                      </w14:textFill>
                    </w:rPr>
                    <w:t>，冷却过程无烟粉尘外逸</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55E778B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D8F3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270621A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123548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除尘和VOCs治理系统内的废气温度应大于其露点温度；当废气的温度存在小于其露点温度风险时，应设置管道、设备壳体保温，并宜设置废气加热措施和废气露点自动控制措施。</w:t>
                  </w:r>
                </w:p>
              </w:tc>
              <w:tc>
                <w:tcPr>
                  <w:tcW w:w="2001" w:type="pct"/>
                  <w:tcMar>
                    <w:top w:w="0" w:type="dxa"/>
                    <w:left w:w="57" w:type="dxa"/>
                    <w:bottom w:w="0" w:type="dxa"/>
                    <w:right w:w="57" w:type="dxa"/>
                  </w:tcMar>
                  <w:vAlign w:val="center"/>
                </w:tcPr>
                <w:p w14:paraId="6D01C9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项目除尘和VOCs治理系统内的废气温度大于其露点温度</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5D8C8A8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895F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D76FDE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28E7F3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各生产工序的除尘系统、VOCs治理系统和脱硫系统均不应设置废气旁路。</w:t>
                  </w:r>
                </w:p>
              </w:tc>
              <w:tc>
                <w:tcPr>
                  <w:tcW w:w="2001" w:type="pct"/>
                  <w:tcMar>
                    <w:top w:w="0" w:type="dxa"/>
                    <w:left w:w="57" w:type="dxa"/>
                    <w:bottom w:w="0" w:type="dxa"/>
                    <w:right w:w="57" w:type="dxa"/>
                  </w:tcMar>
                  <w:vAlign w:val="center"/>
                </w:tcPr>
                <w:p w14:paraId="14922D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项目各生产工序的除尘和VOCs治理系统</w:t>
                  </w:r>
                  <w:r>
                    <w:rPr>
                      <w:rFonts w:hint="eastAsia"/>
                      <w:color w:val="000000" w:themeColor="text1"/>
                      <w:kern w:val="0"/>
                      <w:sz w:val="21"/>
                      <w:szCs w:val="21"/>
                      <w:highlight w:val="none"/>
                      <w:lang w:eastAsia="zh-CN"/>
                      <w14:textFill>
                        <w14:solidFill>
                          <w14:schemeClr w14:val="tx1"/>
                        </w14:solidFill>
                      </w14:textFill>
                    </w:rPr>
                    <w:t>均严格按照国家及地方环保法规和技术规范要求进行设计与建设，</w:t>
                  </w:r>
                  <w:r>
                    <w:rPr>
                      <w:color w:val="000000" w:themeColor="text1"/>
                      <w:kern w:val="0"/>
                      <w:sz w:val="21"/>
                      <w:szCs w:val="21"/>
                      <w:highlight w:val="none"/>
                      <w14:textFill>
                        <w14:solidFill>
                          <w14:schemeClr w14:val="tx1"/>
                        </w14:solidFill>
                      </w14:textFill>
                    </w:rPr>
                    <w:t>不设置废气旁路</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6D1FD4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1ED8E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02B9044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有组织排放控制</w:t>
                  </w:r>
                </w:p>
              </w:tc>
              <w:tc>
                <w:tcPr>
                  <w:tcW w:w="2031" w:type="pct"/>
                  <w:tcMar>
                    <w:top w:w="0" w:type="dxa"/>
                    <w:left w:w="57" w:type="dxa"/>
                    <w:bottom w:w="0" w:type="dxa"/>
                    <w:right w:w="57" w:type="dxa"/>
                  </w:tcMar>
                  <w:vAlign w:val="center"/>
                </w:tcPr>
                <w:p w14:paraId="2956585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废钢、回炉料等金属物料切割破碎工序工位应配备排风罩，并配备袋式除尘器、滤筒式除尘器等除尘设施。</w:t>
                  </w:r>
                </w:p>
              </w:tc>
              <w:tc>
                <w:tcPr>
                  <w:tcW w:w="2001" w:type="pct"/>
                  <w:tcMar>
                    <w:top w:w="0" w:type="dxa"/>
                    <w:left w:w="57" w:type="dxa"/>
                    <w:bottom w:w="0" w:type="dxa"/>
                    <w:right w:w="57" w:type="dxa"/>
                  </w:tcMar>
                  <w:vAlign w:val="center"/>
                </w:tcPr>
                <w:p w14:paraId="0301D37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w:t>
                  </w:r>
                  <w:r>
                    <w:rPr>
                      <w:color w:val="000000" w:themeColor="text1"/>
                      <w:kern w:val="0"/>
                      <w:sz w:val="21"/>
                      <w:szCs w:val="21"/>
                      <w:highlight w:val="none"/>
                      <w14:textFill>
                        <w14:solidFill>
                          <w14:schemeClr w14:val="tx1"/>
                        </w14:solidFill>
                      </w14:textFill>
                    </w:rPr>
                    <w:t>回炉料</w:t>
                  </w:r>
                  <w:r>
                    <w:rPr>
                      <w:rFonts w:hint="eastAsia"/>
                      <w:color w:val="000000" w:themeColor="text1"/>
                      <w:kern w:val="0"/>
                      <w:sz w:val="21"/>
                      <w:szCs w:val="21"/>
                      <w:highlight w:val="none"/>
                      <w:lang w:val="en-US" w:eastAsia="zh-CN"/>
                      <w14:textFill>
                        <w14:solidFill>
                          <w14:schemeClr w14:val="tx1"/>
                        </w14:solidFill>
                      </w14:textFill>
                    </w:rPr>
                    <w:t>切割工序</w:t>
                  </w:r>
                  <w:r>
                    <w:rPr>
                      <w:color w:val="000000" w:themeColor="text1"/>
                      <w:kern w:val="0"/>
                      <w:sz w:val="21"/>
                      <w:szCs w:val="21"/>
                      <w:highlight w:val="none"/>
                      <w14:textFill>
                        <w14:solidFill>
                          <w14:schemeClr w14:val="tx1"/>
                        </w14:solidFill>
                      </w14:textFill>
                    </w:rPr>
                    <w:t>工位应配备排风罩，并配备袋式除尘器</w:t>
                  </w:r>
                  <w:r>
                    <w:rPr>
                      <w:rFonts w:hint="eastAsia"/>
                      <w:color w:val="000000" w:themeColor="text1"/>
                      <w:kern w:val="0"/>
                      <w:sz w:val="21"/>
                      <w:szCs w:val="21"/>
                      <w:highlight w:val="none"/>
                      <w:lang w:val="en-US" w:eastAsia="zh-CN"/>
                      <w14:textFill>
                        <w14:solidFill>
                          <w14:schemeClr w14:val="tx1"/>
                        </w14:solidFill>
                      </w14:textFill>
                    </w:rPr>
                    <w:t>。</w:t>
                  </w:r>
                </w:p>
              </w:tc>
              <w:tc>
                <w:tcPr>
                  <w:tcW w:w="560" w:type="pct"/>
                  <w:tcMar>
                    <w:top w:w="0" w:type="dxa"/>
                    <w:left w:w="57" w:type="dxa"/>
                    <w:bottom w:w="0" w:type="dxa"/>
                    <w:right w:w="57" w:type="dxa"/>
                  </w:tcMar>
                  <w:vAlign w:val="center"/>
                </w:tcPr>
                <w:p w14:paraId="4ECB8F0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7E29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BD8C47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0AD25B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粉状物料的转载点、卸料点应配备排风罩，并配备袋式除尘器、滤筒式除尘器等除尘设施。</w:t>
                  </w:r>
                </w:p>
              </w:tc>
              <w:tc>
                <w:tcPr>
                  <w:tcW w:w="2001" w:type="pct"/>
                  <w:tcMar>
                    <w:top w:w="0" w:type="dxa"/>
                    <w:left w:w="57" w:type="dxa"/>
                    <w:bottom w:w="0" w:type="dxa"/>
                    <w:right w:w="57" w:type="dxa"/>
                  </w:tcMar>
                  <w:vAlign w:val="center"/>
                </w:tcPr>
                <w:p w14:paraId="2B74414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项目不涉及</w:t>
                  </w:r>
                  <w:r>
                    <w:rPr>
                      <w:rFonts w:hint="eastAsia"/>
                      <w:color w:val="000000" w:themeColor="text1"/>
                      <w:kern w:val="0"/>
                      <w:sz w:val="21"/>
                      <w:szCs w:val="21"/>
                      <w:highlight w:val="none"/>
                      <w:lang w:val="en-US" w:eastAsia="zh-CN"/>
                      <w14:textFill>
                        <w14:solidFill>
                          <w14:schemeClr w14:val="tx1"/>
                        </w14:solidFill>
                      </w14:textFill>
                    </w:rPr>
                    <w:t>粉状物料。</w:t>
                  </w:r>
                </w:p>
              </w:tc>
              <w:tc>
                <w:tcPr>
                  <w:tcW w:w="560" w:type="pct"/>
                  <w:tcMar>
                    <w:top w:w="0" w:type="dxa"/>
                    <w:left w:w="57" w:type="dxa"/>
                    <w:bottom w:w="0" w:type="dxa"/>
                    <w:right w:w="57" w:type="dxa"/>
                  </w:tcMar>
                  <w:vAlign w:val="center"/>
                </w:tcPr>
                <w:p w14:paraId="329AF58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21D6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561C85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C689D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制芯工序宜设置在封闭空间内，并配备VOCs设施。</w:t>
                  </w:r>
                </w:p>
              </w:tc>
              <w:tc>
                <w:tcPr>
                  <w:tcW w:w="2001" w:type="pct"/>
                  <w:tcMar>
                    <w:top w:w="0" w:type="dxa"/>
                    <w:left w:w="57" w:type="dxa"/>
                    <w:bottom w:w="0" w:type="dxa"/>
                    <w:right w:w="57" w:type="dxa"/>
                  </w:tcMar>
                  <w:vAlign w:val="center"/>
                </w:tcPr>
                <w:p w14:paraId="73E4A5B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不涉及</w:t>
                  </w:r>
                  <w:r>
                    <w:rPr>
                      <w:color w:val="000000" w:themeColor="text1"/>
                      <w:kern w:val="0"/>
                      <w:sz w:val="21"/>
                      <w:szCs w:val="21"/>
                      <w:highlight w:val="none"/>
                      <w14:textFill>
                        <w14:solidFill>
                          <w14:schemeClr w14:val="tx1"/>
                        </w14:solidFill>
                      </w14:textFill>
                    </w:rPr>
                    <w:t>制芯</w:t>
                  </w:r>
                  <w:r>
                    <w:rPr>
                      <w:rFonts w:hint="eastAsia"/>
                      <w:color w:val="000000" w:themeColor="text1"/>
                      <w:kern w:val="0"/>
                      <w:sz w:val="21"/>
                      <w:szCs w:val="21"/>
                      <w:highlight w:val="none"/>
                      <w:lang w:val="en-US" w:eastAsia="zh-CN"/>
                      <w14:textFill>
                        <w14:solidFill>
                          <w14:schemeClr w14:val="tx1"/>
                        </w14:solidFill>
                      </w14:textFill>
                    </w:rPr>
                    <w:t>工序</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362E5F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853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4CB42E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5A47D3B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冷芯盒、热芯盒制芯工艺的取芯和修整工位应配备排风罩和VOCs治理设施。</w:t>
                  </w:r>
                </w:p>
              </w:tc>
              <w:tc>
                <w:tcPr>
                  <w:tcW w:w="2001" w:type="pct"/>
                  <w:tcMar>
                    <w:top w:w="0" w:type="dxa"/>
                    <w:left w:w="57" w:type="dxa"/>
                    <w:bottom w:w="0" w:type="dxa"/>
                    <w:right w:w="57" w:type="dxa"/>
                  </w:tcMar>
                  <w:vAlign w:val="center"/>
                </w:tcPr>
                <w:p w14:paraId="15DBFB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不涉及</w:t>
                  </w:r>
                  <w:r>
                    <w:rPr>
                      <w:color w:val="000000" w:themeColor="text1"/>
                      <w:kern w:val="0"/>
                      <w:sz w:val="21"/>
                      <w:szCs w:val="21"/>
                      <w:highlight w:val="none"/>
                      <w14:textFill>
                        <w14:solidFill>
                          <w14:schemeClr w14:val="tx1"/>
                        </w14:solidFill>
                      </w14:textFill>
                    </w:rPr>
                    <w:t>冷芯盒、热芯盒制芯工艺</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60C7CDE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A970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EF5554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52FA2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冲天炉废气治理系统应配备干式或湿式脱硫设施、袋式除尘器等脱硫、除尘设施。</w:t>
                  </w:r>
                </w:p>
              </w:tc>
              <w:tc>
                <w:tcPr>
                  <w:tcW w:w="2001" w:type="pct"/>
                  <w:tcMar>
                    <w:top w:w="0" w:type="dxa"/>
                    <w:left w:w="57" w:type="dxa"/>
                    <w:bottom w:w="0" w:type="dxa"/>
                    <w:right w:w="57" w:type="dxa"/>
                  </w:tcMar>
                  <w:vAlign w:val="center"/>
                </w:tcPr>
                <w:p w14:paraId="775728C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本项目不涉及</w:t>
                  </w:r>
                  <w:r>
                    <w:rPr>
                      <w:rFonts w:hint="eastAsia"/>
                      <w:color w:val="000000" w:themeColor="text1"/>
                      <w:kern w:val="0"/>
                      <w:sz w:val="21"/>
                      <w:szCs w:val="21"/>
                      <w:highlight w:val="none"/>
                      <w:lang w:val="en-US" w:eastAsia="zh-CN"/>
                      <w14:textFill>
                        <w14:solidFill>
                          <w14:schemeClr w14:val="tx1"/>
                        </w14:solidFill>
                      </w14:textFill>
                    </w:rPr>
                    <w:t>冲天炉。</w:t>
                  </w:r>
                </w:p>
              </w:tc>
              <w:tc>
                <w:tcPr>
                  <w:tcW w:w="560" w:type="pct"/>
                  <w:tcMar>
                    <w:top w:w="0" w:type="dxa"/>
                    <w:left w:w="57" w:type="dxa"/>
                    <w:bottom w:w="0" w:type="dxa"/>
                    <w:right w:w="57" w:type="dxa"/>
                  </w:tcMar>
                  <w:vAlign w:val="center"/>
                </w:tcPr>
                <w:p w14:paraId="12B0057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B2A1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21960A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2F340B2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熔炼工序的废气治理系统应配备袋式除尘器等除尘设施。</w:t>
                  </w:r>
                </w:p>
              </w:tc>
              <w:tc>
                <w:tcPr>
                  <w:tcW w:w="2001" w:type="pct"/>
                  <w:tcMar>
                    <w:top w:w="0" w:type="dxa"/>
                    <w:left w:w="57" w:type="dxa"/>
                    <w:bottom w:w="0" w:type="dxa"/>
                    <w:right w:w="57" w:type="dxa"/>
                  </w:tcMar>
                  <w:vAlign w:val="center"/>
                </w:tcPr>
                <w:p w14:paraId="311B0D3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项目熔炼工序配套耐高温袋式除尘器</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35978D5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2CE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7D1CE8E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639872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孕育、变质、炉外精炼、除气等金属液预处理工序应在封闭或半封闭空间内操作，并配备袋式除尘器、滤简式除尘器等除尘设施。</w:t>
                  </w:r>
                </w:p>
              </w:tc>
              <w:tc>
                <w:tcPr>
                  <w:tcW w:w="2001" w:type="pct"/>
                  <w:tcMar>
                    <w:top w:w="0" w:type="dxa"/>
                    <w:left w:w="57" w:type="dxa"/>
                    <w:bottom w:w="0" w:type="dxa"/>
                    <w:right w:w="57" w:type="dxa"/>
                  </w:tcMar>
                  <w:vAlign w:val="center"/>
                </w:tcPr>
                <w:p w14:paraId="6E491EB6">
                  <w:pPr>
                    <w:pStyle w:val="17"/>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w:t>
                  </w:r>
                  <w:r>
                    <w:rPr>
                      <w:rFonts w:hint="eastAsia"/>
                      <w:color w:val="000000" w:themeColor="text1"/>
                      <w:sz w:val="21"/>
                      <w:szCs w:val="21"/>
                      <w:highlight w:val="none"/>
                      <w:lang w:val="en-US" w:eastAsia="zh-CN"/>
                      <w14:textFill>
                        <w14:solidFill>
                          <w14:schemeClr w14:val="tx1"/>
                        </w14:solidFill>
                      </w14:textFill>
                    </w:rPr>
                    <w:t>不涉及</w:t>
                  </w:r>
                  <w:r>
                    <w:rPr>
                      <w:color w:val="000000" w:themeColor="text1"/>
                      <w:kern w:val="0"/>
                      <w:sz w:val="21"/>
                      <w:szCs w:val="21"/>
                      <w:highlight w:val="none"/>
                      <w14:textFill>
                        <w14:solidFill>
                          <w14:schemeClr w14:val="tx1"/>
                        </w14:solidFill>
                      </w14:textFill>
                    </w:rPr>
                    <w:t>金属液预处理工序</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898D0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40723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52ACC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18F69FF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浇注工位应设置在封闭空间内操作或配备移动式排风罩，并配备袋式除尘器、滤筒式除尘器等除尘设施。</w:t>
                  </w:r>
                </w:p>
              </w:tc>
              <w:tc>
                <w:tcPr>
                  <w:tcW w:w="2001" w:type="pct"/>
                  <w:tcMar>
                    <w:top w:w="0" w:type="dxa"/>
                    <w:left w:w="57" w:type="dxa"/>
                    <w:bottom w:w="0" w:type="dxa"/>
                    <w:right w:w="57" w:type="dxa"/>
                  </w:tcMar>
                  <w:vAlign w:val="center"/>
                </w:tcPr>
                <w:p w14:paraId="78980A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项目浇注工位</w:t>
                  </w:r>
                  <w:r>
                    <w:rPr>
                      <w:rFonts w:hint="default"/>
                      <w:color w:val="000000" w:themeColor="text1"/>
                      <w:kern w:val="0"/>
                      <w:sz w:val="21"/>
                      <w:szCs w:val="21"/>
                      <w:highlight w:val="none"/>
                      <w:lang w:val="en-US" w:eastAsia="zh-CN"/>
                      <w14:textFill>
                        <w14:solidFill>
                          <w14:schemeClr w14:val="tx1"/>
                        </w14:solidFill>
                      </w14:textFill>
                    </w:rPr>
                    <w:t>设置</w:t>
                  </w:r>
                  <w:r>
                    <w:rPr>
                      <w:rFonts w:hint="eastAsia"/>
                      <w:color w:val="000000" w:themeColor="text1"/>
                      <w:kern w:val="0"/>
                      <w:sz w:val="21"/>
                      <w:szCs w:val="21"/>
                      <w:highlight w:val="none"/>
                      <w:lang w:val="en-US" w:eastAsia="zh-CN"/>
                      <w14:textFill>
                        <w14:solidFill>
                          <w14:schemeClr w14:val="tx1"/>
                        </w14:solidFill>
                      </w14:textFill>
                    </w:rPr>
                    <w:t>集气</w:t>
                  </w:r>
                  <w:r>
                    <w:rPr>
                      <w:rFonts w:hint="default"/>
                      <w:color w:val="000000" w:themeColor="text1"/>
                      <w:kern w:val="0"/>
                      <w:sz w:val="21"/>
                      <w:szCs w:val="21"/>
                      <w:highlight w:val="none"/>
                      <w:lang w:val="en-US" w:eastAsia="zh-CN"/>
                      <w14:textFill>
                        <w14:solidFill>
                          <w14:schemeClr w14:val="tx1"/>
                        </w14:solidFill>
                      </w14:textFill>
                    </w:rPr>
                    <w:t>罩</w:t>
                  </w:r>
                  <w:r>
                    <w:rPr>
                      <w:rFonts w:hint="default"/>
                      <w:color w:val="000000" w:themeColor="text1"/>
                      <w:kern w:val="0"/>
                      <w:sz w:val="21"/>
                      <w:szCs w:val="21"/>
                      <w:highlight w:val="none"/>
                      <w14:textFill>
                        <w14:solidFill>
                          <w14:schemeClr w14:val="tx1"/>
                        </w14:solidFill>
                      </w14:textFill>
                    </w:rPr>
                    <w:t>收集</w:t>
                  </w:r>
                  <w:r>
                    <w:rPr>
                      <w:color w:val="000000" w:themeColor="text1"/>
                      <w:kern w:val="0"/>
                      <w:sz w:val="21"/>
                      <w:szCs w:val="21"/>
                      <w:highlight w:val="none"/>
                      <w14:textFill>
                        <w14:solidFill>
                          <w14:schemeClr w14:val="tx1"/>
                        </w14:solidFill>
                      </w14:textFill>
                    </w:rPr>
                    <w:t>浇注废气并配套相应有效的有机废气处理设施和袋式除尘器</w:t>
                  </w:r>
                  <w:r>
                    <w:rPr>
                      <w:rFonts w:hint="eastAsia"/>
                      <w:color w:val="000000" w:themeColor="text1"/>
                      <w:kern w:val="0"/>
                      <w:sz w:val="21"/>
                      <w:szCs w:val="21"/>
                      <w:highlight w:val="none"/>
                      <w:lang w:val="en-US" w:eastAsia="zh-CN"/>
                      <w14:textFill>
                        <w14:solidFill>
                          <w14:schemeClr w14:val="tx1"/>
                        </w14:solidFill>
                      </w14:textFill>
                    </w:rPr>
                    <w:t>等</w:t>
                  </w:r>
                  <w:r>
                    <w:rPr>
                      <w:color w:val="000000" w:themeColor="text1"/>
                      <w:kern w:val="0"/>
                      <w:sz w:val="21"/>
                      <w:szCs w:val="21"/>
                      <w:highlight w:val="none"/>
                      <w14:textFill>
                        <w14:solidFill>
                          <w14:schemeClr w14:val="tx1"/>
                        </w14:solidFill>
                      </w14:textFill>
                    </w:rPr>
                    <w:t>除尘设施</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201EE6F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57D66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ADEF87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7BA2390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落砂、砂处理、铸件去除浇冒口、喷</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抛</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丸清理、精整打磨等工序宜在封闭空间内操作并配备除尘设施</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未在封闭空间内操作的，应采用固定式、移动式排风罩，并配备除尘设施。</w:t>
                  </w:r>
                </w:p>
              </w:tc>
              <w:tc>
                <w:tcPr>
                  <w:tcW w:w="2001" w:type="pct"/>
                  <w:tcMar>
                    <w:top w:w="0" w:type="dxa"/>
                    <w:left w:w="57" w:type="dxa"/>
                    <w:bottom w:w="0" w:type="dxa"/>
                    <w:right w:w="57" w:type="dxa"/>
                  </w:tcMar>
                  <w:vAlign w:val="center"/>
                </w:tcPr>
                <w:p w14:paraId="33690E7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i w:val="0"/>
                      <w:iCs w:val="0"/>
                      <w:color w:val="000000" w:themeColor="text1"/>
                      <w:kern w:val="0"/>
                      <w:sz w:val="21"/>
                      <w:szCs w:val="21"/>
                      <w:highlight w:val="none"/>
                      <w:lang w:val="en-US" w:eastAsia="zh-CN"/>
                      <w14:textFill>
                        <w14:solidFill>
                          <w14:schemeClr w14:val="tx1"/>
                        </w14:solidFill>
                      </w14:textFill>
                    </w:rPr>
                    <w:t>本项目砂处理、</w:t>
                  </w:r>
                  <w:r>
                    <w:rPr>
                      <w:i w:val="0"/>
                      <w:iCs w:val="0"/>
                      <w:color w:val="000000" w:themeColor="text1"/>
                      <w:kern w:val="0"/>
                      <w:sz w:val="21"/>
                      <w:szCs w:val="21"/>
                      <w:highlight w:val="none"/>
                      <w14:textFill>
                        <w14:solidFill>
                          <w14:schemeClr w14:val="tx1"/>
                        </w14:solidFill>
                      </w14:textFill>
                    </w:rPr>
                    <w:t>抛丸均在封闭空间内操作并配备除尘设施</w:t>
                  </w:r>
                  <w:r>
                    <w:rPr>
                      <w:rFonts w:hint="eastAsia"/>
                      <w:i w:val="0"/>
                      <w:iCs w:val="0"/>
                      <w:color w:val="000000" w:themeColor="text1"/>
                      <w:kern w:val="0"/>
                      <w:sz w:val="21"/>
                      <w:szCs w:val="21"/>
                      <w:highlight w:val="none"/>
                      <w:lang w:eastAsia="zh-CN"/>
                      <w14:textFill>
                        <w14:solidFill>
                          <w14:schemeClr w14:val="tx1"/>
                        </w14:solidFill>
                      </w14:textFill>
                    </w:rPr>
                    <w:t>；</w:t>
                  </w:r>
                  <w:r>
                    <w:rPr>
                      <w:rFonts w:hint="eastAsia"/>
                      <w:i w:val="0"/>
                      <w:iCs w:val="0"/>
                      <w:color w:val="000000" w:themeColor="text1"/>
                      <w:kern w:val="0"/>
                      <w:sz w:val="21"/>
                      <w:szCs w:val="21"/>
                      <w:highlight w:val="none"/>
                      <w14:textFill>
                        <w14:solidFill>
                          <w14:schemeClr w14:val="tx1"/>
                        </w14:solidFill>
                      </w14:textFill>
                    </w:rPr>
                    <w:t>打磨</w:t>
                  </w:r>
                  <w:r>
                    <w:rPr>
                      <w:i w:val="0"/>
                      <w:iCs w:val="0"/>
                      <w:color w:val="000000" w:themeColor="text1"/>
                      <w:kern w:val="0"/>
                      <w:sz w:val="21"/>
                      <w:szCs w:val="21"/>
                      <w:highlight w:val="none"/>
                      <w14:textFill>
                        <w14:solidFill>
                          <w14:schemeClr w14:val="tx1"/>
                        </w14:solidFill>
                      </w14:textFill>
                    </w:rPr>
                    <w:t>工序采用固定式排风罩，并配备除尘设施</w:t>
                  </w:r>
                  <w:r>
                    <w:rPr>
                      <w:rFonts w:hint="eastAsia"/>
                      <w:i w:val="0"/>
                      <w:iCs w:val="0"/>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153F22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5FB9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0CDE3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3728770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粘土砂、覆膜砂、树脂砂铸型冷却区域应在封闭空间内作业，或配备移动式排风罩、固定式排风罩，并配备除尘和VOCs治理设施。</w:t>
                  </w:r>
                </w:p>
              </w:tc>
              <w:tc>
                <w:tcPr>
                  <w:tcW w:w="2001" w:type="pct"/>
                  <w:tcMar>
                    <w:top w:w="0" w:type="dxa"/>
                    <w:left w:w="57" w:type="dxa"/>
                    <w:bottom w:w="0" w:type="dxa"/>
                    <w:right w:w="57" w:type="dxa"/>
                  </w:tcMar>
                  <w:vAlign w:val="center"/>
                </w:tcPr>
                <w:p w14:paraId="0E93062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项目树脂砂铸型冷却</w:t>
                  </w:r>
                  <w:r>
                    <w:rPr>
                      <w:rFonts w:hint="eastAsia"/>
                      <w:color w:val="000000" w:themeColor="text1"/>
                      <w:kern w:val="0"/>
                      <w:sz w:val="21"/>
                      <w:szCs w:val="21"/>
                      <w:highlight w:val="none"/>
                      <w:lang w:val="en-US" w:eastAsia="zh-CN"/>
                      <w14:textFill>
                        <w14:solidFill>
                          <w14:schemeClr w14:val="tx1"/>
                        </w14:solidFill>
                      </w14:textFill>
                    </w:rPr>
                    <w:t>工序</w:t>
                  </w:r>
                  <w:r>
                    <w:rPr>
                      <w:color w:val="000000" w:themeColor="text1"/>
                      <w:kern w:val="0"/>
                      <w:sz w:val="21"/>
                      <w:szCs w:val="21"/>
                      <w:highlight w:val="none"/>
                      <w14:textFill>
                        <w14:solidFill>
                          <w14:schemeClr w14:val="tx1"/>
                        </w14:solidFill>
                      </w14:textFill>
                    </w:rPr>
                    <w:t>在封闭空间内作业，并配套除尘和VOCs治理设施</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B3BAD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5A3F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7587774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0F53F6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使用地坑式造型的落砂工序宜设置排风罩并配备除尘设施或采取喷雾抑尘措施。</w:t>
                  </w:r>
                </w:p>
              </w:tc>
              <w:tc>
                <w:tcPr>
                  <w:tcW w:w="2001" w:type="pct"/>
                  <w:tcMar>
                    <w:top w:w="0" w:type="dxa"/>
                    <w:left w:w="57" w:type="dxa"/>
                    <w:bottom w:w="0" w:type="dxa"/>
                    <w:right w:w="57" w:type="dxa"/>
                  </w:tcMar>
                  <w:vAlign w:val="center"/>
                </w:tcPr>
                <w:p w14:paraId="1B3FBD8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落砂工序</w:t>
                  </w:r>
                  <w:r>
                    <w:rPr>
                      <w:color w:val="000000" w:themeColor="text1"/>
                      <w:kern w:val="0"/>
                      <w:sz w:val="21"/>
                      <w:szCs w:val="21"/>
                      <w:highlight w:val="none"/>
                      <w14:textFill>
                        <w14:solidFill>
                          <w14:schemeClr w14:val="tx1"/>
                        </w14:solidFill>
                      </w14:textFill>
                    </w:rPr>
                    <w:t>设置</w:t>
                  </w:r>
                  <w:r>
                    <w:rPr>
                      <w:rFonts w:hint="eastAsia"/>
                      <w:color w:val="000000" w:themeColor="text1"/>
                      <w:kern w:val="0"/>
                      <w:sz w:val="21"/>
                      <w:szCs w:val="21"/>
                      <w:highlight w:val="none"/>
                      <w:lang w:val="en-US" w:eastAsia="zh-CN"/>
                      <w14:textFill>
                        <w14:solidFill>
                          <w14:schemeClr w14:val="tx1"/>
                        </w14:solidFill>
                      </w14:textFill>
                    </w:rPr>
                    <w:t>集气</w:t>
                  </w:r>
                  <w:r>
                    <w:rPr>
                      <w:color w:val="000000" w:themeColor="text1"/>
                      <w:kern w:val="0"/>
                      <w:sz w:val="21"/>
                      <w:szCs w:val="21"/>
                      <w:highlight w:val="none"/>
                      <w14:textFill>
                        <w14:solidFill>
                          <w14:schemeClr w14:val="tx1"/>
                        </w14:solidFill>
                      </w14:textFill>
                    </w:rPr>
                    <w:t>罩并配备除尘设施</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6416E5E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1B7F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421F25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3E1DAF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旧砂再生工序的各个产尘点应配备排风罩，并配备袋式除尘器、滤筒式除尘器等除尘设施。</w:t>
                  </w:r>
                </w:p>
              </w:tc>
              <w:tc>
                <w:tcPr>
                  <w:tcW w:w="2001" w:type="pct"/>
                  <w:tcMar>
                    <w:top w:w="0" w:type="dxa"/>
                    <w:left w:w="57" w:type="dxa"/>
                    <w:bottom w:w="0" w:type="dxa"/>
                    <w:right w:w="57" w:type="dxa"/>
                  </w:tcMar>
                  <w:vAlign w:val="center"/>
                </w:tcPr>
                <w:p w14:paraId="499C3BA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本项目旧砂再生工序的各个产尘点配备排风罩，并配备除尘设施。</w:t>
                  </w:r>
                </w:p>
              </w:tc>
              <w:tc>
                <w:tcPr>
                  <w:tcW w:w="560" w:type="pct"/>
                  <w:tcMar>
                    <w:top w:w="0" w:type="dxa"/>
                    <w:left w:w="57" w:type="dxa"/>
                    <w:bottom w:w="0" w:type="dxa"/>
                    <w:right w:w="57" w:type="dxa"/>
                  </w:tcMar>
                  <w:vAlign w:val="center"/>
                </w:tcPr>
                <w:p w14:paraId="295E8E2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CE81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23075F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069A521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旧砂热法再生的废气治理系统应配备除尘、脱硫和VOCs治理设施，除尘设施宜选择袋式或滤筒式除尘器等除尘设施，脱硫设施宜选择干法或湿法等脱硫设施，VOCs治理设施宜选择吸附法并配备燃烧法废气处理设施。</w:t>
                  </w:r>
                </w:p>
              </w:tc>
              <w:tc>
                <w:tcPr>
                  <w:tcW w:w="2001" w:type="pct"/>
                  <w:tcMar>
                    <w:top w:w="0" w:type="dxa"/>
                    <w:left w:w="57" w:type="dxa"/>
                    <w:bottom w:w="0" w:type="dxa"/>
                    <w:right w:w="57" w:type="dxa"/>
                  </w:tcMar>
                  <w:vAlign w:val="center"/>
                </w:tcPr>
                <w:p w14:paraId="1DBA9D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本项目不涉及旧砂热法再生</w:t>
                  </w:r>
                  <w:r>
                    <w:rPr>
                      <w:rFonts w:hint="eastAsia"/>
                      <w:color w:val="000000" w:themeColor="text1"/>
                      <w:kern w:val="0"/>
                      <w:sz w:val="21"/>
                      <w:szCs w:val="21"/>
                      <w:highlight w:val="none"/>
                      <w:lang w:val="en-US" w:eastAsia="zh-CN"/>
                      <w14:textFill>
                        <w14:solidFill>
                          <w14:schemeClr w14:val="tx1"/>
                        </w14:solidFill>
                      </w14:textFill>
                    </w:rPr>
                    <w:t>工序</w:t>
                  </w:r>
                </w:p>
              </w:tc>
              <w:tc>
                <w:tcPr>
                  <w:tcW w:w="560" w:type="pct"/>
                  <w:tcMar>
                    <w:top w:w="0" w:type="dxa"/>
                    <w:left w:w="57" w:type="dxa"/>
                    <w:bottom w:w="0" w:type="dxa"/>
                    <w:right w:w="57" w:type="dxa"/>
                  </w:tcMar>
                  <w:vAlign w:val="center"/>
                </w:tcPr>
                <w:p w14:paraId="6402D7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093AB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10BA0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6D7133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铸件油漆涂装工艺的废气治理系统应配备漆雾预处理和VOCs治理设施。</w:t>
                  </w:r>
                </w:p>
              </w:tc>
              <w:tc>
                <w:tcPr>
                  <w:tcW w:w="2001" w:type="pct"/>
                  <w:tcMar>
                    <w:top w:w="0" w:type="dxa"/>
                    <w:left w:w="57" w:type="dxa"/>
                    <w:bottom w:w="0" w:type="dxa"/>
                    <w:right w:w="57" w:type="dxa"/>
                  </w:tcMar>
                  <w:vAlign w:val="center"/>
                </w:tcPr>
                <w:p w14:paraId="510C249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本项目不涉及油漆涂装工艺</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0A94C33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196DF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929A0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3069757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铸件喷粉涂装工艺的废气治理系统应配备袋式、滤简式除尘设施等除尘设施。</w:t>
                  </w:r>
                </w:p>
              </w:tc>
              <w:tc>
                <w:tcPr>
                  <w:tcW w:w="2001" w:type="pct"/>
                  <w:tcMar>
                    <w:top w:w="0" w:type="dxa"/>
                    <w:left w:w="57" w:type="dxa"/>
                    <w:bottom w:w="0" w:type="dxa"/>
                    <w:right w:w="57" w:type="dxa"/>
                  </w:tcMar>
                  <w:vAlign w:val="center"/>
                </w:tcPr>
                <w:p w14:paraId="003F48A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本项目不涉及喷粉涂装</w:t>
                  </w:r>
                  <w:r>
                    <w:rPr>
                      <w:rFonts w:hint="eastAsia"/>
                      <w:color w:val="000000" w:themeColor="text1"/>
                      <w:kern w:val="0"/>
                      <w:sz w:val="21"/>
                      <w:szCs w:val="21"/>
                      <w:highlight w:val="none"/>
                      <w:lang w:val="en-US" w:eastAsia="zh-CN"/>
                      <w14:textFill>
                        <w14:solidFill>
                          <w14:schemeClr w14:val="tx1"/>
                        </w14:solidFill>
                      </w14:textFill>
                    </w:rPr>
                    <w:t>工序。</w:t>
                  </w:r>
                </w:p>
              </w:tc>
              <w:tc>
                <w:tcPr>
                  <w:tcW w:w="560" w:type="pct"/>
                  <w:tcMar>
                    <w:top w:w="0" w:type="dxa"/>
                    <w:left w:w="57" w:type="dxa"/>
                    <w:bottom w:w="0" w:type="dxa"/>
                    <w:right w:w="57" w:type="dxa"/>
                  </w:tcMar>
                  <w:vAlign w:val="center"/>
                </w:tcPr>
                <w:p w14:paraId="46309C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5D73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373678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无组织排放控制</w:t>
                  </w:r>
                </w:p>
              </w:tc>
              <w:tc>
                <w:tcPr>
                  <w:tcW w:w="2031" w:type="pct"/>
                  <w:tcMar>
                    <w:top w:w="0" w:type="dxa"/>
                    <w:left w:w="57" w:type="dxa"/>
                    <w:bottom w:w="0" w:type="dxa"/>
                    <w:right w:w="57" w:type="dxa"/>
                  </w:tcMar>
                  <w:vAlign w:val="center"/>
                </w:tcPr>
                <w:p w14:paraId="733D8E5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厂区道路应硬化，并应采取清扫、洒水等措施。</w:t>
                  </w:r>
                </w:p>
              </w:tc>
              <w:tc>
                <w:tcPr>
                  <w:tcW w:w="2001" w:type="pct"/>
                  <w:tcMar>
                    <w:top w:w="0" w:type="dxa"/>
                    <w:left w:w="57" w:type="dxa"/>
                    <w:bottom w:w="0" w:type="dxa"/>
                    <w:right w:w="57" w:type="dxa"/>
                  </w:tcMar>
                  <w:vAlign w:val="center"/>
                </w:tcPr>
                <w:p w14:paraId="41ED90A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厂区道路已硬化，定期清扫、洒水</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489F98C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A842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281B4C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7F3D61E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车间、料库应封闭，通道口宜安装卷帘门、推拉门、提升门等封闭性良好且便于开关的门，在无车辆出入时呈关闭状态。</w:t>
                  </w:r>
                </w:p>
              </w:tc>
              <w:tc>
                <w:tcPr>
                  <w:tcW w:w="2001" w:type="pct"/>
                  <w:tcMar>
                    <w:top w:w="0" w:type="dxa"/>
                    <w:left w:w="57" w:type="dxa"/>
                    <w:bottom w:w="0" w:type="dxa"/>
                    <w:right w:w="57" w:type="dxa"/>
                  </w:tcMar>
                  <w:vAlign w:val="center"/>
                </w:tcPr>
                <w:p w14:paraId="6680D7D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车间封闭</w:t>
                  </w:r>
                  <w:r>
                    <w:rPr>
                      <w:rFonts w:hint="eastAsia"/>
                      <w:color w:val="000000" w:themeColor="text1"/>
                      <w:kern w:val="0"/>
                      <w:sz w:val="21"/>
                      <w:szCs w:val="21"/>
                      <w:highlight w:val="none"/>
                      <w:lang w:eastAsia="zh-CN"/>
                      <w14:textFill>
                        <w14:solidFill>
                          <w14:schemeClr w14:val="tx1"/>
                        </w14:solidFill>
                      </w14:textFill>
                    </w:rPr>
                    <w:t>、</w:t>
                  </w:r>
                  <w:r>
                    <w:rPr>
                      <w:color w:val="000000" w:themeColor="text1"/>
                      <w:kern w:val="0"/>
                      <w:sz w:val="21"/>
                      <w:szCs w:val="21"/>
                      <w:highlight w:val="none"/>
                      <w14:textFill>
                        <w14:solidFill>
                          <w14:schemeClr w14:val="tx1"/>
                        </w14:solidFill>
                      </w14:textFill>
                    </w:rPr>
                    <w:t>料库封闭，安装硬质推拉门，在无车辆进出时呈关闭状态</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06B0B9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5A7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E7B948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1DF9144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车间的门、外窗等开口部位不得有可见烟及粉尘外逸。</w:t>
                  </w:r>
                </w:p>
              </w:tc>
              <w:tc>
                <w:tcPr>
                  <w:tcW w:w="2001" w:type="pct"/>
                  <w:tcMar>
                    <w:top w:w="0" w:type="dxa"/>
                    <w:left w:w="57" w:type="dxa"/>
                    <w:bottom w:w="0" w:type="dxa"/>
                    <w:right w:w="57" w:type="dxa"/>
                  </w:tcMar>
                  <w:vAlign w:val="center"/>
                </w:tcPr>
                <w:p w14:paraId="100AFF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车间的门、外窗等开口部位无可见烟及粉尘外逸</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0144BB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1E3CC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9DEF9E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47BF543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煤粉、膨润土、硅砂等粉状物料应袋装或罐装，并储存于封闭储库中。</w:t>
                  </w:r>
                </w:p>
              </w:tc>
              <w:tc>
                <w:tcPr>
                  <w:tcW w:w="2001" w:type="pct"/>
                  <w:tcMar>
                    <w:top w:w="0" w:type="dxa"/>
                    <w:left w:w="57" w:type="dxa"/>
                    <w:bottom w:w="0" w:type="dxa"/>
                    <w:right w:w="57" w:type="dxa"/>
                  </w:tcMar>
                  <w:vAlign w:val="center"/>
                </w:tcPr>
                <w:p w14:paraId="60BC02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石英砂</w:t>
                  </w:r>
                  <w:r>
                    <w:rPr>
                      <w:color w:val="000000" w:themeColor="text1"/>
                      <w:kern w:val="0"/>
                      <w:sz w:val="21"/>
                      <w:szCs w:val="21"/>
                      <w:highlight w:val="none"/>
                      <w14:textFill>
                        <w14:solidFill>
                          <w14:schemeClr w14:val="tx1"/>
                        </w14:solidFill>
                      </w14:textFill>
                    </w:rPr>
                    <w:t>储于</w:t>
                  </w:r>
                  <w:r>
                    <w:rPr>
                      <w:rFonts w:hint="eastAsia"/>
                      <w:color w:val="000000" w:themeColor="text1"/>
                      <w:kern w:val="0"/>
                      <w:sz w:val="21"/>
                      <w:szCs w:val="21"/>
                      <w:highlight w:val="none"/>
                      <w:lang w:val="en-US" w:eastAsia="zh-CN"/>
                      <w14:textFill>
                        <w14:solidFill>
                          <w14:schemeClr w14:val="tx1"/>
                        </w14:solidFill>
                      </w14:textFill>
                    </w:rPr>
                    <w:t>封闭原料</w:t>
                  </w:r>
                  <w:r>
                    <w:rPr>
                      <w:color w:val="000000" w:themeColor="text1"/>
                      <w:kern w:val="0"/>
                      <w:sz w:val="21"/>
                      <w:szCs w:val="21"/>
                      <w:highlight w:val="none"/>
                      <w14:textFill>
                        <w14:solidFill>
                          <w14:schemeClr w14:val="tx1"/>
                        </w14:solidFill>
                      </w14:textFill>
                    </w:rPr>
                    <w:t>库</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6850946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1EFE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79BC0EC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1B416F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生铁、废钢、焦炭、铁合金及其他原材料、辅助材料等粒状、块状散装物料应储存于封闭储库中。</w:t>
                  </w:r>
                </w:p>
              </w:tc>
              <w:tc>
                <w:tcPr>
                  <w:tcW w:w="2001" w:type="pct"/>
                  <w:tcMar>
                    <w:top w:w="0" w:type="dxa"/>
                    <w:left w:w="57" w:type="dxa"/>
                    <w:bottom w:w="0" w:type="dxa"/>
                    <w:right w:w="57" w:type="dxa"/>
                  </w:tcMar>
                  <w:vAlign w:val="center"/>
                </w:tcPr>
                <w:p w14:paraId="453E7C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生铁、废钢等原料储于封闭原料</w:t>
                  </w:r>
                  <w:r>
                    <w:rPr>
                      <w:color w:val="000000" w:themeColor="text1"/>
                      <w:kern w:val="0"/>
                      <w:sz w:val="21"/>
                      <w:szCs w:val="21"/>
                      <w:highlight w:val="none"/>
                      <w14:textFill>
                        <w14:solidFill>
                          <w14:schemeClr w14:val="tx1"/>
                        </w14:solidFill>
                      </w14:textFill>
                    </w:rPr>
                    <w:t>库</w:t>
                  </w:r>
                  <w:r>
                    <w:rPr>
                      <w:rFonts w:hint="eastAsia"/>
                      <w:color w:val="000000" w:themeColor="text1"/>
                      <w:kern w:val="0"/>
                      <w:sz w:val="21"/>
                      <w:szCs w:val="21"/>
                      <w:highlight w:val="none"/>
                      <w:lang w:val="en-US" w:eastAsia="zh-CN"/>
                      <w14:textFill>
                        <w14:solidFill>
                          <w14:schemeClr w14:val="tx1"/>
                        </w14:solidFill>
                      </w14:textFill>
                    </w:rPr>
                    <w:t>内。</w:t>
                  </w:r>
                </w:p>
              </w:tc>
              <w:tc>
                <w:tcPr>
                  <w:tcW w:w="560" w:type="pct"/>
                  <w:tcMar>
                    <w:top w:w="0" w:type="dxa"/>
                    <w:left w:w="57" w:type="dxa"/>
                    <w:bottom w:w="0" w:type="dxa"/>
                    <w:right w:w="57" w:type="dxa"/>
                  </w:tcMar>
                  <w:vAlign w:val="center"/>
                </w:tcPr>
                <w:p w14:paraId="796A083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2DB95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3FFC68F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处理工艺</w:t>
                  </w:r>
                </w:p>
              </w:tc>
              <w:tc>
                <w:tcPr>
                  <w:tcW w:w="2031" w:type="pct"/>
                  <w:tcMar>
                    <w:top w:w="0" w:type="dxa"/>
                    <w:left w:w="57" w:type="dxa"/>
                    <w:bottom w:w="0" w:type="dxa"/>
                    <w:right w:w="57" w:type="dxa"/>
                  </w:tcMar>
                  <w:vAlign w:val="center"/>
                </w:tcPr>
                <w:p w14:paraId="063859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铸造工业大气污染物治理工程技术水平、设备配置、自动控制和检测应与铸造生产工艺、装备和管理要求相适应。治理工艺参见附录A。</w:t>
                  </w:r>
                </w:p>
              </w:tc>
              <w:tc>
                <w:tcPr>
                  <w:tcW w:w="2001" w:type="pct"/>
                  <w:tcMar>
                    <w:top w:w="0" w:type="dxa"/>
                    <w:left w:w="57" w:type="dxa"/>
                    <w:bottom w:w="0" w:type="dxa"/>
                    <w:right w:w="57" w:type="dxa"/>
                  </w:tcMar>
                  <w:vAlign w:val="center"/>
                </w:tcPr>
                <w:p w14:paraId="56042EF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项目大气污染物治理工艺均符合附录A要求</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14E6201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F0C7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DC36E7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1E6C09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除尘器过滤材料的耐温和耐腐蚀性能应与废气温度和酸碱度相适应。</w:t>
                  </w:r>
                </w:p>
              </w:tc>
              <w:tc>
                <w:tcPr>
                  <w:tcW w:w="2001" w:type="pct"/>
                  <w:tcMar>
                    <w:top w:w="0" w:type="dxa"/>
                    <w:left w:w="57" w:type="dxa"/>
                    <w:bottom w:w="0" w:type="dxa"/>
                    <w:right w:w="57" w:type="dxa"/>
                  </w:tcMar>
                  <w:vAlign w:val="center"/>
                </w:tcPr>
                <w:p w14:paraId="055F1C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使用的</w:t>
                  </w:r>
                  <w:r>
                    <w:rPr>
                      <w:color w:val="000000" w:themeColor="text1"/>
                      <w:kern w:val="0"/>
                      <w:sz w:val="21"/>
                      <w:szCs w:val="21"/>
                      <w:highlight w:val="none"/>
                      <w14:textFill>
                        <w14:solidFill>
                          <w14:schemeClr w14:val="tx1"/>
                        </w14:solidFill>
                      </w14:textFill>
                    </w:rPr>
                    <w:t>除尘器过滤材料的耐温和耐腐蚀性能应与废气温度和酸碱度相适应</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C7FBE0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7687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8200C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421482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袋式除尘器和滤筒式除尘器应选用覆膜滤料等过滤材料。袋式除尘器用覆膜滤料应符合HJ/T326的规定。滤简用滤料应符合JB/T10341的规定。</w:t>
                  </w:r>
                </w:p>
              </w:tc>
              <w:tc>
                <w:tcPr>
                  <w:tcW w:w="2001" w:type="pct"/>
                  <w:tcMar>
                    <w:top w:w="0" w:type="dxa"/>
                    <w:left w:w="57" w:type="dxa"/>
                    <w:bottom w:w="0" w:type="dxa"/>
                    <w:right w:w="57" w:type="dxa"/>
                  </w:tcMar>
                  <w:vAlign w:val="center"/>
                </w:tcPr>
                <w:p w14:paraId="7C30D72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14:textFill>
                        <w14:solidFill>
                          <w14:schemeClr w14:val="tx1"/>
                        </w14:solidFill>
                      </w14:textFill>
                    </w:rPr>
                    <w:t>本项目采用符合要求的袋式除尘器</w:t>
                  </w:r>
                </w:p>
              </w:tc>
              <w:tc>
                <w:tcPr>
                  <w:tcW w:w="560" w:type="pct"/>
                  <w:tcMar>
                    <w:top w:w="0" w:type="dxa"/>
                    <w:left w:w="57" w:type="dxa"/>
                    <w:bottom w:w="0" w:type="dxa"/>
                    <w:right w:w="57" w:type="dxa"/>
                  </w:tcMar>
                  <w:vAlign w:val="center"/>
                </w:tcPr>
                <w:p w14:paraId="61DCAC4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062B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376218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4E6E15C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废气中SO</w:t>
                  </w:r>
                  <w:r>
                    <w:rPr>
                      <w:color w:val="000000" w:themeColor="text1"/>
                      <w:kern w:val="0"/>
                      <w:sz w:val="21"/>
                      <w:szCs w:val="21"/>
                      <w:highlight w:val="none"/>
                      <w:vertAlign w:val="subscript"/>
                      <w14:textFill>
                        <w14:solidFill>
                          <w14:schemeClr w14:val="tx1"/>
                        </w14:solidFill>
                      </w14:textFill>
                    </w:rPr>
                    <w:t>2</w:t>
                  </w:r>
                  <w:r>
                    <w:rPr>
                      <w:color w:val="000000" w:themeColor="text1"/>
                      <w:kern w:val="0"/>
                      <w:sz w:val="21"/>
                      <w:szCs w:val="21"/>
                      <w:highlight w:val="none"/>
                      <w14:textFill>
                        <w14:solidFill>
                          <w14:schemeClr w14:val="tx1"/>
                        </w14:solidFill>
                      </w14:textFill>
                    </w:rPr>
                    <w:t>的治理应采用干法或湿法等脱硫技术。</w:t>
                  </w:r>
                </w:p>
              </w:tc>
              <w:tc>
                <w:tcPr>
                  <w:tcW w:w="2001" w:type="pct"/>
                  <w:tcMar>
                    <w:top w:w="0" w:type="dxa"/>
                    <w:left w:w="57" w:type="dxa"/>
                    <w:bottom w:w="0" w:type="dxa"/>
                    <w:right w:w="57" w:type="dxa"/>
                  </w:tcMar>
                  <w:vAlign w:val="center"/>
                </w:tcPr>
                <w:p w14:paraId="28F437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本项目不涉及SO</w:t>
                  </w:r>
                  <w:r>
                    <w:rPr>
                      <w:color w:val="000000" w:themeColor="text1"/>
                      <w:kern w:val="0"/>
                      <w:sz w:val="21"/>
                      <w:szCs w:val="21"/>
                      <w:highlight w:val="none"/>
                      <w:vertAlign w:val="subscript"/>
                      <w14:textFill>
                        <w14:solidFill>
                          <w14:schemeClr w14:val="tx1"/>
                        </w14:solidFill>
                      </w14:textFill>
                    </w:rPr>
                    <w:t>2</w:t>
                  </w:r>
                  <w:r>
                    <w:rPr>
                      <w:rFonts w:hint="eastAsia"/>
                      <w:color w:val="000000" w:themeColor="text1"/>
                      <w:kern w:val="0"/>
                      <w:sz w:val="21"/>
                      <w:szCs w:val="21"/>
                      <w:highlight w:val="none"/>
                      <w:vertAlign w:val="baseline"/>
                      <w:lang w:val="en-US" w:eastAsia="zh-CN"/>
                      <w14:textFill>
                        <w14:solidFill>
                          <w14:schemeClr w14:val="tx1"/>
                        </w14:solidFill>
                      </w14:textFill>
                    </w:rPr>
                    <w:t>排放</w:t>
                  </w:r>
                </w:p>
              </w:tc>
              <w:tc>
                <w:tcPr>
                  <w:tcW w:w="560" w:type="pct"/>
                  <w:tcMar>
                    <w:top w:w="0" w:type="dxa"/>
                    <w:left w:w="57" w:type="dxa"/>
                    <w:bottom w:w="0" w:type="dxa"/>
                    <w:right w:w="57" w:type="dxa"/>
                  </w:tcMar>
                  <w:vAlign w:val="center"/>
                </w:tcPr>
                <w:p w14:paraId="366DA9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08E9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C85D5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6806FE8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冷芯盒废气中的三乙胺治理应采用吸收塔等处理技术。</w:t>
                  </w:r>
                </w:p>
              </w:tc>
              <w:tc>
                <w:tcPr>
                  <w:tcW w:w="2001" w:type="pct"/>
                  <w:tcMar>
                    <w:top w:w="0" w:type="dxa"/>
                    <w:left w:w="57" w:type="dxa"/>
                    <w:bottom w:w="0" w:type="dxa"/>
                    <w:right w:w="57" w:type="dxa"/>
                  </w:tcMar>
                  <w:vAlign w:val="center"/>
                </w:tcPr>
                <w:p w14:paraId="1E2E8FF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本项目不涉及</w:t>
                  </w:r>
                  <w:r>
                    <w:rPr>
                      <w:color w:val="000000" w:themeColor="text1"/>
                      <w:kern w:val="0"/>
                      <w:sz w:val="21"/>
                      <w:szCs w:val="21"/>
                      <w:highlight w:val="none"/>
                      <w14:textFill>
                        <w14:solidFill>
                          <w14:schemeClr w14:val="tx1"/>
                        </w14:solidFill>
                      </w14:textFill>
                    </w:rPr>
                    <w:t>冷芯盒</w:t>
                  </w:r>
                  <w:r>
                    <w:rPr>
                      <w:rFonts w:hint="eastAsia"/>
                      <w:color w:val="000000" w:themeColor="text1"/>
                      <w:kern w:val="0"/>
                      <w:sz w:val="21"/>
                      <w:szCs w:val="21"/>
                      <w:highlight w:val="none"/>
                      <w:lang w:val="en-US" w:eastAsia="zh-CN"/>
                      <w14:textFill>
                        <w14:solidFill>
                          <w14:schemeClr w14:val="tx1"/>
                        </w14:solidFill>
                      </w14:textFill>
                    </w:rPr>
                    <w:t>工艺</w:t>
                  </w:r>
                </w:p>
              </w:tc>
              <w:tc>
                <w:tcPr>
                  <w:tcW w:w="560" w:type="pct"/>
                  <w:tcMar>
                    <w:top w:w="0" w:type="dxa"/>
                    <w:left w:w="57" w:type="dxa"/>
                    <w:bottom w:w="0" w:type="dxa"/>
                    <w:right w:w="57" w:type="dxa"/>
                  </w:tcMar>
                  <w:vAlign w:val="center"/>
                </w:tcPr>
                <w:p w14:paraId="285D7B8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79D8A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6B5F86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18410D6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工艺生产过程中的有机废气的预处理工艺应根据废气的成分、性质、污染物的含量和后续VOCs处理设施要求等因素进行选择。</w:t>
                  </w:r>
                </w:p>
              </w:tc>
              <w:tc>
                <w:tcPr>
                  <w:tcW w:w="2001" w:type="pct"/>
                  <w:tcMar>
                    <w:top w:w="0" w:type="dxa"/>
                    <w:left w:w="57" w:type="dxa"/>
                    <w:bottom w:w="0" w:type="dxa"/>
                    <w:right w:w="57" w:type="dxa"/>
                  </w:tcMar>
                  <w:vAlign w:val="center"/>
                </w:tcPr>
                <w:p w14:paraId="0327CE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本项目不涉及</w:t>
                  </w:r>
                  <w:r>
                    <w:rPr>
                      <w:color w:val="000000" w:themeColor="text1"/>
                      <w:kern w:val="0"/>
                      <w:sz w:val="21"/>
                      <w:szCs w:val="21"/>
                      <w:highlight w:val="none"/>
                      <w14:textFill>
                        <w14:solidFill>
                          <w14:schemeClr w14:val="tx1"/>
                        </w14:solidFill>
                      </w14:textFill>
                    </w:rPr>
                    <w:t>有机废气预处理工艺</w:t>
                  </w:r>
                </w:p>
              </w:tc>
              <w:tc>
                <w:tcPr>
                  <w:tcW w:w="560" w:type="pct"/>
                  <w:tcMar>
                    <w:top w:w="0" w:type="dxa"/>
                    <w:left w:w="57" w:type="dxa"/>
                    <w:bottom w:w="0" w:type="dxa"/>
                    <w:right w:w="57" w:type="dxa"/>
                  </w:tcMar>
                  <w:vAlign w:val="center"/>
                </w:tcPr>
                <w:p w14:paraId="17C820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1958E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7393FED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2FF530B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工艺生产过程中有机废气的处理工艺应采用吸附法VOCs处理技术并配置燃烧法解吸废气处理设施等处理工艺。</w:t>
                  </w:r>
                </w:p>
              </w:tc>
              <w:tc>
                <w:tcPr>
                  <w:tcW w:w="2001" w:type="pct"/>
                  <w:tcMar>
                    <w:top w:w="0" w:type="dxa"/>
                    <w:left w:w="57" w:type="dxa"/>
                    <w:bottom w:w="0" w:type="dxa"/>
                    <w:right w:w="57" w:type="dxa"/>
                  </w:tcMar>
                  <w:vAlign w:val="center"/>
                </w:tcPr>
                <w:p w14:paraId="17D69BE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本项目有机废气采用</w:t>
                  </w:r>
                  <w:r>
                    <w:rPr>
                      <w:rFonts w:hint="eastAsia"/>
                      <w:color w:val="000000" w:themeColor="text1"/>
                      <w:sz w:val="21"/>
                      <w:szCs w:val="21"/>
                      <w:highlight w:val="none"/>
                      <w:lang w:val="en-US" w:eastAsia="zh-CN"/>
                      <w14:textFill>
                        <w14:solidFill>
                          <w14:schemeClr w14:val="tx1"/>
                        </w14:solidFill>
                      </w14:textFill>
                    </w:rPr>
                    <w:t>催化燃烧（RCO）</w:t>
                  </w:r>
                  <w:r>
                    <w:rPr>
                      <w:rFonts w:hint="eastAsia"/>
                      <w:color w:val="000000" w:themeColor="text1"/>
                      <w:kern w:val="0"/>
                      <w:sz w:val="21"/>
                      <w:szCs w:val="21"/>
                      <w:highlight w:val="none"/>
                      <w:lang w:val="en-US" w:eastAsia="zh-CN"/>
                      <w14:textFill>
                        <w14:solidFill>
                          <w14:schemeClr w14:val="tx1"/>
                        </w14:solidFill>
                      </w14:textFill>
                    </w:rPr>
                    <w:t>技术进行处理，符合绩效分级A级和排污许可证申请与核发技术规范要求。</w:t>
                  </w:r>
                </w:p>
              </w:tc>
              <w:tc>
                <w:tcPr>
                  <w:tcW w:w="560" w:type="pct"/>
                  <w:tcMar>
                    <w:top w:w="0" w:type="dxa"/>
                    <w:left w:w="57" w:type="dxa"/>
                    <w:bottom w:w="0" w:type="dxa"/>
                    <w:right w:w="57" w:type="dxa"/>
                  </w:tcMar>
                  <w:vAlign w:val="center"/>
                </w:tcPr>
                <w:p w14:paraId="5AAA976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7FA9C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158E28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BF2A47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铸件涂装工序挥发性有机物污染治理措施应符合DB41/T1946的规定。</w:t>
                  </w:r>
                </w:p>
              </w:tc>
              <w:tc>
                <w:tcPr>
                  <w:tcW w:w="2001" w:type="pct"/>
                  <w:tcMar>
                    <w:top w:w="0" w:type="dxa"/>
                    <w:left w:w="57" w:type="dxa"/>
                    <w:bottom w:w="0" w:type="dxa"/>
                    <w:right w:w="57" w:type="dxa"/>
                  </w:tcMar>
                  <w:vAlign w:val="center"/>
                </w:tcPr>
                <w:p w14:paraId="1D05B6D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w:t>
                  </w:r>
                  <w:r>
                    <w:rPr>
                      <w:rFonts w:hint="eastAsia"/>
                      <w:color w:val="000000" w:themeColor="text1"/>
                      <w:kern w:val="0"/>
                      <w:sz w:val="21"/>
                      <w:szCs w:val="21"/>
                      <w:highlight w:val="none"/>
                      <w:lang w:val="en-US" w:eastAsia="zh-CN"/>
                      <w14:textFill>
                        <w14:solidFill>
                          <w14:schemeClr w14:val="tx1"/>
                        </w14:solidFill>
                      </w14:textFill>
                    </w:rPr>
                    <w:t>不涉及</w:t>
                  </w:r>
                  <w:r>
                    <w:rPr>
                      <w:color w:val="000000" w:themeColor="text1"/>
                      <w:kern w:val="0"/>
                      <w:sz w:val="21"/>
                      <w:szCs w:val="21"/>
                      <w:highlight w:val="none"/>
                      <w14:textFill>
                        <w14:solidFill>
                          <w14:schemeClr w14:val="tx1"/>
                        </w14:solidFill>
                      </w14:textFill>
                    </w:rPr>
                    <w:t>涂装工序</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1692A56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23BF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5F244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22F5B87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有机废气治理的吸附</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脱附</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工艺应符合HJ/T386、HJ2026的规定。</w:t>
                  </w:r>
                </w:p>
              </w:tc>
              <w:tc>
                <w:tcPr>
                  <w:tcW w:w="2001" w:type="pct"/>
                  <w:tcMar>
                    <w:top w:w="0" w:type="dxa"/>
                    <w:left w:w="57" w:type="dxa"/>
                    <w:bottom w:w="0" w:type="dxa"/>
                    <w:right w:w="57" w:type="dxa"/>
                  </w:tcMar>
                  <w:vAlign w:val="center"/>
                </w:tcPr>
                <w:p w14:paraId="0989033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w:t>
                  </w:r>
                  <w:r>
                    <w:rPr>
                      <w:color w:val="000000" w:themeColor="text1"/>
                      <w:kern w:val="0"/>
                      <w:sz w:val="21"/>
                      <w:szCs w:val="21"/>
                      <w:highlight w:val="none"/>
                      <w14:textFill>
                        <w14:solidFill>
                          <w14:schemeClr w14:val="tx1"/>
                        </w14:solidFill>
                      </w14:textFill>
                    </w:rPr>
                    <w:t>项目有机废气吸附工艺符合HJ/T386、HJ2026的规定</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413528C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0FCF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29CB95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7A7F95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有机废气治理的催化燃烧工艺应符合HJ/T389、HJ2027的规定；蓄热燃烧工艺应符合HJ1093的规定。</w:t>
                  </w:r>
                </w:p>
              </w:tc>
              <w:tc>
                <w:tcPr>
                  <w:tcW w:w="2001" w:type="pct"/>
                  <w:tcMar>
                    <w:top w:w="0" w:type="dxa"/>
                    <w:left w:w="57" w:type="dxa"/>
                    <w:bottom w:w="0" w:type="dxa"/>
                    <w:right w:w="57" w:type="dxa"/>
                  </w:tcMar>
                  <w:vAlign w:val="center"/>
                </w:tcPr>
                <w:p w14:paraId="35F8B10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本项目</w:t>
                  </w:r>
                  <w:r>
                    <w:rPr>
                      <w:rFonts w:hint="eastAsia"/>
                      <w:color w:val="000000" w:themeColor="text1"/>
                      <w:kern w:val="0"/>
                      <w:sz w:val="21"/>
                      <w:szCs w:val="21"/>
                      <w:highlight w:val="none"/>
                      <w14:textFill>
                        <w14:solidFill>
                          <w14:schemeClr w14:val="tx1"/>
                        </w14:solidFill>
                      </w14:textFill>
                    </w:rPr>
                    <w:t>有机废气治理的催化燃烧工艺符合HJ/T389、HJ2027的规定</w:t>
                  </w:r>
                </w:p>
              </w:tc>
              <w:tc>
                <w:tcPr>
                  <w:tcW w:w="560" w:type="pct"/>
                  <w:tcMar>
                    <w:top w:w="0" w:type="dxa"/>
                    <w:left w:w="57" w:type="dxa"/>
                    <w:bottom w:w="0" w:type="dxa"/>
                    <w:right w:w="57" w:type="dxa"/>
                  </w:tcMar>
                  <w:vAlign w:val="center"/>
                </w:tcPr>
                <w:p w14:paraId="77867DD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6EBA9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5D6596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二次污染防治</w:t>
                  </w:r>
                </w:p>
              </w:tc>
              <w:tc>
                <w:tcPr>
                  <w:tcW w:w="2031" w:type="pct"/>
                  <w:tcMar>
                    <w:top w:w="0" w:type="dxa"/>
                    <w:left w:w="57" w:type="dxa"/>
                    <w:bottom w:w="0" w:type="dxa"/>
                    <w:right w:w="57" w:type="dxa"/>
                  </w:tcMar>
                  <w:vAlign w:val="center"/>
                </w:tcPr>
                <w:p w14:paraId="0F576C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脱硫、除尘等大气污染治理系统应配套废水、废渣、粉尘的储存或处理设施。</w:t>
                  </w:r>
                </w:p>
              </w:tc>
              <w:tc>
                <w:tcPr>
                  <w:tcW w:w="2001" w:type="pct"/>
                  <w:tcMar>
                    <w:top w:w="0" w:type="dxa"/>
                    <w:left w:w="57" w:type="dxa"/>
                    <w:bottom w:w="0" w:type="dxa"/>
                    <w:right w:w="57" w:type="dxa"/>
                  </w:tcMar>
                  <w:vAlign w:val="center"/>
                </w:tcPr>
                <w:p w14:paraId="7B1CD21D">
                  <w:pPr>
                    <w:pStyle w:val="17"/>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项目除尘器系统配套粉尘储存设施</w:t>
                  </w:r>
                </w:p>
              </w:tc>
              <w:tc>
                <w:tcPr>
                  <w:tcW w:w="560" w:type="pct"/>
                  <w:tcMar>
                    <w:top w:w="0" w:type="dxa"/>
                    <w:left w:w="57" w:type="dxa"/>
                    <w:bottom w:w="0" w:type="dxa"/>
                    <w:right w:w="57" w:type="dxa"/>
                  </w:tcMar>
                  <w:vAlign w:val="center"/>
                </w:tcPr>
                <w:p w14:paraId="1F7A20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52F2A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70930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38FDD5C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除尘器卸灰口应采取封闭措施，除尘灰不应直接卸落到地面。除尘灰应采取袋装、罐装、气力输送等封闭措施收集、存放和运输。</w:t>
                  </w:r>
                </w:p>
              </w:tc>
              <w:tc>
                <w:tcPr>
                  <w:tcW w:w="2001" w:type="pct"/>
                  <w:tcMar>
                    <w:top w:w="0" w:type="dxa"/>
                    <w:left w:w="57" w:type="dxa"/>
                    <w:bottom w:w="0" w:type="dxa"/>
                    <w:right w:w="57" w:type="dxa"/>
                  </w:tcMar>
                  <w:vAlign w:val="center"/>
                </w:tcPr>
                <w:p w14:paraId="46FED0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除尘器卸灰口采取密闭</w:t>
                  </w:r>
                  <w:r>
                    <w:rPr>
                      <w:rFonts w:hint="eastAsia"/>
                      <w:color w:val="000000" w:themeColor="text1"/>
                      <w:kern w:val="0"/>
                      <w:sz w:val="21"/>
                      <w:szCs w:val="21"/>
                      <w:highlight w:val="none"/>
                      <w:lang w:val="en-US" w:eastAsia="zh-CN"/>
                      <w14:textFill>
                        <w14:solidFill>
                          <w14:schemeClr w14:val="tx1"/>
                        </w14:solidFill>
                      </w14:textFill>
                    </w:rPr>
                    <w:t>包装袋</w:t>
                  </w:r>
                  <w:r>
                    <w:rPr>
                      <w:color w:val="000000" w:themeColor="text1"/>
                      <w:kern w:val="0"/>
                      <w:sz w:val="21"/>
                      <w:szCs w:val="21"/>
                      <w:highlight w:val="none"/>
                      <w14:textFill>
                        <w14:solidFill>
                          <w14:schemeClr w14:val="tx1"/>
                        </w14:solidFill>
                      </w14:textFill>
                    </w:rPr>
                    <w:t>连接，除尘灰不直接卸落到地面。除尘灰采取袋装封闭措施收集、存放和运输</w:t>
                  </w:r>
                </w:p>
              </w:tc>
              <w:tc>
                <w:tcPr>
                  <w:tcW w:w="560" w:type="pct"/>
                  <w:tcMar>
                    <w:top w:w="0" w:type="dxa"/>
                    <w:left w:w="57" w:type="dxa"/>
                    <w:bottom w:w="0" w:type="dxa"/>
                    <w:right w:w="57" w:type="dxa"/>
                  </w:tcMar>
                  <w:vAlign w:val="center"/>
                </w:tcPr>
                <w:p w14:paraId="693612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96B0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AF9D23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3E9CB7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粉状、粒状等易散发粉尘的物料场内转移、输送时，应采取封闭或覆盖等除尘措施；转移、输送、装卸过程中应采取集气除尘措施，或喷淋</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雾</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等抑尘措施。</w:t>
                  </w:r>
                </w:p>
              </w:tc>
              <w:tc>
                <w:tcPr>
                  <w:tcW w:w="2001" w:type="pct"/>
                  <w:tcMar>
                    <w:top w:w="0" w:type="dxa"/>
                    <w:left w:w="57" w:type="dxa"/>
                    <w:bottom w:w="0" w:type="dxa"/>
                    <w:right w:w="57" w:type="dxa"/>
                  </w:tcMar>
                  <w:vAlign w:val="center"/>
                </w:tcPr>
                <w:p w14:paraId="5693B3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项目</w:t>
                  </w:r>
                  <w:r>
                    <w:rPr>
                      <w:rFonts w:hint="eastAsia"/>
                      <w:color w:val="000000" w:themeColor="text1"/>
                      <w:kern w:val="0"/>
                      <w:sz w:val="21"/>
                      <w:szCs w:val="21"/>
                      <w:highlight w:val="none"/>
                      <w:lang w:val="en-US" w:eastAsia="zh-CN"/>
                      <w14:textFill>
                        <w14:solidFill>
                          <w14:schemeClr w14:val="tx1"/>
                        </w14:solidFill>
                      </w14:textFill>
                    </w:rPr>
                    <w:t>粉</w:t>
                  </w:r>
                  <w:r>
                    <w:rPr>
                      <w:color w:val="000000" w:themeColor="text1"/>
                      <w:kern w:val="0"/>
                      <w:sz w:val="21"/>
                      <w:szCs w:val="21"/>
                      <w:highlight w:val="none"/>
                      <w14:textFill>
                        <w14:solidFill>
                          <w14:schemeClr w14:val="tx1"/>
                        </w14:solidFill>
                      </w14:textFill>
                    </w:rPr>
                    <w:t>状物料均存储于封闭袋内，且转运过程密闭</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57BFC9C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482B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375517C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健全全过程防治制度</w:t>
                  </w:r>
                </w:p>
              </w:tc>
              <w:tc>
                <w:tcPr>
                  <w:tcW w:w="2031" w:type="pct"/>
                  <w:tcMar>
                    <w:top w:w="0" w:type="dxa"/>
                    <w:left w:w="57" w:type="dxa"/>
                    <w:bottom w:w="0" w:type="dxa"/>
                    <w:right w:w="57" w:type="dxa"/>
                  </w:tcMar>
                  <w:vAlign w:val="center"/>
                </w:tcPr>
                <w:p w14:paraId="2E29B4AC">
                  <w:pPr>
                    <w:keepNext w:val="0"/>
                    <w:keepLines w:val="0"/>
                    <w:pageBreakBefore w:val="0"/>
                    <w:widowControl w:val="0"/>
                    <w:kinsoku/>
                    <w:wordWrap/>
                    <w:overflowPunct/>
                    <w:topLinePunct w:val="0"/>
                    <w:autoSpaceDE/>
                    <w:autoSpaceDN/>
                    <w:bidi w:val="0"/>
                    <w:adjustRightInd/>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企业应制定完善的规章制度，明确各个生产环节大气污染物管理和控制要求。</w:t>
                  </w:r>
                </w:p>
              </w:tc>
              <w:tc>
                <w:tcPr>
                  <w:tcW w:w="2001" w:type="pct"/>
                  <w:tcMar>
                    <w:top w:w="0" w:type="dxa"/>
                    <w:left w:w="57" w:type="dxa"/>
                    <w:bottom w:w="0" w:type="dxa"/>
                    <w:right w:w="57" w:type="dxa"/>
                  </w:tcMar>
                  <w:vAlign w:val="center"/>
                </w:tcPr>
                <w:p w14:paraId="6B6972B8">
                  <w:pPr>
                    <w:pStyle w:val="17"/>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已</w:t>
                  </w:r>
                  <w:r>
                    <w:rPr>
                      <w:color w:val="000000" w:themeColor="text1"/>
                      <w:kern w:val="0"/>
                      <w:sz w:val="21"/>
                      <w:szCs w:val="21"/>
                      <w:highlight w:val="none"/>
                      <w14:textFill>
                        <w14:solidFill>
                          <w14:schemeClr w14:val="tx1"/>
                        </w14:solidFill>
                      </w14:textFill>
                    </w:rPr>
                    <w:t>制定完善的规章制度，明确各个生产环节大气污染物管理和控制要求</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2334CF6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6BD3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29769C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11DB7E8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企业应建立运行、维护和操作的相关制度和规程，健全主要设备、环保设施运行台账</w:t>
                  </w:r>
                  <w:r>
                    <w:rPr>
                      <w:rFonts w:hint="eastAsia"/>
                      <w:color w:val="000000" w:themeColor="text1"/>
                      <w:kern w:val="0"/>
                      <w:sz w:val="21"/>
                      <w:szCs w:val="21"/>
                      <w:highlight w:val="none"/>
                      <w:lang w:eastAsia="zh-CN"/>
                      <w14:textFill>
                        <w14:solidFill>
                          <w14:schemeClr w14:val="tx1"/>
                        </w14:solidFill>
                      </w14:textFill>
                    </w:rPr>
                    <w:t>。</w:t>
                  </w:r>
                </w:p>
              </w:tc>
              <w:tc>
                <w:tcPr>
                  <w:tcW w:w="2001" w:type="pct"/>
                  <w:tcMar>
                    <w:top w:w="0" w:type="dxa"/>
                    <w:left w:w="57" w:type="dxa"/>
                    <w:bottom w:w="0" w:type="dxa"/>
                    <w:right w:w="57" w:type="dxa"/>
                  </w:tcMar>
                  <w:vAlign w:val="center"/>
                </w:tcPr>
                <w:p w14:paraId="504E6AF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企业</w:t>
                  </w:r>
                  <w:r>
                    <w:rPr>
                      <w:rFonts w:hint="eastAsia"/>
                      <w:color w:val="000000" w:themeColor="text1"/>
                      <w:sz w:val="21"/>
                      <w:szCs w:val="21"/>
                      <w:highlight w:val="none"/>
                      <w:lang w:val="en-US" w:eastAsia="zh-CN"/>
                      <w14:textFill>
                        <w14:solidFill>
                          <w14:schemeClr w14:val="tx1"/>
                        </w14:solidFill>
                      </w14:textFill>
                    </w:rPr>
                    <w:t>已</w:t>
                  </w:r>
                  <w:r>
                    <w:rPr>
                      <w:color w:val="000000" w:themeColor="text1"/>
                      <w:kern w:val="0"/>
                      <w:sz w:val="21"/>
                      <w:szCs w:val="21"/>
                      <w:highlight w:val="none"/>
                      <w14:textFill>
                        <w14:solidFill>
                          <w14:schemeClr w14:val="tx1"/>
                        </w14:solidFill>
                      </w14:textFill>
                    </w:rPr>
                    <w:t>建立运行、维护和操作的相关制度和规程，</w:t>
                  </w:r>
                  <w:r>
                    <w:rPr>
                      <w:rFonts w:hint="eastAsia"/>
                      <w:color w:val="000000" w:themeColor="text1"/>
                      <w:kern w:val="0"/>
                      <w:sz w:val="21"/>
                      <w:szCs w:val="21"/>
                      <w:highlight w:val="none"/>
                      <w:lang w:val="en-US" w:eastAsia="zh-CN"/>
                      <w14:textFill>
                        <w14:solidFill>
                          <w14:schemeClr w14:val="tx1"/>
                        </w14:solidFill>
                      </w14:textFill>
                    </w:rPr>
                    <w:t>并按要求做好</w:t>
                  </w:r>
                  <w:r>
                    <w:rPr>
                      <w:color w:val="000000" w:themeColor="text1"/>
                      <w:kern w:val="0"/>
                      <w:sz w:val="21"/>
                      <w:szCs w:val="21"/>
                      <w:highlight w:val="none"/>
                      <w14:textFill>
                        <w14:solidFill>
                          <w14:schemeClr w14:val="tx1"/>
                        </w14:solidFill>
                      </w14:textFill>
                    </w:rPr>
                    <w:t>主要设备、环保设施</w:t>
                  </w:r>
                  <w:r>
                    <w:rPr>
                      <w:rFonts w:hint="eastAsia"/>
                      <w:color w:val="000000" w:themeColor="text1"/>
                      <w:kern w:val="0"/>
                      <w:sz w:val="21"/>
                      <w:szCs w:val="21"/>
                      <w:highlight w:val="none"/>
                      <w:lang w:val="en-US" w:eastAsia="zh-CN"/>
                      <w14:textFill>
                        <w14:solidFill>
                          <w14:schemeClr w14:val="tx1"/>
                        </w14:solidFill>
                      </w14:textFill>
                    </w:rPr>
                    <w:t>的</w:t>
                  </w:r>
                  <w:r>
                    <w:rPr>
                      <w:color w:val="000000" w:themeColor="text1"/>
                      <w:kern w:val="0"/>
                      <w:sz w:val="21"/>
                      <w:szCs w:val="21"/>
                      <w:highlight w:val="none"/>
                      <w14:textFill>
                        <w14:solidFill>
                          <w14:schemeClr w14:val="tx1"/>
                        </w14:solidFill>
                      </w14:textFill>
                    </w:rPr>
                    <w:t>运行台账</w:t>
                  </w:r>
                  <w:r>
                    <w:rPr>
                      <w:rFonts w:hint="eastAsia"/>
                      <w:color w:val="000000" w:themeColor="text1"/>
                      <w:kern w:val="0"/>
                      <w:sz w:val="21"/>
                      <w:szCs w:val="21"/>
                      <w:highlight w:val="none"/>
                      <w:lang w:val="en-US" w:eastAsia="zh-CN"/>
                      <w14:textFill>
                        <w14:solidFill>
                          <w14:schemeClr w14:val="tx1"/>
                        </w14:solidFill>
                      </w14:textFill>
                    </w:rPr>
                    <w:t>记录。</w:t>
                  </w:r>
                </w:p>
              </w:tc>
              <w:tc>
                <w:tcPr>
                  <w:tcW w:w="560" w:type="pct"/>
                  <w:tcMar>
                    <w:top w:w="0" w:type="dxa"/>
                    <w:left w:w="57" w:type="dxa"/>
                    <w:bottom w:w="0" w:type="dxa"/>
                    <w:right w:w="57" w:type="dxa"/>
                  </w:tcMar>
                  <w:vAlign w:val="center"/>
                </w:tcPr>
                <w:p w14:paraId="6D832A0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48F5D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1E92C7B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77A06BB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企业应编制突发环境事件应急预案，并报当地环境保护主管部门备案。</w:t>
                  </w:r>
                </w:p>
              </w:tc>
              <w:tc>
                <w:tcPr>
                  <w:tcW w:w="2001" w:type="pct"/>
                  <w:tcMar>
                    <w:top w:w="0" w:type="dxa"/>
                    <w:left w:w="57" w:type="dxa"/>
                    <w:bottom w:w="0" w:type="dxa"/>
                    <w:right w:w="57" w:type="dxa"/>
                  </w:tcMar>
                  <w:vAlign w:val="center"/>
                </w:tcPr>
                <w:p w14:paraId="6B4D9DA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已</w:t>
                  </w:r>
                  <w:r>
                    <w:rPr>
                      <w:color w:val="000000" w:themeColor="text1"/>
                      <w:kern w:val="0"/>
                      <w:sz w:val="21"/>
                      <w:szCs w:val="21"/>
                      <w:highlight w:val="none"/>
                      <w14:textFill>
                        <w14:solidFill>
                          <w14:schemeClr w14:val="tx1"/>
                        </w14:solidFill>
                      </w14:textFill>
                    </w:rPr>
                    <w:t>编制突发环境事件应急预案，并报环境保护主管部门备案</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09033DF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57AA3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5DF790B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20916AD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由于紧急事故或设备故障等原因造成治理设备不能正常运行时，应立即停止该工序生产。</w:t>
                  </w:r>
                </w:p>
              </w:tc>
              <w:tc>
                <w:tcPr>
                  <w:tcW w:w="2001" w:type="pct"/>
                  <w:tcMar>
                    <w:top w:w="0" w:type="dxa"/>
                    <w:left w:w="57" w:type="dxa"/>
                    <w:bottom w:w="0" w:type="dxa"/>
                    <w:right w:w="57" w:type="dxa"/>
                  </w:tcMar>
                  <w:vAlign w:val="center"/>
                </w:tcPr>
                <w:p w14:paraId="7F8FBD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发生非正常工况时，立即停产检修。</w:t>
                  </w:r>
                </w:p>
              </w:tc>
              <w:tc>
                <w:tcPr>
                  <w:tcW w:w="560" w:type="pct"/>
                  <w:tcMar>
                    <w:top w:w="0" w:type="dxa"/>
                    <w:left w:w="57" w:type="dxa"/>
                    <w:bottom w:w="0" w:type="dxa"/>
                    <w:right w:w="57" w:type="dxa"/>
                  </w:tcMar>
                  <w:vAlign w:val="center"/>
                </w:tcPr>
                <w:p w14:paraId="32A9ED0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136A1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41E0031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污染治理设施运行维护</w:t>
                  </w:r>
                </w:p>
              </w:tc>
              <w:tc>
                <w:tcPr>
                  <w:tcW w:w="2031" w:type="pct"/>
                  <w:tcMar>
                    <w:top w:w="0" w:type="dxa"/>
                    <w:left w:w="57" w:type="dxa"/>
                    <w:bottom w:w="0" w:type="dxa"/>
                    <w:right w:w="57" w:type="dxa"/>
                  </w:tcMar>
                  <w:vAlign w:val="center"/>
                </w:tcPr>
                <w:p w14:paraId="5EEDF0AB">
                  <w:pPr>
                    <w:keepNext w:val="0"/>
                    <w:keepLines w:val="0"/>
                    <w:pageBreakBefore w:val="0"/>
                    <w:widowControl w:val="0"/>
                    <w:kinsoku/>
                    <w:wordWrap/>
                    <w:overflowPunct/>
                    <w:topLinePunct w:val="0"/>
                    <w:autoSpaceDE/>
                    <w:autoSpaceDN/>
                    <w:bidi w:val="0"/>
                    <w:adjustRightInd/>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企业应对大气污染物治理设施的正常运行和安全管理负责。治理设施的管理应纳入生产管理中，配备专职管理人员和技术人员。</w:t>
                  </w:r>
                </w:p>
              </w:tc>
              <w:tc>
                <w:tcPr>
                  <w:tcW w:w="2001" w:type="pct"/>
                  <w:tcMar>
                    <w:top w:w="0" w:type="dxa"/>
                    <w:left w:w="57" w:type="dxa"/>
                    <w:bottom w:w="0" w:type="dxa"/>
                    <w:right w:w="57" w:type="dxa"/>
                  </w:tcMar>
                  <w:vAlign w:val="center"/>
                </w:tcPr>
                <w:p w14:paraId="48E5E9F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企业应对大气污染物治理设施的正常运行和安全管理负责。治理设施的管理应纳入生产管理中，配备专职管理人员和技术人员。</w:t>
                  </w:r>
                </w:p>
              </w:tc>
              <w:tc>
                <w:tcPr>
                  <w:tcW w:w="560" w:type="pct"/>
                  <w:tcMar>
                    <w:top w:w="0" w:type="dxa"/>
                    <w:left w:w="57" w:type="dxa"/>
                    <w:bottom w:w="0" w:type="dxa"/>
                    <w:right w:w="57" w:type="dxa"/>
                  </w:tcMar>
                  <w:vAlign w:val="center"/>
                </w:tcPr>
                <w:p w14:paraId="16BAFF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B551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2F6C58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452A10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企业应对专业管理人员和技术人员进行培训，使其掌握治理设施设备的操作规程和应急状况处理措施。</w:t>
                  </w:r>
                </w:p>
              </w:tc>
              <w:tc>
                <w:tcPr>
                  <w:tcW w:w="2001" w:type="pct"/>
                  <w:tcMar>
                    <w:top w:w="0" w:type="dxa"/>
                    <w:left w:w="57" w:type="dxa"/>
                    <w:bottom w:w="0" w:type="dxa"/>
                    <w:right w:w="57" w:type="dxa"/>
                  </w:tcMar>
                  <w:vAlign w:val="center"/>
                </w:tcPr>
                <w:p w14:paraId="1506A7D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人员均持证上岗，熟练</w:t>
                  </w:r>
                  <w:r>
                    <w:rPr>
                      <w:color w:val="000000" w:themeColor="text1"/>
                      <w:kern w:val="0"/>
                      <w:sz w:val="21"/>
                      <w:szCs w:val="21"/>
                      <w:highlight w:val="none"/>
                      <w14:textFill>
                        <w14:solidFill>
                          <w14:schemeClr w14:val="tx1"/>
                        </w14:solidFill>
                      </w14:textFill>
                    </w:rPr>
                    <w:t>掌握设备的操作规程和应急处理措施</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7BFCC37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F530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3C432C8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44DAF2C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企业应按照HJ11515等国家、地方管理要求，做好废气治理工作相关记录台账，台账保存期限不少于3年。</w:t>
                  </w:r>
                </w:p>
              </w:tc>
              <w:tc>
                <w:tcPr>
                  <w:tcW w:w="2001" w:type="pct"/>
                  <w:tcMar>
                    <w:top w:w="0" w:type="dxa"/>
                    <w:left w:w="57" w:type="dxa"/>
                    <w:bottom w:w="0" w:type="dxa"/>
                    <w:right w:w="57" w:type="dxa"/>
                  </w:tcMar>
                  <w:vAlign w:val="center"/>
                </w:tcPr>
                <w:p w14:paraId="676577A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厂区由专人负责</w:t>
                  </w:r>
                  <w:r>
                    <w:rPr>
                      <w:color w:val="000000" w:themeColor="text1"/>
                      <w:kern w:val="0"/>
                      <w:sz w:val="21"/>
                      <w:szCs w:val="21"/>
                      <w:highlight w:val="none"/>
                      <w14:textFill>
                        <w14:solidFill>
                          <w14:schemeClr w14:val="tx1"/>
                        </w14:solidFill>
                      </w14:textFill>
                    </w:rPr>
                    <w:t>废气治理</w:t>
                  </w:r>
                  <w:r>
                    <w:rPr>
                      <w:rFonts w:hint="eastAsia"/>
                      <w:color w:val="000000" w:themeColor="text1"/>
                      <w:kern w:val="0"/>
                      <w:sz w:val="21"/>
                      <w:szCs w:val="21"/>
                      <w:highlight w:val="none"/>
                      <w:lang w:val="en-US" w:eastAsia="zh-CN"/>
                      <w14:textFill>
                        <w14:solidFill>
                          <w14:schemeClr w14:val="tx1"/>
                        </w14:solidFill>
                      </w14:textFill>
                    </w:rPr>
                    <w:t>设施的运行台账记录</w:t>
                  </w:r>
                  <w:r>
                    <w:rPr>
                      <w:color w:val="000000" w:themeColor="text1"/>
                      <w:kern w:val="0"/>
                      <w:sz w:val="21"/>
                      <w:szCs w:val="21"/>
                      <w:highlight w:val="none"/>
                      <w14:textFill>
                        <w14:solidFill>
                          <w14:schemeClr w14:val="tx1"/>
                        </w14:solidFill>
                      </w14:textFill>
                    </w:rPr>
                    <w:t>，保存期限</w:t>
                  </w:r>
                  <w:r>
                    <w:rPr>
                      <w:rFonts w:hint="eastAsia"/>
                      <w:color w:val="000000" w:themeColor="text1"/>
                      <w:kern w:val="0"/>
                      <w:sz w:val="21"/>
                      <w:szCs w:val="21"/>
                      <w:highlight w:val="none"/>
                      <w:lang w:val="en-US" w:eastAsia="zh-CN"/>
                      <w14:textFill>
                        <w14:solidFill>
                          <w14:schemeClr w14:val="tx1"/>
                        </w14:solidFill>
                      </w14:textFill>
                    </w:rPr>
                    <w:t>不低于5</w:t>
                  </w:r>
                  <w:r>
                    <w:rPr>
                      <w:color w:val="000000" w:themeColor="text1"/>
                      <w:kern w:val="0"/>
                      <w:sz w:val="21"/>
                      <w:szCs w:val="21"/>
                      <w:highlight w:val="none"/>
                      <w14:textFill>
                        <w14:solidFill>
                          <w14:schemeClr w14:val="tx1"/>
                        </w14:solidFill>
                      </w14:textFill>
                    </w:rPr>
                    <w:t>年</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557A555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0D9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restart"/>
                  <w:tcMar>
                    <w:top w:w="0" w:type="dxa"/>
                    <w:left w:w="57" w:type="dxa"/>
                    <w:bottom w:w="0" w:type="dxa"/>
                    <w:right w:w="57" w:type="dxa"/>
                  </w:tcMar>
                  <w:vAlign w:val="center"/>
                </w:tcPr>
                <w:p w14:paraId="2511399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企业监测监控</w:t>
                  </w:r>
                </w:p>
              </w:tc>
              <w:tc>
                <w:tcPr>
                  <w:tcW w:w="2031" w:type="pct"/>
                  <w:tcMar>
                    <w:top w:w="0" w:type="dxa"/>
                    <w:left w:w="57" w:type="dxa"/>
                    <w:bottom w:w="0" w:type="dxa"/>
                    <w:right w:w="57" w:type="dxa"/>
                  </w:tcMar>
                  <w:vAlign w:val="center"/>
                </w:tcPr>
                <w:p w14:paraId="0AEC561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企业应按照《环境监测管理办法》和HJ819</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HJ119等规定，定期开展监测。</w:t>
                  </w:r>
                </w:p>
              </w:tc>
              <w:tc>
                <w:tcPr>
                  <w:tcW w:w="2001" w:type="pct"/>
                  <w:tcMar>
                    <w:top w:w="0" w:type="dxa"/>
                    <w:left w:w="57" w:type="dxa"/>
                    <w:bottom w:w="0" w:type="dxa"/>
                    <w:right w:w="57" w:type="dxa"/>
                  </w:tcMar>
                  <w:vAlign w:val="center"/>
                </w:tcPr>
                <w:p w14:paraId="639C5CCE">
                  <w:pPr>
                    <w:pStyle w:val="17"/>
                    <w:keepNext w:val="0"/>
                    <w:keepLines w:val="0"/>
                    <w:pageBreakBefore w:val="0"/>
                    <w:widowControl w:val="0"/>
                    <w:kinsoku/>
                    <w:wordWrap/>
                    <w:overflowPunct/>
                    <w:topLinePunct w:val="0"/>
                    <w:autoSpaceDE/>
                    <w:autoSpaceDN/>
                    <w:bidi w:val="0"/>
                    <w:adjustRightInd/>
                    <w:spacing w:after="0" w:line="240" w:lineRule="auto"/>
                    <w:ind w:left="0" w:leftChars="0"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项目建成后，</w:t>
                  </w:r>
                  <w:r>
                    <w:rPr>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按照相关规定</w:t>
                  </w:r>
                  <w:r>
                    <w:rPr>
                      <w:color w:val="000000" w:themeColor="text1"/>
                      <w:kern w:val="0"/>
                      <w:sz w:val="21"/>
                      <w:szCs w:val="21"/>
                      <w:highlight w:val="none"/>
                      <w14:textFill>
                        <w14:solidFill>
                          <w14:schemeClr w14:val="tx1"/>
                        </w14:solidFill>
                      </w14:textFill>
                    </w:rPr>
                    <w:t>定期开展</w:t>
                  </w:r>
                  <w:r>
                    <w:rPr>
                      <w:rFonts w:hint="eastAsia"/>
                      <w:color w:val="000000" w:themeColor="text1"/>
                      <w:kern w:val="0"/>
                      <w:sz w:val="21"/>
                      <w:szCs w:val="21"/>
                      <w:highlight w:val="none"/>
                      <w:lang w:val="en-US" w:eastAsia="zh-CN"/>
                      <w14:textFill>
                        <w14:solidFill>
                          <w14:schemeClr w14:val="tx1"/>
                        </w14:solidFill>
                      </w14:textFill>
                    </w:rPr>
                    <w:t>自行</w:t>
                  </w:r>
                  <w:r>
                    <w:rPr>
                      <w:color w:val="000000" w:themeColor="text1"/>
                      <w:kern w:val="0"/>
                      <w:sz w:val="21"/>
                      <w:szCs w:val="21"/>
                      <w:highlight w:val="none"/>
                      <w14:textFill>
                        <w14:solidFill>
                          <w14:schemeClr w14:val="tx1"/>
                        </w14:solidFill>
                      </w14:textFill>
                    </w:rPr>
                    <w:t>监测</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10771FA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BE3A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411035E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sz w:val="21"/>
                      <w:szCs w:val="21"/>
                    </w:rPr>
                  </w:pPr>
                </w:p>
              </w:tc>
              <w:tc>
                <w:tcPr>
                  <w:tcW w:w="2031" w:type="pct"/>
                  <w:tcMar>
                    <w:top w:w="0" w:type="dxa"/>
                    <w:left w:w="57" w:type="dxa"/>
                    <w:bottom w:w="0" w:type="dxa"/>
                    <w:right w:w="57" w:type="dxa"/>
                  </w:tcMar>
                  <w:vAlign w:val="center"/>
                </w:tcPr>
                <w:p w14:paraId="059E27A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企业应制定自行监测方案，监测方案应符合国家、地方相关管理要求</w:t>
                  </w:r>
                  <w:r>
                    <w:rPr>
                      <w:rFonts w:hint="eastAsia"/>
                      <w:color w:val="000000" w:themeColor="text1"/>
                      <w:kern w:val="0"/>
                      <w:sz w:val="21"/>
                      <w:szCs w:val="21"/>
                      <w:highlight w:val="none"/>
                      <w14:textFill>
                        <w14:solidFill>
                          <w14:schemeClr w14:val="tx1"/>
                        </w14:solidFill>
                      </w14:textFill>
                    </w:rPr>
                    <w:t>：</w:t>
                  </w:r>
                  <w:r>
                    <w:rPr>
                      <w:color w:val="000000" w:themeColor="text1"/>
                      <w:kern w:val="0"/>
                      <w:sz w:val="21"/>
                      <w:szCs w:val="21"/>
                      <w:highlight w:val="none"/>
                      <w14:textFill>
                        <w14:solidFill>
                          <w14:schemeClr w14:val="tx1"/>
                        </w14:solidFill>
                      </w14:textFill>
                    </w:rPr>
                    <w:t>企业可自行或委托第三方监测机构开展监测工作，并对监测数据进行记录、整理、统计和分析。</w:t>
                  </w:r>
                </w:p>
              </w:tc>
              <w:tc>
                <w:tcPr>
                  <w:tcW w:w="2001" w:type="pct"/>
                  <w:tcMar>
                    <w:top w:w="0" w:type="dxa"/>
                    <w:left w:w="57" w:type="dxa"/>
                    <w:bottom w:w="0" w:type="dxa"/>
                    <w:right w:w="57" w:type="dxa"/>
                  </w:tcMar>
                  <w:vAlign w:val="center"/>
                </w:tcPr>
                <w:p w14:paraId="24151A5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项目建成后，</w:t>
                  </w:r>
                  <w:r>
                    <w:rPr>
                      <w:color w:val="000000" w:themeColor="text1"/>
                      <w:kern w:val="0"/>
                      <w:sz w:val="21"/>
                      <w:szCs w:val="21"/>
                      <w:highlight w:val="none"/>
                      <w14:textFill>
                        <w14:solidFill>
                          <w14:schemeClr w14:val="tx1"/>
                        </w14:solidFill>
                      </w14:textFill>
                    </w:rPr>
                    <w:t>企业</w:t>
                  </w:r>
                  <w:r>
                    <w:rPr>
                      <w:rFonts w:hint="eastAsia"/>
                      <w:color w:val="000000" w:themeColor="text1"/>
                      <w:kern w:val="0"/>
                      <w:sz w:val="21"/>
                      <w:szCs w:val="21"/>
                      <w:highlight w:val="none"/>
                      <w:lang w:val="en-US" w:eastAsia="zh-CN"/>
                      <w14:textFill>
                        <w14:solidFill>
                          <w14:schemeClr w14:val="tx1"/>
                        </w14:solidFill>
                      </w14:textFill>
                    </w:rPr>
                    <w:t>应</w:t>
                  </w:r>
                  <w:r>
                    <w:rPr>
                      <w:color w:val="000000" w:themeColor="text1"/>
                      <w:kern w:val="0"/>
                      <w:sz w:val="21"/>
                      <w:szCs w:val="21"/>
                      <w:highlight w:val="none"/>
                      <w14:textFill>
                        <w14:solidFill>
                          <w14:schemeClr w14:val="tx1"/>
                        </w14:solidFill>
                      </w14:textFill>
                    </w:rPr>
                    <w:t>制定自行检测方案，并</w:t>
                  </w:r>
                  <w:r>
                    <w:rPr>
                      <w:rFonts w:hint="eastAsia"/>
                      <w:color w:val="000000" w:themeColor="text1"/>
                      <w:kern w:val="0"/>
                      <w:sz w:val="21"/>
                      <w:szCs w:val="21"/>
                      <w:highlight w:val="none"/>
                      <w:lang w:val="en-US" w:eastAsia="zh-CN"/>
                      <w14:textFill>
                        <w14:solidFill>
                          <w14:schemeClr w14:val="tx1"/>
                        </w14:solidFill>
                      </w14:textFill>
                    </w:rPr>
                    <w:t>委托</w:t>
                  </w:r>
                  <w:r>
                    <w:rPr>
                      <w:color w:val="000000" w:themeColor="text1"/>
                      <w:kern w:val="0"/>
                      <w:sz w:val="21"/>
                      <w:szCs w:val="21"/>
                      <w:highlight w:val="none"/>
                      <w14:textFill>
                        <w14:solidFill>
                          <w14:schemeClr w14:val="tx1"/>
                        </w14:solidFill>
                      </w14:textFill>
                    </w:rPr>
                    <w:t>第三方监测机构开展监测工作</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5E4E56B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Theme="minorEastAsia"/>
                      <w:color w:val="000000" w:themeColor="text1"/>
                      <w:kern w:val="0"/>
                      <w:sz w:val="21"/>
                      <w:szCs w:val="21"/>
                      <w:highlight w:val="none"/>
                      <w:lang w:val="en-US"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13040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016556D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51D0163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企业应在废气治理设施前后设置永久性采样口，采样口、采样平台的设置应符合相关规范要求，并在排放口周边设置对应的标识牌。</w:t>
                  </w:r>
                </w:p>
              </w:tc>
              <w:tc>
                <w:tcPr>
                  <w:tcW w:w="2001" w:type="pct"/>
                  <w:tcMar>
                    <w:top w:w="0" w:type="dxa"/>
                    <w:left w:w="57" w:type="dxa"/>
                    <w:bottom w:w="0" w:type="dxa"/>
                    <w:right w:w="57" w:type="dxa"/>
                  </w:tcMar>
                  <w:vAlign w:val="center"/>
                </w:tcPr>
                <w:p w14:paraId="40B918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厂区废气治理设施已</w:t>
                  </w:r>
                  <w:r>
                    <w:rPr>
                      <w:color w:val="000000" w:themeColor="text1"/>
                      <w:kern w:val="0"/>
                      <w:sz w:val="21"/>
                      <w:szCs w:val="21"/>
                      <w:highlight w:val="none"/>
                      <w14:textFill>
                        <w14:solidFill>
                          <w14:schemeClr w14:val="tx1"/>
                        </w14:solidFill>
                      </w14:textFill>
                    </w:rPr>
                    <w:t>按要求设置永久性采样口，并规范设置标识牌</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0CFBAD5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r w14:paraId="3F7E2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6" w:type="pct"/>
                  <w:vMerge w:val="continue"/>
                  <w:tcMar>
                    <w:top w:w="0" w:type="dxa"/>
                    <w:left w:w="57" w:type="dxa"/>
                    <w:bottom w:w="0" w:type="dxa"/>
                    <w:right w:w="57" w:type="dxa"/>
                  </w:tcMar>
                  <w:vAlign w:val="center"/>
                </w:tcPr>
                <w:p w14:paraId="637655D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31" w:type="pct"/>
                  <w:tcMar>
                    <w:top w:w="0" w:type="dxa"/>
                    <w:left w:w="57" w:type="dxa"/>
                    <w:bottom w:w="0" w:type="dxa"/>
                    <w:right w:w="57" w:type="dxa"/>
                  </w:tcMar>
                  <w:vAlign w:val="center"/>
                </w:tcPr>
                <w:p w14:paraId="0D3FE4A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企业无组织排放监测应符合GB16297、GB39726的规定。</w:t>
                  </w:r>
                </w:p>
              </w:tc>
              <w:tc>
                <w:tcPr>
                  <w:tcW w:w="2001" w:type="pct"/>
                  <w:tcMar>
                    <w:top w:w="0" w:type="dxa"/>
                    <w:left w:w="57" w:type="dxa"/>
                    <w:bottom w:w="0" w:type="dxa"/>
                    <w:right w:w="57" w:type="dxa"/>
                  </w:tcMar>
                  <w:vAlign w:val="center"/>
                </w:tcPr>
                <w:p w14:paraId="442683C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企业无组织排放监测符合GB16297、GB39726的规定</w:t>
                  </w:r>
                  <w:r>
                    <w:rPr>
                      <w:rFonts w:hint="eastAsia"/>
                      <w:color w:val="000000" w:themeColor="text1"/>
                      <w:kern w:val="0"/>
                      <w:sz w:val="21"/>
                      <w:szCs w:val="21"/>
                      <w:highlight w:val="none"/>
                      <w:lang w:eastAsia="zh-CN"/>
                      <w14:textFill>
                        <w14:solidFill>
                          <w14:schemeClr w14:val="tx1"/>
                        </w14:solidFill>
                      </w14:textFill>
                    </w:rPr>
                    <w:t>。</w:t>
                  </w:r>
                </w:p>
              </w:tc>
              <w:tc>
                <w:tcPr>
                  <w:tcW w:w="560" w:type="pct"/>
                  <w:tcMar>
                    <w:top w:w="0" w:type="dxa"/>
                    <w:left w:w="57" w:type="dxa"/>
                    <w:bottom w:w="0" w:type="dxa"/>
                    <w:right w:w="57" w:type="dxa"/>
                  </w:tcMar>
                  <w:vAlign w:val="center"/>
                </w:tcPr>
                <w:p w14:paraId="21E2159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相符</w:t>
                  </w:r>
                </w:p>
              </w:tc>
            </w:tr>
          </w:tbl>
          <w:p w14:paraId="66B07D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bCs/>
                <w:color w:val="000000"/>
                <w:sz w:val="24"/>
                <w:lang w:val="en-US" w:eastAsia="zh-CN"/>
              </w:rPr>
            </w:pPr>
            <w:r>
              <w:rPr>
                <w:bCs/>
                <w:sz w:val="24"/>
                <w:highlight w:val="none"/>
              </w:rPr>
              <w:t>综上所述，项目的建设符合</w:t>
            </w:r>
            <w:r>
              <w:rPr>
                <w:rFonts w:hint="eastAsia" w:ascii="Times New Roman" w:hAnsi="Times New Roman" w:eastAsia="宋体" w:cs="Times New Roman"/>
                <w:sz w:val="24"/>
                <w:szCs w:val="24"/>
                <w:lang w:val="en-US" w:eastAsia="zh-CN"/>
              </w:rPr>
              <w:t>《铸造工业大气污染防治技术规范》（DB41/T2388</w:t>
            </w:r>
            <w:r>
              <w:rPr>
                <w:rFonts w:hint="eastAsia" w:eastAsia="宋体" w:cs="Times New Roman"/>
                <w:sz w:val="24"/>
                <w:szCs w:val="24"/>
                <w:lang w:val="en-US" w:eastAsia="zh-CN"/>
              </w:rPr>
              <w:t>-</w:t>
            </w:r>
            <w:r>
              <w:rPr>
                <w:rFonts w:hint="eastAsia" w:ascii="Times New Roman" w:hAnsi="Times New Roman" w:eastAsia="宋体" w:cs="Times New Roman"/>
                <w:sz w:val="24"/>
                <w:szCs w:val="24"/>
                <w:lang w:val="en-US" w:eastAsia="zh-CN"/>
              </w:rPr>
              <w:t>2023）</w:t>
            </w:r>
            <w:r>
              <w:rPr>
                <w:bCs/>
                <w:sz w:val="24"/>
                <w:highlight w:val="none"/>
              </w:rPr>
              <w:t>中的相关要求。</w:t>
            </w:r>
          </w:p>
          <w:p w14:paraId="7D391CB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t>2、项目建设与相关规划的符合性</w:t>
            </w:r>
          </w:p>
          <w:p w14:paraId="41276A3E">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t>2.1项目建设与《镇平县国土空间总体规划（2021-2035）》的相符性</w:t>
            </w:r>
          </w:p>
          <w:p w14:paraId="1DB50E47">
            <w:pPr>
              <w:bidi w:val="0"/>
            </w:pPr>
            <w:r>
              <w:rPr>
                <w:bCs/>
                <w:color w:val="000000" w:themeColor="text1"/>
                <w14:textFill>
                  <w14:solidFill>
                    <w14:schemeClr w14:val="tx1"/>
                  </w14:solidFill>
                </w14:textFill>
              </w:rPr>
              <w:t>2.</w:t>
            </w:r>
            <w:r>
              <w:t>1.1镇平县国土空间总体规划相关内容</w:t>
            </w:r>
          </w:p>
          <w:p w14:paraId="790C7697">
            <w:pPr>
              <w:bidi w:val="0"/>
            </w:pPr>
            <w:r>
              <w:t>（1）规划期限</w:t>
            </w:r>
          </w:p>
          <w:p w14:paraId="5E38DE4C">
            <w:pPr>
              <w:bidi w:val="0"/>
            </w:pPr>
            <w:r>
              <w:t>规划期限为2021年至2035年，基期年为2020年，近期至2025年，远期至2035年，远景展望至2050年。</w:t>
            </w:r>
          </w:p>
          <w:p w14:paraId="0A6C8D0F">
            <w:pPr>
              <w:bidi w:val="0"/>
            </w:pPr>
            <w:r>
              <w:t>（2）规划范围</w:t>
            </w:r>
          </w:p>
          <w:p w14:paraId="21403545">
            <w:pPr>
              <w:bidi w:val="0"/>
            </w:pPr>
            <w:r>
              <w:t>规划范围分县域和中心城区两个层次。县域包括镇平县行政辖区全域，国土总面积1493.97平方公里。中心城区划定城区面积为66.51平方公里，范围北至省道S330，西至玉龙路与玉源南路，南至南外环路，东至东外环路。</w:t>
            </w:r>
          </w:p>
          <w:p w14:paraId="3861FB36">
            <w:pPr>
              <w:bidi w:val="0"/>
            </w:pPr>
            <w:r>
              <w:t>（3）发展定位</w:t>
            </w:r>
          </w:p>
          <w:p w14:paraId="51726991">
            <w:pPr>
              <w:bidi w:val="0"/>
            </w:pPr>
            <w:r>
              <w:t>定位为南阳市先进制造业隆起区、全省数字经济先行区、全国三产融合示范区、全球玉文化消费中心。</w:t>
            </w:r>
          </w:p>
          <w:p w14:paraId="7C821EB9">
            <w:pPr>
              <w:bidi w:val="0"/>
            </w:pPr>
            <w:r>
              <w:t>（4）空间布局</w:t>
            </w:r>
          </w:p>
          <w:p w14:paraId="1D50E429">
            <w:pPr>
              <w:bidi w:val="0"/>
            </w:pPr>
            <w:r>
              <w:t>形成</w:t>
            </w:r>
            <w:r>
              <w:rPr>
                <w:rFonts w:hint="eastAsia"/>
                <w:lang w:eastAsia="zh-CN"/>
              </w:rPr>
              <w:t>“</w:t>
            </w:r>
            <w:r>
              <w:t>一河两岸五区、两心两轴共荣</w:t>
            </w:r>
            <w:r>
              <w:rPr>
                <w:rFonts w:hint="eastAsia"/>
                <w:lang w:eastAsia="zh-CN"/>
              </w:rPr>
              <w:t>”</w:t>
            </w:r>
            <w:r>
              <w:t>的现代化城市空间结构。</w:t>
            </w:r>
          </w:p>
          <w:p w14:paraId="3BBF4550">
            <w:pPr>
              <w:bidi w:val="0"/>
            </w:pPr>
            <w:r>
              <w:t>一河：赵河滨水景观带；</w:t>
            </w:r>
          </w:p>
          <w:p w14:paraId="62ED252F">
            <w:pPr>
              <w:bidi w:val="0"/>
            </w:pPr>
            <w:r>
              <w:t>两轴：为沿建设大道和平安大道的两条横向交通发展轴线；</w:t>
            </w:r>
          </w:p>
          <w:p w14:paraId="5B39323A">
            <w:pPr>
              <w:bidi w:val="0"/>
            </w:pPr>
            <w:r>
              <w:t>两心：是指老城综合服务中心、新城综合服务中心；</w:t>
            </w:r>
          </w:p>
          <w:p w14:paraId="1757B0AF">
            <w:pPr>
              <w:bidi w:val="0"/>
            </w:pPr>
            <w:r>
              <w:t>五片区：是指老城片区、新城片区、开发区片区、赵河西岸片区和东城片区。</w:t>
            </w:r>
          </w:p>
          <w:p w14:paraId="3A279DEB">
            <w:pPr>
              <w:bidi w:val="0"/>
            </w:pPr>
            <w:r>
              <w:t>先进制造业开发区片区：建设大道以北，航天大道以西。开发区形成以新型建材产业园、高端装备制造产业园、绿色食品产业园、玉石智谷产业园和医药健康产业园五个主要园区。</w:t>
            </w:r>
          </w:p>
          <w:p w14:paraId="58660854">
            <w:pPr>
              <w:bidi w:val="0"/>
            </w:pPr>
            <w:r>
              <w:t>（5）开发边界内分区指引</w:t>
            </w:r>
          </w:p>
          <w:p w14:paraId="791FAE08">
            <w:pPr>
              <w:bidi w:val="0"/>
            </w:pPr>
            <w:r>
              <w:t>规划布局居住生活区、综合服务区、商业商务区、工业发展区、绿地休闲区五大主导功能分区。</w:t>
            </w:r>
          </w:p>
          <w:p w14:paraId="684F085B">
            <w:pPr>
              <w:bidi w:val="0"/>
            </w:pPr>
            <w:r>
              <w:t>居住生活区，规划总面积约1998.45公顷，占比51.67%。将主要居住用地和相关配套设施用地划入居住生活区；</w:t>
            </w:r>
          </w:p>
          <w:p w14:paraId="1C13570C">
            <w:pPr>
              <w:bidi w:val="0"/>
            </w:pPr>
            <w:r>
              <w:t>综合服务区，规划总面积约305.25公顷，占比7.89%。将新城片区县级行政办公用地、三馆一院、便民服务中心等县级大型文化、行政用地；将老城区县政府、县委等行政办公用地；赵河西岸新城的玉文化服务片区及周边服务配套用地划入综合服务区；</w:t>
            </w:r>
          </w:p>
          <w:p w14:paraId="5CA48EEA">
            <w:pPr>
              <w:bidi w:val="0"/>
            </w:pPr>
            <w:r>
              <w:t>商业商务区，规划总面积约256.39公顷，占比6.63%。将华信片区万达商业中心以及万德隆片区划入商业商务区；</w:t>
            </w:r>
          </w:p>
          <w:p w14:paraId="3A8B5323">
            <w:pPr>
              <w:bidi w:val="0"/>
            </w:pPr>
            <w:r>
              <w:t>工业发展区，规划总面积约1159.45公顷，占比29.98%。将先进制造业开发区组团及相关配套设施用地划入工业物流区。主要布局工业及其配套产业用地，鼓励兼容工业区办公设施、服务设施和防护绿地；限制引入大量居住用地、商业服务业用地、公共管理与公共服务用地；</w:t>
            </w:r>
          </w:p>
          <w:p w14:paraId="090A1926">
            <w:pPr>
              <w:bidi w:val="0"/>
            </w:pPr>
            <w:r>
              <w:t>绿地休闲区，规划总面积约148.53公顷，占比3.84%。将城市集中建设区内的城市、片区级公园、大型广场以及滨河开敞空间、铁路和公路等廊道防护绿地划入绿地休闲区；</w:t>
            </w:r>
          </w:p>
          <w:p w14:paraId="78756605">
            <w:pPr>
              <w:bidi w:val="0"/>
            </w:pPr>
            <w:r>
              <w:t>（6）坚持节约集约，强化资源保护利用</w:t>
            </w:r>
          </w:p>
          <w:p w14:paraId="0B730D25">
            <w:pPr>
              <w:bidi w:val="0"/>
            </w:pPr>
            <w:r>
              <w:t>国土空间用途结构优化：严格守住耕地红线、拓展优化绿化空间、合理调整园地和草地、加强陆地水域和湿地保护、节约集约利用建设用地；</w:t>
            </w:r>
          </w:p>
          <w:p w14:paraId="28E639D6">
            <w:pPr>
              <w:bidi w:val="0"/>
            </w:pPr>
            <w:r>
              <w:t>森林资源保护与利用：严格落实林地资源管控，科学开展国土绿化行动，不断提高森林覆盖率和林地保有量，重点完成伏牛山山区造林，完善平原地区林网，巩固南水北调中线生态带，将集中连片、质量优良和生态作用明显的天然林、公益林划入林地集中保护区内，巩固和扩大生态空间。规划至2035年，镇平县林地保有量达到39234.13公顷；</w:t>
            </w:r>
          </w:p>
          <w:p w14:paraId="6887B584">
            <w:pPr>
              <w:bidi w:val="0"/>
            </w:pPr>
            <w:r>
              <w:t>湿地资源保护与利用：严格保护和管理湿地，防止湿地流失和破坏，严格保护内陆滩涂等用地保护生物多样性和湿地生态系统的连贯性，尽量避免城市发展对湿地环境的过度干扰。规划至2035年，全县湿地面积约216.59公顷。</w:t>
            </w:r>
          </w:p>
          <w:p w14:paraId="6E6ED9B7">
            <w:pPr>
              <w:bidi w:val="0"/>
            </w:pPr>
            <w:r>
              <w:t>矿产资源保护与利用：严格矿产资源开发管理，加强矿产资源管控措施和力度，对不符合开采规划区块设置要求的，不得新设采矿权；禁止在城市建设用地范围、重要基础设施周边、自然保护区、水源地和生态保护红线范围内设置开采区，禁止将水库作为尾矿库；生产矿山按照</w:t>
            </w:r>
            <w:r>
              <w:rPr>
                <w:rFonts w:hint="eastAsia"/>
                <w:lang w:eastAsia="zh-CN"/>
              </w:rPr>
              <w:t>“</w:t>
            </w:r>
            <w:r>
              <w:t>谁开发、谁保护，谁破坏、谁治理</w:t>
            </w:r>
            <w:r>
              <w:rPr>
                <w:rFonts w:hint="eastAsia"/>
                <w:lang w:eastAsia="zh-CN"/>
              </w:rPr>
              <w:t>”</w:t>
            </w:r>
            <w:r>
              <w:t>的原则，落实绿色矿山建设责任主体，逐步推进绿色矿山建设。</w:t>
            </w:r>
          </w:p>
          <w:p w14:paraId="23756137">
            <w:pPr>
              <w:bidi w:val="0"/>
            </w:pPr>
            <w:r>
              <w:t>水资源保护与利用：坚持以水定城、以水定地、以水定人、以水定产的总体思路，严格用水总量、用水效率、水功能区限制纳污三条红线，落实水资源消耗总量与强度双控。至2025年，镇平县用水总量控制在24706万立方米以内；至2035年，镇平县用水总量控制在25807万立方米以内；健全县域河流湖库管养长效机制，着力推进河流水库清淤、污染水体实施河湖连通等整治工程，采取污水处理、河流水库清淤和活水深化相结合的措施，构造县城人工湿地，城市外围河道生态恢复段、自然生态保护段，注重保持河流自然形态，建立良好的生物环境，促使河流水环境质量明显好转。</w:t>
            </w:r>
          </w:p>
          <w:p w14:paraId="1D334D29">
            <w:pPr>
              <w:bidi w:val="0"/>
            </w:pPr>
            <w:r>
              <w:t>（7）生态保护</w:t>
            </w:r>
          </w:p>
          <w:p w14:paraId="3D728E78">
            <w:pPr>
              <w:bidi w:val="0"/>
            </w:pPr>
            <w:r>
              <w:t>本次划定镇平县生态保护红线总面积6552.86公顷，占全县国土面积的4.39%。根据生态系统服务功能类型及其空间分布特征，按三大类型划分生态红线保护区，分别为伏牛山生物多样性、水源涵养生态保护区、南水北调中线水源涵养生态保护区和菩提寺生物多样性生态保护区。</w:t>
            </w:r>
          </w:p>
          <w:p w14:paraId="7C2C64DD">
            <w:pPr>
              <w:bidi w:val="0"/>
            </w:pPr>
            <w:r>
              <w:t>（8）实施生态修复</w:t>
            </w:r>
          </w:p>
          <w:p w14:paraId="79535FE4">
            <w:pPr>
              <w:bidi w:val="0"/>
            </w:pPr>
            <w:r>
              <w:t>划定生态修复重点区域，结合国土空间生态修复区域分析结果，依据山水林田湖草生态系统修复需求，重点设置矿山生态修复、地质灾害防治、流域水环境综合治理、湿地建设、水土保持、森林生态修复等六类重点工程。</w:t>
            </w:r>
          </w:p>
          <w:p w14:paraId="74CCC4E5">
            <w:pPr>
              <w:bidi w:val="0"/>
            </w:pPr>
            <w:r>
              <w:t>矿山生态修复重点工程：通过对采矿环境、堆场、办公环境、各环节污染进行综合整治，美化矿容矿貌。优化绿色矿山建设内容，探索不同类型矿山绿色开发新模式，提升绿色矿山建设水平。按照“宜林则林、宜耕则耕、宜建则建、宜景则景”原则，因矿制宜，优化治理，实现新增土地、景观再造、地质灾害防治等综合成效，全面改善矿山生态环境。</w:t>
            </w:r>
          </w:p>
          <w:p w14:paraId="2FD56275">
            <w:pPr>
              <w:bidi w:val="0"/>
            </w:pPr>
            <w:r>
              <w:t>地质灾害防治重点工程：根据地质灾害险情、潜在威胁对象与社会经济发展状况，规划期拟设置搬迁避让工程和工程治理工程，山洪沟治理项目。</w:t>
            </w:r>
          </w:p>
          <w:p w14:paraId="6DD7E299">
            <w:pPr>
              <w:bidi w:val="0"/>
            </w:pPr>
            <w:r>
              <w:t>流域水环境综合治理重点工程：强化源头控制，加强流域水生态保护与修复，深入实施境内河流流域水环境综合治理；开展河道整治、清淤疏浚、水系连通、污水治理等水环境综合治理项目，持续改善河流水环境质量；积极推进水环境生态修复保护；开展集中式饮用水源保护区划定与管控。</w:t>
            </w:r>
          </w:p>
          <w:p w14:paraId="7F7A8154">
            <w:pPr>
              <w:bidi w:val="0"/>
            </w:pPr>
            <w:r>
              <w:t>湿地建设重点工程：在支流入干流处、河流入库口以及其他重要流域，因地制宜建设人工湿地。通过污染清理、地形地貌修复、自然湿地岸线维护、河湖水系连通、植被恢复、野生动物栖息地恢复、拆除围网等手段，增强湿地水质净化功能，维持湿地生态系统健康。</w:t>
            </w:r>
          </w:p>
          <w:p w14:paraId="3B4ECF54">
            <w:pPr>
              <w:bidi w:val="0"/>
            </w:pPr>
            <w:r>
              <w:t>水土保持重点工程：遵循“因地制宜、综合治理”的基本方针，根据各地的自然和社会经济条件，分区分类合理配置治理措施，坚持生态优先，强化林草植被建设，工程、林草和农业耕作措施相结合，加大坡耕地的治理力度，以小流域为单元实施山、水、田、林、路综合治理，形成综合防护体系，维护水土资源可持续利用。</w:t>
            </w:r>
          </w:p>
          <w:p w14:paraId="79263E5F">
            <w:pPr>
              <w:bidi w:val="0"/>
            </w:pPr>
            <w:r>
              <w:t>森林生态修复重点工程：加强林业资源修复，推进重点库区、荒山绿化与石漠化生态修复工程，鼓励林场承担区域国土绿化和生态修复；积极开展中幼林抚育和低效林改造，提高森林质量。</w:t>
            </w:r>
          </w:p>
          <w:p w14:paraId="7613A151">
            <w:pPr>
              <w:bidi w:val="0"/>
            </w:pPr>
            <w:r>
              <w:t>（9）基础设施规划</w:t>
            </w:r>
          </w:p>
          <w:p w14:paraId="49F78890">
            <w:pPr>
              <w:bidi w:val="0"/>
            </w:pPr>
            <w:r>
              <w:t>给水工程规划：规划确定镇平县远期（2035年）最高日需水量为14.57万吨/日。规划保留南水北调工程镇平水厂，位于工业路与玉神路交叉口西北角，设计供水规模8万吨/日；保留五里岗水厂和马岗水厂，设计供水规模分别为3万吨/日、1万吨/日；新建第四水厂，位于杏山大道与玉神路交叉口东北角，设计供水规模3万吨/日。</w:t>
            </w:r>
          </w:p>
          <w:p w14:paraId="2762159F">
            <w:pPr>
              <w:bidi w:val="0"/>
            </w:pPr>
            <w:r>
              <w:t>排水工程规划：城镇污水量按供水量预测值的0.8倍确定，取日变化系数1.3，则到2035年平均日污水量为8.96万吨/日。规划石佛寺不再新建污水处理设施，与中心城区污水处理设施共建共享，规划期末石佛寺人口8.57万人，结合建设用地指标，测算规划期末污水量0.74万吨。规划期末污水量共计9.7万吨/日；保留并扩建第一污水处理厂，位于南外环路、新华路东侧，用地面积5.7公顷。日处理规模8万吨/日，其中再生水2万吨/日，主要服务于老城区。保留并扩建第二污水处理厂，位于南外环路与玉源大道交叉口西北角，主要服务于县开发区、河东区域的城西新城和石佛寺，用地面积6.18公顷。日处理规模5万吨/日，其中再生水2万吨/日。污水处理厂出水水质符合国家一级A标排放标准。</w:t>
            </w:r>
          </w:p>
          <w:p w14:paraId="777C07FB">
            <w:pPr>
              <w:bidi w:val="0"/>
            </w:pPr>
            <w:r>
              <w:t>燃气工程规划：气源引自</w:t>
            </w:r>
            <w:r>
              <w:rPr>
                <w:rFonts w:hint="eastAsia"/>
                <w:lang w:eastAsia="zh-CN"/>
              </w:rPr>
              <w:t>“</w:t>
            </w:r>
            <w:r>
              <w:t>西气东输</w:t>
            </w:r>
            <w:r>
              <w:rPr>
                <w:rFonts w:hint="eastAsia"/>
                <w:lang w:eastAsia="zh-CN"/>
              </w:rPr>
              <w:t>”</w:t>
            </w:r>
            <w:r>
              <w:t>二线的丹水-内乡-镇平-茶庵门站天然气输气管道工程和</w:t>
            </w:r>
            <w:r>
              <w:rPr>
                <w:rFonts w:hint="eastAsia"/>
                <w:lang w:eastAsia="zh-CN"/>
              </w:rPr>
              <w:t>“</w:t>
            </w:r>
            <w:r>
              <w:t>唐伊线</w:t>
            </w:r>
            <w:r>
              <w:rPr>
                <w:rFonts w:hint="eastAsia"/>
                <w:lang w:eastAsia="zh-CN"/>
              </w:rPr>
              <w:t>”</w:t>
            </w:r>
            <w:r>
              <w:t>方城—南召、社旗天然气支线工程，双气源供应。规划中心城区2025年总用气量为3018.03万立方/年。2035年总用气量为5375.28万立方/年。在中心城区南侧建设天然气门站1座，占地13亩左右，建设规模150立方LNG储罐2座，储气能力18万立方，供气能力5000立方/小时；分输站1座，供应规模为7500万标立方/年；高中压调压站1处，位于开发区，占地约1.5亩左右，供气能力1万立方/小时。</w:t>
            </w:r>
          </w:p>
          <w:p w14:paraId="681458C7">
            <w:pPr>
              <w:bidi w:val="0"/>
            </w:pPr>
            <w:r>
              <w:t>2.1.2项目建设与镇平县国土空间总体规划的相符性分析</w:t>
            </w:r>
          </w:p>
          <w:p w14:paraId="4A73AF8F">
            <w:pPr>
              <w:bidi w:val="0"/>
            </w:pPr>
            <w:r>
              <w:t>本项目位于</w:t>
            </w:r>
            <w:r>
              <w:rPr>
                <w:rFonts w:hint="eastAsia"/>
                <w:highlight w:val="none"/>
                <w:lang w:val="en-US" w:eastAsia="zh-CN"/>
              </w:rPr>
              <w:t>南阳市镇平县先进制造业开发区玉神路与建设路交叉口北200米8号</w:t>
            </w:r>
            <w:r>
              <w:t>，经对比《镇平县国土空间总体规划》（2021-2035），本项目位于镇平县国土空间总体规划范围中五片区的开发区片区，同时，根据镇平县先进制造业开发区管理委员会出具的入驻证明，项目建设符合镇平县先进制造业开发区规划要求</w:t>
            </w:r>
            <w:r>
              <w:rPr>
                <w:rFonts w:hint="eastAsia"/>
                <w:lang w:eastAsia="zh-CN"/>
              </w:rPr>
              <w:t>，</w:t>
            </w:r>
            <w:r>
              <w:rPr>
                <w:rFonts w:hint="eastAsia"/>
                <w:lang w:val="en-US" w:eastAsia="zh-CN"/>
              </w:rPr>
              <w:t>选址合理，同意入驻。因此项目选址与《镇平县国土空间总体规划》（2021-2035）相符。</w:t>
            </w:r>
          </w:p>
          <w:p w14:paraId="7FD05C68">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t>2.2项目建设与镇平县集中式饮用水源保护区规划的相符性</w:t>
            </w:r>
          </w:p>
          <w:p w14:paraId="7C19E169">
            <w:pPr>
              <w:bidi w:val="0"/>
            </w:pPr>
            <w:r>
              <w:t>2.2.1镇平县饮用水水源保护区规划内容</w:t>
            </w:r>
          </w:p>
          <w:p w14:paraId="69537A96">
            <w:pPr>
              <w:bidi w:val="0"/>
            </w:pPr>
            <w:r>
              <w:t>根据《河南省人民政府办公厅关于印发河南省县级集中式饮用水水源保护区划的通知》（豫政办[2013]107号），目前，镇平县城区共有五里岗水厂及马岗水厂两座水厂用于城区生产及居民生活的集中供水，供水水源均来自赵湾水库。根据镇平县县级集中式饮用水水源保护区划分技术报告可知，赵湾水库饮用水水源地一级保护区面积为0.953km</w:t>
            </w:r>
            <w:r>
              <w:rPr>
                <w:vertAlign w:val="superscript"/>
              </w:rPr>
              <w:t>2</w:t>
            </w:r>
            <w:r>
              <w:t>，二级保护区面积为50.879km</w:t>
            </w:r>
            <w:r>
              <w:rPr>
                <w:vertAlign w:val="superscript"/>
              </w:rPr>
              <w:t>2</w:t>
            </w:r>
            <w:r>
              <w:t>，包括赵湾水库库区保护区及输水渠保护区两部分。</w:t>
            </w:r>
          </w:p>
          <w:p w14:paraId="17351B31">
            <w:pPr>
              <w:bidi w:val="0"/>
            </w:pPr>
            <w:r>
              <w:t>（1）赵湾水库库区饮用水水源保护区划分结果：</w:t>
            </w:r>
          </w:p>
          <w:p w14:paraId="3FA42AD7">
            <w:pPr>
              <w:bidi w:val="0"/>
            </w:pPr>
            <w:r>
              <w:t>①一级保护区划分结果</w:t>
            </w:r>
          </w:p>
          <w:p w14:paraId="769CB48F">
            <w:pPr>
              <w:bidi w:val="0"/>
            </w:pPr>
            <w:r>
              <w:t>水域：南起赵湾水库大坝，北至取水口北500m与水库大坝平行的边界线所包围的水域范围；</w:t>
            </w:r>
          </w:p>
          <w:p w14:paraId="4949BC99">
            <w:pPr>
              <w:bidi w:val="0"/>
            </w:pPr>
            <w:r>
              <w:t>陆域：水域范围外东西两侧正常水位线（+219.5m）以上200m范围内的陆域。</w:t>
            </w:r>
          </w:p>
          <w:p w14:paraId="43139630">
            <w:pPr>
              <w:bidi w:val="0"/>
            </w:pPr>
            <w:r>
              <w:t>②二级保护区划分结果</w:t>
            </w:r>
          </w:p>
          <w:p w14:paraId="0A4F0D84">
            <w:pPr>
              <w:bidi w:val="0"/>
            </w:pPr>
            <w: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238FF6FC">
            <w:pPr>
              <w:bidi w:val="0"/>
            </w:pPr>
            <w:r>
              <w:t>陆域：水域外3000m范围内的汇水区域，不超过流域分水岭（含水库大坝），即南起赵湾水库大坝，北至赵湾水库正常水位线外3000m的汇水区域，东、西侧到流域分水岭。</w:t>
            </w:r>
          </w:p>
          <w:p w14:paraId="57A3DF4C">
            <w:pPr>
              <w:bidi w:val="0"/>
            </w:pPr>
            <w:r>
              <w:t>③准保护区划分结果</w:t>
            </w:r>
          </w:p>
          <w:p w14:paraId="7B3EFF01">
            <w:pPr>
              <w:bidi w:val="0"/>
            </w:pPr>
            <w:r>
              <w:t>本次划分不设准保护区。</w:t>
            </w:r>
          </w:p>
          <w:p w14:paraId="1B9E08B1">
            <w:pPr>
              <w:bidi w:val="0"/>
            </w:pPr>
            <w:r>
              <w:t>（2）输水渠饮用水水源保护区划分结果：</w:t>
            </w:r>
          </w:p>
          <w:p w14:paraId="4DB5E456">
            <w:pPr>
              <w:bidi w:val="0"/>
            </w:pPr>
            <w:r>
              <w:t>①一级保护区划分结果</w:t>
            </w:r>
          </w:p>
          <w:p w14:paraId="121F3DA4">
            <w:pPr>
              <w:bidi w:val="0"/>
            </w:pPr>
            <w: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2D40A2F2">
            <w:pPr>
              <w:bidi w:val="0"/>
            </w:pPr>
            <w:r>
              <w:t>②二级保护区划分结果</w:t>
            </w:r>
          </w:p>
          <w:p w14:paraId="406E7708">
            <w:pPr>
              <w:bidi w:val="0"/>
            </w:pPr>
            <w:r>
              <w:t>赵湾水库坝下至水库管理局西侧明渠段（长约960m）二级保护区范围为一级保护区边界向外延伸水平距离200m区域；水库管理局西侧至五里岗水厂暗渠段（长约16.04km）不设二级保护区。</w:t>
            </w:r>
          </w:p>
          <w:p w14:paraId="5E4EC373">
            <w:pPr>
              <w:bidi w:val="0"/>
            </w:pPr>
            <w:r>
              <w:rPr>
                <w:rFonts w:hint="eastAsia"/>
                <w:lang w:val="en-US" w:eastAsia="zh-CN"/>
              </w:rPr>
              <w:t>当赵湾水库至五里岗水厂的输水渠全部改造为输水暗渠后，取消输水渠两侧的保护区划分。</w:t>
            </w:r>
          </w:p>
          <w:p w14:paraId="1A244256">
            <w:pPr>
              <w:bidi w:val="0"/>
            </w:pPr>
            <w:r>
              <w:t xml:space="preserve">2.3.2项目建设与镇平县饮用水源地保护规划的相符性分析 </w:t>
            </w:r>
          </w:p>
          <w:p w14:paraId="5D564BD5">
            <w:pPr>
              <w:bidi w:val="0"/>
            </w:pPr>
            <w:r>
              <w:rPr>
                <w:rFonts w:hint="eastAsia"/>
                <w:lang w:val="en-US" w:eastAsia="zh-CN"/>
              </w:rPr>
              <w:t>根据调查，目前赵湾水库至五里岗水厂的输水渠已全部改造为输水暗渠，已取消输水渠两侧的保护范围；</w:t>
            </w:r>
            <w:r>
              <w:rPr>
                <w:highlight w:val="none"/>
              </w:rPr>
              <w:t>本项目位于</w:t>
            </w:r>
            <w:r>
              <w:rPr>
                <w:rFonts w:hint="eastAsia"/>
                <w:highlight w:val="none"/>
                <w:lang w:eastAsia="zh-CN"/>
              </w:rPr>
              <w:t>南阳市镇平县先进制造业开发区玉神路与建设路交叉口北200米8号</w:t>
            </w:r>
            <w:r>
              <w:rPr>
                <w:highlight w:val="none"/>
              </w:rPr>
              <w:t>，西北距赵湾水库库区饮用水源二级保护区边界最近直线距离约</w:t>
            </w:r>
            <w:r>
              <w:rPr>
                <w:rFonts w:hint="eastAsia"/>
                <w:highlight w:val="none"/>
                <w:lang w:val="en-US" w:eastAsia="zh-CN"/>
              </w:rPr>
              <w:t>9.056</w:t>
            </w:r>
            <w:r>
              <w:rPr>
                <w:highlight w:val="none"/>
              </w:rPr>
              <w:t>km</w:t>
            </w:r>
            <w:r>
              <w:t>，项目选址不在赵湾水库饮用水水源保护区范围内</w:t>
            </w:r>
            <w:r>
              <w:rPr>
                <w:rFonts w:hint="eastAsia"/>
              </w:rPr>
              <w:t>。</w:t>
            </w:r>
            <w:r>
              <w:rPr>
                <w:highlight w:val="none"/>
              </w:rPr>
              <w:t>且项目</w:t>
            </w:r>
            <w:r>
              <w:rPr>
                <w:rFonts w:hint="default"/>
                <w:highlight w:val="none"/>
                <w:lang w:val="en-US" w:eastAsia="zh-CN"/>
              </w:rPr>
              <w:t>营运期职工生活污水经化粪池处理后</w:t>
            </w:r>
            <w:r>
              <w:rPr>
                <w:rFonts w:hint="eastAsia"/>
                <w:highlight w:val="none"/>
                <w:lang w:val="en-US" w:eastAsia="zh-CN"/>
              </w:rPr>
              <w:t>排放</w:t>
            </w:r>
            <w:r>
              <w:rPr>
                <w:rFonts w:hint="default"/>
                <w:highlight w:val="none"/>
                <w:lang w:val="en-US" w:eastAsia="zh-CN"/>
              </w:rPr>
              <w:t>，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highlight w:val="none"/>
              </w:rPr>
              <w:t>。</w:t>
            </w:r>
            <w:r>
              <w:rPr>
                <w:highlight w:val="none"/>
              </w:rPr>
              <w:t>因此项目建设不会对镇平县集中式饮用水源水质产生不良影响。</w:t>
            </w:r>
          </w:p>
          <w:p w14:paraId="6E49A50D">
            <w:pPr>
              <w:keepNext w:val="0"/>
              <w:keepLines w:val="0"/>
              <w:pageBreakBefore w:val="0"/>
              <w:widowControl w:val="0"/>
              <w:kinsoku/>
              <w:wordWrap/>
              <w:overflowPunct/>
              <w:topLinePunct w:val="0"/>
              <w:autoSpaceDE/>
              <w:autoSpaceDN/>
              <w:bidi w:val="0"/>
              <w:adjustRightInd/>
              <w:snapToGrid/>
              <w:ind w:firstLine="0" w:firstLineChars="0"/>
              <w:textAlignment w:val="auto"/>
            </w:pPr>
            <w:r>
              <w:t>2.3、项目建设与南水北调中线工程总干渠水源保护区规划的相符性</w:t>
            </w:r>
          </w:p>
          <w:p w14:paraId="5D9EF05F">
            <w:pPr>
              <w:bidi w:val="0"/>
            </w:pPr>
            <w:r>
              <w:rPr>
                <w:rFonts w:hint="eastAsia"/>
              </w:rPr>
              <w:t>（1）</w:t>
            </w:r>
            <w:r>
              <w:t>南水北调中线一期工程总干渠（河南段）两侧饮用水水源保护区划</w:t>
            </w:r>
            <w:r>
              <w:rPr>
                <w:rFonts w:hint="eastAsia"/>
              </w:rPr>
              <w:t>范围</w:t>
            </w:r>
          </w:p>
          <w:p w14:paraId="7F061BCD">
            <w:pPr>
              <w:bidi w:val="0"/>
            </w:pPr>
            <w:r>
              <w:t>根据《关于印发南水北调中线一期工程总干渠（河南段）两侧水源保护区划的通知》（豫调办</w:t>
            </w:r>
            <w:r>
              <w:rPr>
                <w:rFonts w:hint="eastAsia"/>
              </w:rPr>
              <w:t>[</w:t>
            </w:r>
            <w:r>
              <w:t>2018</w:t>
            </w:r>
            <w:r>
              <w:rPr>
                <w:rFonts w:hint="eastAsia"/>
              </w:rPr>
              <w:t>]</w:t>
            </w:r>
            <w:r>
              <w:t>56号），总干渠两侧饮用水水源保护区划范围：</w:t>
            </w:r>
          </w:p>
          <w:p w14:paraId="3E787904">
            <w:pPr>
              <w:bidi w:val="0"/>
            </w:pPr>
            <w:r>
              <w:rPr>
                <w:rFonts w:hint="eastAsia"/>
              </w:rPr>
              <w:t>南水北调中线一期工程总干渠在河南境内的工程类型分为建筑物段和总干渠明渠段。</w:t>
            </w:r>
          </w:p>
          <w:p w14:paraId="0DDEEEE5">
            <w:pPr>
              <w:bidi w:val="0"/>
            </w:pPr>
            <w:r>
              <w:rPr>
                <w:rFonts w:hint="eastAsia"/>
              </w:rPr>
              <w:t>①</w:t>
            </w:r>
            <w:r>
              <w:t>建筑物段（渡槽、倒虹吸、暗涵、隧洞）</w:t>
            </w:r>
          </w:p>
          <w:p w14:paraId="36C707BB">
            <w:pPr>
              <w:bidi w:val="0"/>
            </w:pPr>
            <w:r>
              <w:t>一级保护区范围自总干渠管理范围边线（防护栏网）外延50m，不设二级保护区。</w:t>
            </w:r>
          </w:p>
          <w:p w14:paraId="18BAD5AF">
            <w:pPr>
              <w:bidi w:val="0"/>
            </w:pPr>
            <w:r>
              <w:rPr>
                <w:rFonts w:hint="eastAsia"/>
              </w:rPr>
              <w:t>②</w:t>
            </w:r>
            <w:r>
              <w:t>总干渠明渠段</w:t>
            </w:r>
          </w:p>
          <w:p w14:paraId="6B4ADDE6">
            <w:pPr>
              <w:bidi w:val="0"/>
            </w:pPr>
            <w:r>
              <w:t>根据地下水水位与总干渠渠底高程的关系，分为以下几种类型：</w:t>
            </w:r>
          </w:p>
          <w:p w14:paraId="631DBB37">
            <w:pPr>
              <w:bidi w:val="0"/>
            </w:pPr>
            <w:r>
              <w:rPr>
                <w:rFonts w:hint="eastAsia"/>
              </w:rPr>
              <w:t>A</w:t>
            </w:r>
            <w:r>
              <w:t>地下水水位低于总干渠渠底的渠段</w:t>
            </w:r>
          </w:p>
          <w:p w14:paraId="158DFED1">
            <w:pPr>
              <w:bidi w:val="0"/>
            </w:pPr>
            <w:r>
              <w:t>一级保护区范围自总干渠管理范围边线（防护栏网）外延50米；</w:t>
            </w:r>
          </w:p>
          <w:p w14:paraId="67A4CBAD">
            <w:pPr>
              <w:bidi w:val="0"/>
            </w:pPr>
            <w:r>
              <w:t>二级保护区范围自一级保护区边线外延150米。</w:t>
            </w:r>
          </w:p>
          <w:p w14:paraId="70C1A6D1">
            <w:pPr>
              <w:bidi w:val="0"/>
            </w:pPr>
            <w:r>
              <w:rPr>
                <w:rFonts w:hint="eastAsia"/>
              </w:rPr>
              <w:t>B</w:t>
            </w:r>
            <w:r>
              <w:t>地下水水位高于总干渠渠底的渠段</w:t>
            </w:r>
          </w:p>
          <w:p w14:paraId="577F8F1D">
            <w:pPr>
              <w:bidi w:val="0"/>
            </w:pPr>
            <w:r>
              <w:t>微—弱透水性地层</w:t>
            </w:r>
            <w:r>
              <w:rPr>
                <w:rFonts w:hint="eastAsia"/>
              </w:rPr>
              <w:t>：</w:t>
            </w:r>
          </w:p>
          <w:p w14:paraId="7C699DBD">
            <w:pPr>
              <w:bidi w:val="0"/>
            </w:pPr>
            <w:r>
              <w:t>一级保护区范围自总干渠管理范围边线（防护栏网）外延50米；</w:t>
            </w:r>
          </w:p>
          <w:p w14:paraId="74FEE711">
            <w:pPr>
              <w:bidi w:val="0"/>
            </w:pPr>
            <w:r>
              <w:t>二级保护区范围自一级保护区边线外延500米。</w:t>
            </w:r>
          </w:p>
          <w:p w14:paraId="60651244">
            <w:pPr>
              <w:bidi w:val="0"/>
            </w:pPr>
            <w:r>
              <w:rPr>
                <w:rFonts w:hint="eastAsia"/>
              </w:rPr>
              <w:t>弱—中等透水性地层：</w:t>
            </w:r>
          </w:p>
          <w:p w14:paraId="1797DFAA">
            <w:pPr>
              <w:bidi w:val="0"/>
            </w:pPr>
            <w:r>
              <w:t>一级保护区范围自总干渠管理范围边线（防护栏网）外延100米；</w:t>
            </w:r>
          </w:p>
          <w:p w14:paraId="76027206">
            <w:pPr>
              <w:bidi w:val="0"/>
            </w:pPr>
            <w:r>
              <w:t>二级保护区范围自一级保护区边线外延1000米。</w:t>
            </w:r>
          </w:p>
          <w:p w14:paraId="46017C78">
            <w:pPr>
              <w:bidi w:val="0"/>
            </w:pPr>
            <w:r>
              <w:t>强透水性地层</w:t>
            </w:r>
            <w:r>
              <w:rPr>
                <w:rFonts w:hint="eastAsia"/>
              </w:rPr>
              <w:t>：</w:t>
            </w:r>
          </w:p>
          <w:p w14:paraId="3BAF56A2">
            <w:pPr>
              <w:bidi w:val="0"/>
            </w:pPr>
            <w:r>
              <w:t>一级保护区范围自总干渠管理范围边线（防护栏网）外延200米；</w:t>
            </w:r>
          </w:p>
          <w:p w14:paraId="5AAD3788">
            <w:pPr>
              <w:bidi w:val="0"/>
            </w:pPr>
            <w:r>
              <w:t>二级保护区范围自一级保护区边线外延2000米、1500米。</w:t>
            </w:r>
          </w:p>
          <w:p w14:paraId="7BD1154C">
            <w:pPr>
              <w:bidi w:val="0"/>
            </w:pPr>
            <w:r>
              <w:t>三、监督与管理</w:t>
            </w:r>
          </w:p>
          <w:p w14:paraId="67590F69">
            <w:pPr>
              <w:bidi w:val="0"/>
            </w:pPr>
            <w:r>
              <w:t>南水北调中线一期工程总干渠（河南段）两侧饮用水水源保护区所在地各级政府要按照有关法律法规加强饮用水水源环境监督管理工作。</w:t>
            </w:r>
          </w:p>
          <w:p w14:paraId="6B610605">
            <w:pPr>
              <w:bidi w:val="0"/>
            </w:pPr>
            <w: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4D66BBDF">
            <w:pPr>
              <w:bidi w:val="0"/>
            </w:pPr>
            <w:r>
              <w:t>②在一级保护区内，禁止新建、改建、扩建与供水设施和保护水源无关的建设项目。</w:t>
            </w:r>
          </w:p>
          <w:p w14:paraId="26167797">
            <w:pPr>
              <w:bidi w:val="0"/>
            </w:pPr>
            <w:r>
              <w:t>③在二级保护区内，禁止新建、改建、扩建排放污染物的建设项目。</w:t>
            </w:r>
          </w:p>
          <w:p w14:paraId="170DE696">
            <w:pPr>
              <w:bidi w:val="0"/>
            </w:pPr>
            <w:r>
              <w:rPr>
                <w:rFonts w:hint="eastAsia"/>
              </w:rPr>
              <w:t>（2）</w:t>
            </w:r>
            <w:r>
              <w:t>项目建设与南水北调中线工程总干渠两侧水源保护区规划的相符性分析</w:t>
            </w:r>
          </w:p>
          <w:p w14:paraId="29B7243E">
            <w:pPr>
              <w:bidi w:val="0"/>
              <w:rPr>
                <w:color w:val="000000" w:themeColor="text1"/>
                <w14:textFill>
                  <w14:solidFill>
                    <w14:schemeClr w14:val="tx1"/>
                  </w14:solidFill>
                </w14:textFill>
              </w:rPr>
            </w:pPr>
            <w:r>
              <w:t>本项目位于</w:t>
            </w:r>
            <w:r>
              <w:rPr>
                <w:rFonts w:hint="eastAsia"/>
                <w:highlight w:val="none"/>
                <w:lang w:eastAsia="zh-CN"/>
              </w:rPr>
              <w:t>南阳市镇平县先进制造业开发区玉神路与建设路交叉口北200米8号</w:t>
            </w:r>
            <w:r>
              <w:t>，</w:t>
            </w:r>
            <w:r>
              <w:rPr>
                <w:rFonts w:hint="default"/>
              </w:rPr>
              <w:t>距离干渠最近桩号为</w:t>
            </w:r>
            <w:r>
              <w:rPr>
                <w:rFonts w:hint="default"/>
                <w:highlight w:val="none"/>
              </w:rPr>
              <w:t>TS</w:t>
            </w:r>
            <w:r>
              <w:rPr>
                <w:rFonts w:hint="eastAsia"/>
                <w:highlight w:val="none"/>
                <w:lang w:val="en-US" w:eastAsia="zh-CN"/>
              </w:rPr>
              <w:t>68</w:t>
            </w:r>
            <w:r>
              <w:rPr>
                <w:rFonts w:hint="default"/>
                <w:highlight w:val="none"/>
              </w:rPr>
              <w:t>+000</w:t>
            </w:r>
            <w:r>
              <w:rPr>
                <w:rFonts w:hint="eastAsia"/>
                <w:highlight w:val="none"/>
                <w:lang w:val="en-US" w:eastAsia="zh-CN"/>
              </w:rPr>
              <w:t>~</w:t>
            </w:r>
            <w:r>
              <w:rPr>
                <w:rFonts w:hint="default"/>
                <w:highlight w:val="none"/>
              </w:rPr>
              <w:t>TS</w:t>
            </w:r>
            <w:r>
              <w:rPr>
                <w:rFonts w:hint="eastAsia"/>
                <w:highlight w:val="none"/>
                <w:lang w:val="en-US" w:eastAsia="zh-CN"/>
              </w:rPr>
              <w:t>69</w:t>
            </w:r>
            <w:r>
              <w:rPr>
                <w:rFonts w:hint="default"/>
                <w:highlight w:val="none"/>
              </w:rPr>
              <w:t>+000</w:t>
            </w:r>
            <w:r>
              <w:rPr>
                <w:rFonts w:hint="default"/>
              </w:rPr>
              <w:t>，该段干渠保护区范围为一级保护区宽度100m，二级保护区宽度1000m，项目</w:t>
            </w:r>
            <w:r>
              <w:rPr>
                <w:rFonts w:hint="default"/>
                <w:lang w:val="en-US" w:eastAsia="zh-CN"/>
              </w:rPr>
              <w:t>距离总干渠管理范围边线（防护栏网）的距离</w:t>
            </w:r>
            <w:r>
              <w:rPr>
                <w:rFonts w:hint="default"/>
              </w:rPr>
              <w:t>约</w:t>
            </w:r>
            <w:r>
              <w:rPr>
                <w:rFonts w:hint="eastAsia"/>
                <w:lang w:val="en-US" w:eastAsia="zh-CN"/>
              </w:rPr>
              <w:t>10.63k</w:t>
            </w:r>
            <w:r>
              <w:rPr>
                <w:rFonts w:hint="default"/>
              </w:rPr>
              <w:t>m</w:t>
            </w:r>
            <w:r>
              <w:rPr>
                <w:rFonts w:hint="eastAsia"/>
                <w:lang w:eastAsia="zh-CN"/>
              </w:rPr>
              <w:t>，</w:t>
            </w:r>
            <w:r>
              <w:rPr>
                <w:rFonts w:hint="eastAsia"/>
                <w:lang w:val="en-US" w:eastAsia="zh-CN"/>
              </w:rPr>
              <w:t>距离南水北调二级保护区边界为9.63km</w:t>
            </w:r>
            <w:r>
              <w:t>。经对照南水北调中线工程总干渠两侧水源保护区规划图，项目选址不在其两侧水源保护区范围内，</w:t>
            </w:r>
            <w:r>
              <w:rPr>
                <w:highlight w:val="none"/>
              </w:rPr>
              <w:t>项目</w:t>
            </w:r>
            <w:r>
              <w:rPr>
                <w:rFonts w:hint="default"/>
                <w:highlight w:val="none"/>
                <w:lang w:val="en-US" w:eastAsia="zh-CN"/>
              </w:rPr>
              <w:t>营运期职工生活污水经化粪池处理后</w:t>
            </w:r>
            <w:r>
              <w:rPr>
                <w:rFonts w:hint="eastAsia"/>
                <w:highlight w:val="none"/>
                <w:lang w:val="en-US" w:eastAsia="zh-CN"/>
              </w:rPr>
              <w:t>排放</w:t>
            </w:r>
            <w:r>
              <w:rPr>
                <w:rFonts w:hint="default"/>
                <w:highlight w:val="none"/>
                <w:lang w:val="en-US" w:eastAsia="zh-CN"/>
              </w:rPr>
              <w:t>，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rPr>
              <w:t>。</w:t>
            </w:r>
            <w:r>
              <w:t>因此项目建设不会对南水北调干渠水源水质产生不良影响。</w:t>
            </w:r>
          </w:p>
          <w:p w14:paraId="5330AAA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t>2.4项目与河南南阳恐龙蛋化石群国家级自然保护区规划相符性</w:t>
            </w:r>
          </w:p>
          <w:p w14:paraId="21AB6B5B">
            <w:pPr>
              <w:bidi w:val="0"/>
            </w:pPr>
            <w:r>
              <w:t>（1）保护区基本情况</w:t>
            </w:r>
          </w:p>
          <w:p w14:paraId="6AFF4C75">
            <w:pPr>
              <w:bidi w:val="0"/>
            </w:pPr>
            <w: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4E26A1D3">
            <w:pPr>
              <w:bidi w:val="0"/>
            </w:pPr>
            <w:r>
              <w:t>（2）国家级自然保护区管理要求</w:t>
            </w:r>
          </w:p>
          <w:p w14:paraId="2AF6B409">
            <w:pPr>
              <w:bidi w:val="0"/>
            </w:pPr>
            <w:r>
              <w:t>①禁止在自然保护区内进行砍伐、放牧、狩猎、捕捞、采药、开垦、烧荒、开矿、采石、挖沙等活动；但是，法律、行政法规另有规定的除外。</w:t>
            </w:r>
          </w:p>
          <w:p w14:paraId="53D2FC85">
            <w:pPr>
              <w:bidi w:val="0"/>
            </w:pPr>
            <w: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37032015">
            <w:pPr>
              <w:bidi w:val="0"/>
            </w:pPr>
            <w: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035E341D">
            <w:pPr>
              <w:bidi w:val="0"/>
            </w:pPr>
            <w: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0F91C8EF">
            <w:pPr>
              <w:bidi w:val="0"/>
            </w:pPr>
            <w:r>
              <w:t>（3）项目建设与河南南阳恐龙蛋化石群国家级自然保护区的相符性分析</w:t>
            </w:r>
          </w:p>
          <w:p w14:paraId="3A98CED5">
            <w:pPr>
              <w:bidi w:val="0"/>
            </w:pPr>
            <w:r>
              <w:t>本项目位于</w:t>
            </w:r>
            <w:r>
              <w:rPr>
                <w:rFonts w:hint="eastAsia"/>
                <w:highlight w:val="none"/>
                <w:lang w:eastAsia="zh-CN"/>
              </w:rPr>
              <w:t>南阳市镇平县先进制造业开发区玉神路与建设路交叉口北200米8号</w:t>
            </w:r>
            <w:r>
              <w:t>，经比对《河南南阳恐龙蛋化石群国家级自然保护区划图》，</w:t>
            </w:r>
            <w:r>
              <w:rPr>
                <w:rFonts w:hint="eastAsia"/>
                <w:lang w:val="en-US" w:eastAsia="zh-CN"/>
              </w:rPr>
              <w:t>距离项目最近的为</w:t>
            </w:r>
            <w:r>
              <w:t>河南南阳恐龙蛋化石群国家级自然保护区缓冲区</w:t>
            </w:r>
            <w:r>
              <w:rPr>
                <w:rFonts w:hint="eastAsia"/>
                <w:lang w:eastAsia="zh-CN"/>
              </w:rPr>
              <w:t>，</w:t>
            </w:r>
            <w:r>
              <w:t>项目</w:t>
            </w:r>
            <w:r>
              <w:rPr>
                <w:rFonts w:hint="eastAsia"/>
                <w:highlight w:val="none"/>
              </w:rPr>
              <w:t>东</w:t>
            </w:r>
            <w:r>
              <w:rPr>
                <w:highlight w:val="none"/>
              </w:rPr>
              <w:t>北</w:t>
            </w:r>
            <w:r>
              <w:t>距缓冲区边界约</w:t>
            </w:r>
            <w:r>
              <w:rPr>
                <w:rFonts w:hint="eastAsia"/>
                <w:lang w:val="en-US" w:eastAsia="zh-CN"/>
              </w:rPr>
              <w:t>4.310</w:t>
            </w:r>
            <w:r>
              <w:t>km，不在保护区范围内。项目按环评要求的治污措施配套落实后各污染物排放均满足相应的污染物排放标准，对恐龙蛋化石遗迹影响不大，因此项目建设与河南南阳恐龙蛋化石群国家级自然保护区的要求基本相符。</w:t>
            </w:r>
          </w:p>
          <w:p w14:paraId="53EA374D">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3、项目建设与相关技术规范、政策的符合性</w:t>
            </w:r>
          </w:p>
          <w:p w14:paraId="61605BC0">
            <w:pPr>
              <w:spacing w:line="360" w:lineRule="auto"/>
              <w:ind w:left="0" w:leftChars="0" w:firstLine="0" w:firstLineChars="0"/>
              <w:rPr>
                <w:rFonts w:hint="eastAsia" w:ascii="Times New Roman" w:hAnsi="Times New Roman" w:eastAsia="黑体" w:cs="Times New Roman"/>
                <w:b w:val="0"/>
                <w:bCs w:val="0"/>
                <w:szCs w:val="24"/>
                <w:u w:val="none"/>
                <w:lang w:val="en-US" w:eastAsia="zh-CN"/>
              </w:rPr>
            </w:pPr>
            <w:r>
              <w:rPr>
                <w:rFonts w:hint="eastAsia" w:ascii="Times New Roman" w:hAnsi="Times New Roman" w:eastAsia="黑体" w:cs="Times New Roman"/>
                <w:b w:val="0"/>
                <w:bCs w:val="0"/>
                <w:szCs w:val="24"/>
                <w:u w:val="none"/>
                <w:lang w:val="en-US" w:eastAsia="zh-CN"/>
              </w:rPr>
              <w:t>3.1</w:t>
            </w:r>
            <w:r>
              <w:rPr>
                <w:rFonts w:hint="default" w:ascii="Times New Roman" w:hAnsi="Times New Roman" w:eastAsia="黑体" w:cs="Times New Roman"/>
              </w:rPr>
              <w:t>项目建设</w:t>
            </w:r>
            <w:r>
              <w:rPr>
                <w:rFonts w:hint="eastAsia" w:ascii="Times New Roman" w:hAnsi="Times New Roman" w:eastAsia="黑体" w:cs="Times New Roman"/>
                <w:b w:val="0"/>
                <w:bCs w:val="0"/>
                <w:szCs w:val="24"/>
                <w:u w:val="none"/>
                <w:lang w:val="en-US" w:eastAsia="zh-CN"/>
              </w:rPr>
              <w:t>与南阳市环境空气质量限期达标行动实施方案相符性分析</w:t>
            </w:r>
          </w:p>
          <w:p w14:paraId="570D52D8">
            <w:pPr>
              <w:bidi w:val="0"/>
              <w:rPr>
                <w:rFonts w:hint="eastAsia"/>
                <w:lang w:val="en-US" w:eastAsia="zh-CN"/>
              </w:rPr>
            </w:pPr>
            <w:r>
              <w:rPr>
                <w:rFonts w:hint="eastAsia"/>
              </w:rPr>
              <w:t>为持续深入打好蓝天保卫战</w:t>
            </w:r>
            <w:r>
              <w:rPr>
                <w:rFonts w:hint="eastAsia"/>
                <w:lang w:eastAsia="zh-CN"/>
              </w:rPr>
              <w:t>，</w:t>
            </w:r>
            <w:r>
              <w:rPr>
                <w:rFonts w:hint="eastAsia"/>
              </w:rPr>
              <w:t>南阳市人民政府办公室</w:t>
            </w:r>
            <w:r>
              <w:rPr>
                <w:rFonts w:hint="eastAsia"/>
                <w:lang w:val="en-US" w:eastAsia="zh-CN"/>
              </w:rPr>
              <w:t>于</w:t>
            </w:r>
            <w:r>
              <w:rPr>
                <w:rFonts w:hint="eastAsia"/>
              </w:rPr>
              <w:t>2024年2月2日</w:t>
            </w:r>
            <w:r>
              <w:rPr>
                <w:rFonts w:hint="eastAsia"/>
                <w:lang w:val="en-US" w:eastAsia="zh-CN"/>
              </w:rPr>
              <w:t>发布了《关于印发</w:t>
            </w:r>
            <w:r>
              <w:rPr>
                <w:rFonts w:hint="eastAsia"/>
              </w:rPr>
              <w:t>南阳市环境空气质量限期达标行动实施方案（2024-2025年）的通知</w:t>
            </w:r>
            <w:r>
              <w:rPr>
                <w:rFonts w:hint="eastAsia"/>
                <w:lang w:val="en-US" w:eastAsia="zh-CN"/>
              </w:rPr>
              <w:t>》</w:t>
            </w:r>
            <w:r>
              <w:t>（宛政办〔2024〕3号）</w:t>
            </w:r>
            <w:r>
              <w:rPr>
                <w:rFonts w:hint="eastAsia"/>
              </w:rPr>
              <w:t>，</w:t>
            </w:r>
            <w:r>
              <w:rPr>
                <w:rFonts w:hint="eastAsia"/>
                <w:lang w:val="en-US" w:eastAsia="zh-CN"/>
              </w:rPr>
              <w:t>具体要求如下</w:t>
            </w:r>
            <w:r>
              <w:rPr>
                <w:rFonts w:hint="eastAsia"/>
              </w:rPr>
              <w:t>。</w:t>
            </w:r>
          </w:p>
          <w:p w14:paraId="532C10B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szCs w:val="24"/>
                <w:lang w:val="en-US" w:eastAsia="zh-CN"/>
              </w:rPr>
            </w:pPr>
            <w:r>
              <w:rPr>
                <w:rFonts w:hint="default" w:ascii="Times New Roman" w:hAnsi="Times New Roman" w:eastAsia="黑体" w:cs="Times New Roman"/>
                <w:szCs w:val="24"/>
                <w:lang w:val="en-US" w:eastAsia="zh-CN"/>
              </w:rPr>
              <w:t>表</w:t>
            </w:r>
            <w:r>
              <w:rPr>
                <w:rFonts w:hint="eastAsia" w:ascii="Times New Roman" w:hAnsi="Times New Roman" w:eastAsia="黑体" w:cs="Times New Roman"/>
                <w:szCs w:val="24"/>
                <w:lang w:val="en-US" w:eastAsia="zh-CN"/>
              </w:rPr>
              <w:t>1-</w:t>
            </w:r>
            <w:r>
              <w:rPr>
                <w:rFonts w:hint="eastAsia" w:eastAsia="黑体" w:cs="Times New Roman"/>
                <w:szCs w:val="24"/>
                <w:lang w:val="en-US" w:eastAsia="zh-CN"/>
              </w:rPr>
              <w:t>10</w:t>
            </w:r>
            <w:r>
              <w:rPr>
                <w:rFonts w:hint="eastAsia" w:ascii="Times New Roman" w:hAnsi="Times New Roman" w:eastAsia="黑体" w:cs="Times New Roman"/>
                <w:szCs w:val="24"/>
                <w:lang w:val="en-US" w:eastAsia="zh-CN"/>
              </w:rPr>
              <w:t xml:space="preserve"> </w:t>
            </w:r>
            <w:r>
              <w:rPr>
                <w:rFonts w:hint="default" w:ascii="Times New Roman" w:hAnsi="Times New Roman" w:eastAsia="黑体" w:cs="Times New Roman"/>
                <w:szCs w:val="24"/>
                <w:lang w:val="en-US" w:eastAsia="zh-CN"/>
              </w:rPr>
              <w:t xml:space="preserve"> 与南阳市环境空气质量限期达标行动实施方案相符性分析</w:t>
            </w:r>
          </w:p>
          <w:tbl>
            <w:tblPr>
              <w:tblStyle w:val="28"/>
              <w:tblW w:w="49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646"/>
              <w:gridCol w:w="3886"/>
              <w:gridCol w:w="2762"/>
              <w:gridCol w:w="734"/>
            </w:tblGrid>
            <w:tr w14:paraId="1775B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822" w:type="pct"/>
                  <w:gridSpan w:val="2"/>
                  <w:tcBorders>
                    <w:tl2br w:val="nil"/>
                    <w:tr2bl w:val="nil"/>
                  </w:tcBorders>
                  <w:tcMar>
                    <w:top w:w="0" w:type="dxa"/>
                    <w:left w:w="10" w:type="dxa"/>
                    <w:bottom w:w="0" w:type="dxa"/>
                    <w:right w:w="10" w:type="dxa"/>
                  </w:tcMar>
                  <w:vAlign w:val="center"/>
                </w:tcPr>
                <w:p w14:paraId="7E4C03AA">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要求</w:t>
                  </w:r>
                </w:p>
              </w:tc>
              <w:tc>
                <w:tcPr>
                  <w:tcW w:w="1720" w:type="pct"/>
                  <w:tcBorders>
                    <w:tl2br w:val="nil"/>
                    <w:tr2bl w:val="nil"/>
                  </w:tcBorders>
                  <w:tcMar>
                    <w:top w:w="0" w:type="dxa"/>
                    <w:left w:w="10" w:type="dxa"/>
                    <w:bottom w:w="0" w:type="dxa"/>
                    <w:right w:w="10" w:type="dxa"/>
                  </w:tcMar>
                  <w:vAlign w:val="center"/>
                </w:tcPr>
                <w:p w14:paraId="7AD715F4">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本项目情况</w:t>
                  </w:r>
                </w:p>
              </w:tc>
              <w:tc>
                <w:tcPr>
                  <w:tcW w:w="457" w:type="pct"/>
                  <w:tcBorders>
                    <w:tl2br w:val="nil"/>
                    <w:tr2bl w:val="nil"/>
                  </w:tcBorders>
                  <w:tcMar>
                    <w:top w:w="0" w:type="dxa"/>
                    <w:left w:w="10" w:type="dxa"/>
                    <w:bottom w:w="0" w:type="dxa"/>
                    <w:right w:w="10" w:type="dxa"/>
                  </w:tcMar>
                  <w:vAlign w:val="center"/>
                </w:tcPr>
                <w:p w14:paraId="437A9DDC">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相符性</w:t>
                  </w:r>
                </w:p>
              </w:tc>
            </w:tr>
            <w:tr w14:paraId="4ED33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6CA71AEF">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加快淘汰落后低效产能</w:t>
                  </w:r>
                </w:p>
              </w:tc>
              <w:tc>
                <w:tcPr>
                  <w:tcW w:w="2420" w:type="pct"/>
                  <w:tcBorders>
                    <w:tl2br w:val="nil"/>
                    <w:tr2bl w:val="nil"/>
                  </w:tcBorders>
                  <w:tcMar>
                    <w:top w:w="0" w:type="dxa"/>
                    <w:left w:w="10" w:type="dxa"/>
                    <w:bottom w:w="0" w:type="dxa"/>
                    <w:right w:w="10" w:type="dxa"/>
                  </w:tcMar>
                  <w:vAlign w:val="center"/>
                </w:tcPr>
                <w:p w14:paraId="2CFB2F77">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研究制定落后产能淘汰退出工作方案，明确目标任务、时间节点、工作措施和责任单位。依据国家《产业结构调整指导目录》及《河南省淘汰落后产能综合标准体系》要求，严格强制性标准实施，落实属地责任，促使一批达不到标准体系要求和生产不合格产品或淘汰类产能等落后产能依法依规严格关停退出</w:t>
                  </w:r>
                </w:p>
              </w:tc>
              <w:tc>
                <w:tcPr>
                  <w:tcW w:w="1720" w:type="pct"/>
                  <w:tcBorders>
                    <w:tl2br w:val="nil"/>
                    <w:tr2bl w:val="nil"/>
                  </w:tcBorders>
                  <w:tcMar>
                    <w:top w:w="0" w:type="dxa"/>
                    <w:left w:w="10" w:type="dxa"/>
                    <w:bottom w:w="0" w:type="dxa"/>
                    <w:right w:w="10" w:type="dxa"/>
                  </w:tcMar>
                  <w:vAlign w:val="center"/>
                </w:tcPr>
                <w:p w14:paraId="5EC13450">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rFonts w:hint="default" w:eastAsiaTheme="minorEastAsia"/>
                      <w:color w:val="000000" w:themeColor="text1"/>
                      <w:kern w:val="0"/>
                      <w:sz w:val="21"/>
                      <w:szCs w:val="21"/>
                      <w:highlight w:val="none"/>
                      <w:lang w:val="en-US"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本项目生产工艺、设备、产品不属于限制类、淘汰类</w:t>
                  </w:r>
                  <w:r>
                    <w:rPr>
                      <w:rFonts w:hint="eastAsia"/>
                      <w:color w:val="000000" w:themeColor="text1"/>
                      <w:kern w:val="0"/>
                      <w:sz w:val="21"/>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不涉及淘汰落后产能。</w:t>
                  </w:r>
                </w:p>
              </w:tc>
              <w:tc>
                <w:tcPr>
                  <w:tcW w:w="457" w:type="pct"/>
                  <w:tcBorders>
                    <w:tl2br w:val="nil"/>
                    <w:tr2bl w:val="nil"/>
                  </w:tcBorders>
                  <w:tcMar>
                    <w:top w:w="0" w:type="dxa"/>
                    <w:left w:w="10" w:type="dxa"/>
                    <w:bottom w:w="0" w:type="dxa"/>
                    <w:right w:w="10" w:type="dxa"/>
                  </w:tcMar>
                  <w:vAlign w:val="center"/>
                </w:tcPr>
                <w:p w14:paraId="4A2F7588">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45F24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1EA9EA10">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坚决遏制两高项目盲目发展</w:t>
                  </w:r>
                </w:p>
              </w:tc>
              <w:tc>
                <w:tcPr>
                  <w:tcW w:w="2420" w:type="pct"/>
                  <w:tcBorders>
                    <w:tl2br w:val="nil"/>
                    <w:tr2bl w:val="nil"/>
                  </w:tcBorders>
                  <w:tcMar>
                    <w:top w:w="0" w:type="dxa"/>
                    <w:left w:w="10" w:type="dxa"/>
                    <w:bottom w:w="0" w:type="dxa"/>
                    <w:right w:w="10" w:type="dxa"/>
                  </w:tcMar>
                  <w:vAlign w:val="center"/>
                </w:tcPr>
                <w:p w14:paraId="22AA5B74">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严格落实国家和省、市产业规划、产业政策、“三线一单”、规划环评，以及产能置换、煤炭消费减量替代、区域污染物削减等要求，严把高耗能、高排放、低水平项目准入关口。</w:t>
                  </w:r>
                </w:p>
              </w:tc>
              <w:tc>
                <w:tcPr>
                  <w:tcW w:w="1720" w:type="pct"/>
                  <w:tcBorders>
                    <w:tl2br w:val="nil"/>
                    <w:tr2bl w:val="nil"/>
                  </w:tcBorders>
                  <w:tcMar>
                    <w:top w:w="0" w:type="dxa"/>
                    <w:left w:w="10" w:type="dxa"/>
                    <w:bottom w:w="0" w:type="dxa"/>
                    <w:right w:w="10" w:type="dxa"/>
                  </w:tcMar>
                  <w:vAlign w:val="center"/>
                </w:tcPr>
                <w:p w14:paraId="14F9E8E8">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color w:val="000000" w:themeColor="text1"/>
                      <w:kern w:val="0"/>
                      <w:sz w:val="21"/>
                      <w:szCs w:val="21"/>
                      <w:highlight w:val="none"/>
                      <w14:textFill>
                        <w14:solidFill>
                          <w14:schemeClr w14:val="tx1"/>
                        </w14:solidFill>
                      </w14:textFill>
                    </w:rPr>
                    <w:t>本项目不属于两高项目，项目建设符合国家产业政策、</w:t>
                  </w:r>
                  <w:r>
                    <w:rPr>
                      <w:rFonts w:hint="eastAsia"/>
                      <w:color w:val="000000" w:themeColor="text1"/>
                      <w:sz w:val="21"/>
                      <w:szCs w:val="21"/>
                      <w:highlight w:val="none"/>
                      <w14:textFill>
                        <w14:solidFill>
                          <w14:schemeClr w14:val="tx1"/>
                        </w14:solidFill>
                      </w14:textFill>
                    </w:rPr>
                    <w:t>“三线一单”</w:t>
                  </w:r>
                  <w:r>
                    <w:rPr>
                      <w:color w:val="000000" w:themeColor="text1"/>
                      <w:kern w:val="0"/>
                      <w:sz w:val="21"/>
                      <w:szCs w:val="21"/>
                      <w:highlight w:val="none"/>
                      <w14:textFill>
                        <w14:solidFill>
                          <w14:schemeClr w14:val="tx1"/>
                        </w14:solidFill>
                      </w14:textFill>
                    </w:rPr>
                    <w:t>、规划环评等要求</w:t>
                  </w:r>
                  <w:r>
                    <w:rPr>
                      <w:rFonts w:hint="eastAsia"/>
                      <w:color w:val="000000" w:themeColor="text1"/>
                      <w:kern w:val="0"/>
                      <w:sz w:val="21"/>
                      <w:szCs w:val="21"/>
                      <w:highlight w:val="none"/>
                      <w:lang w:eastAsia="zh-CN"/>
                      <w14:textFill>
                        <w14:solidFill>
                          <w14:schemeClr w14:val="tx1"/>
                        </w14:solidFill>
                      </w14:textFill>
                    </w:rPr>
                    <w:t>。</w:t>
                  </w:r>
                </w:p>
              </w:tc>
              <w:tc>
                <w:tcPr>
                  <w:tcW w:w="457" w:type="pct"/>
                  <w:tcBorders>
                    <w:tl2br w:val="nil"/>
                    <w:tr2bl w:val="nil"/>
                  </w:tcBorders>
                  <w:tcMar>
                    <w:top w:w="0" w:type="dxa"/>
                    <w:left w:w="10" w:type="dxa"/>
                    <w:bottom w:w="0" w:type="dxa"/>
                    <w:right w:w="10" w:type="dxa"/>
                  </w:tcMar>
                  <w:vAlign w:val="center"/>
                </w:tcPr>
                <w:p w14:paraId="23145DA9">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Style w:val="38"/>
                      <w:rFonts w:hint="default" w:ascii="Times New Roman" w:hAnsi="Times New Roman" w:eastAsia="宋体" w:cs="Times New Roman"/>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7D89F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224" w:hRule="atLeast"/>
                <w:jc w:val="center"/>
              </w:trPr>
              <w:tc>
                <w:tcPr>
                  <w:tcW w:w="402" w:type="pct"/>
                  <w:tcBorders>
                    <w:tl2br w:val="nil"/>
                    <w:tr2bl w:val="nil"/>
                  </w:tcBorders>
                  <w:tcMar>
                    <w:top w:w="0" w:type="dxa"/>
                    <w:left w:w="10" w:type="dxa"/>
                    <w:bottom w:w="0" w:type="dxa"/>
                    <w:right w:w="10" w:type="dxa"/>
                  </w:tcMar>
                  <w:vAlign w:val="center"/>
                </w:tcPr>
                <w:p w14:paraId="7ACEE93E">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强化项目环评及“三同时”管理</w:t>
                  </w:r>
                </w:p>
              </w:tc>
              <w:tc>
                <w:tcPr>
                  <w:tcW w:w="2420" w:type="pct"/>
                  <w:tcBorders>
                    <w:tl2br w:val="nil"/>
                    <w:tr2bl w:val="nil"/>
                  </w:tcBorders>
                  <w:tcMar>
                    <w:top w:w="0" w:type="dxa"/>
                    <w:left w:w="10" w:type="dxa"/>
                    <w:bottom w:w="0" w:type="dxa"/>
                    <w:right w:w="10" w:type="dxa"/>
                  </w:tcMar>
                  <w:vAlign w:val="center"/>
                </w:tcPr>
                <w:p w14:paraId="537B64B8">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新建、改建、扩建项目大宗货物年货运量150万吨及以上的，原则上要接入铁路专用线或管道；具有铁路专用线的，大宗货物铁路运输比例应达到80%以上。</w:t>
                  </w:r>
                </w:p>
              </w:tc>
              <w:tc>
                <w:tcPr>
                  <w:tcW w:w="1720" w:type="pct"/>
                  <w:tcBorders>
                    <w:tl2br w:val="nil"/>
                    <w:tr2bl w:val="nil"/>
                  </w:tcBorders>
                  <w:tcMar>
                    <w:top w:w="0" w:type="dxa"/>
                    <w:left w:w="10" w:type="dxa"/>
                    <w:bottom w:w="0" w:type="dxa"/>
                    <w:right w:w="10" w:type="dxa"/>
                  </w:tcMar>
                  <w:vAlign w:val="center"/>
                </w:tcPr>
                <w:p w14:paraId="4A5999DF">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rFonts w:hint="eastAsia" w:eastAsia="宋体"/>
                      <w:color w:val="000000" w:themeColor="text1"/>
                      <w:kern w:val="0"/>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本</w:t>
                  </w:r>
                  <w:r>
                    <w:rPr>
                      <w:color w:val="000000" w:themeColor="text1"/>
                      <w:kern w:val="0"/>
                      <w:sz w:val="21"/>
                      <w:szCs w:val="21"/>
                      <w:highlight w:val="none"/>
                      <w14:textFill>
                        <w14:solidFill>
                          <w14:schemeClr w14:val="tx1"/>
                        </w14:solidFill>
                      </w14:textFill>
                    </w:rPr>
                    <w:t>项目在污染物排放限值、污染治理措施、无组织排放控制水平、运输方式等方面，能够满足铸造行业绩效A级指标要求</w:t>
                  </w:r>
                  <w:r>
                    <w:rPr>
                      <w:rFonts w:hint="eastAsia"/>
                      <w:color w:val="000000" w:themeColor="text1"/>
                      <w:kern w:val="0"/>
                      <w:sz w:val="21"/>
                      <w:szCs w:val="21"/>
                      <w:highlight w:val="none"/>
                      <w:lang w:eastAsia="zh-CN"/>
                      <w14:textFill>
                        <w14:solidFill>
                          <w14:schemeClr w14:val="tx1"/>
                        </w14:solidFill>
                      </w14:textFill>
                    </w:rPr>
                    <w:t>。</w:t>
                  </w:r>
                </w:p>
              </w:tc>
              <w:tc>
                <w:tcPr>
                  <w:tcW w:w="457" w:type="pct"/>
                  <w:tcBorders>
                    <w:tl2br w:val="nil"/>
                    <w:tr2bl w:val="nil"/>
                  </w:tcBorders>
                  <w:tcMar>
                    <w:top w:w="0" w:type="dxa"/>
                    <w:left w:w="10" w:type="dxa"/>
                    <w:bottom w:w="0" w:type="dxa"/>
                    <w:right w:w="10" w:type="dxa"/>
                  </w:tcMar>
                  <w:vAlign w:val="center"/>
                </w:tcPr>
                <w:p w14:paraId="0E10C2A9">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Style w:val="38"/>
                      <w:rFonts w:hint="default" w:ascii="Times New Roman" w:hAnsi="Times New Roman" w:eastAsia="宋体" w:cs="Times New Roman"/>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68AED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06117983">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大力发展清洁能源</w:t>
                  </w:r>
                </w:p>
              </w:tc>
              <w:tc>
                <w:tcPr>
                  <w:tcW w:w="2420" w:type="pct"/>
                  <w:tcBorders>
                    <w:tl2br w:val="nil"/>
                    <w:tr2bl w:val="nil"/>
                  </w:tcBorders>
                  <w:tcMar>
                    <w:top w:w="0" w:type="dxa"/>
                    <w:left w:w="10" w:type="dxa"/>
                    <w:bottom w:w="0" w:type="dxa"/>
                    <w:right w:w="10" w:type="dxa"/>
                  </w:tcMar>
                  <w:vAlign w:val="center"/>
                </w:tcPr>
                <w:p w14:paraId="17A38EEE">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加快非化石能源发展，以光伏发电、风电为重点，以生物质、抽水蓄能、地热能、氢能等为补充，因地制宜推动可再生能源多元化、协同化发展。优先支持</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源网荷储一体化</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风电＋高比例储能</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光伏＋高比例储能</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风光火储一体化</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等项目建设，到2025年，风电装机容量达到260万千瓦以上，光伏发电装机容量达到430万千瓦以上，全市可再生能源发电装机容量达到850万千瓦以上，新能源发电全部市内自用，不外输。</w:t>
                  </w:r>
                </w:p>
              </w:tc>
              <w:tc>
                <w:tcPr>
                  <w:tcW w:w="1720" w:type="pct"/>
                  <w:tcBorders>
                    <w:tl2br w:val="nil"/>
                    <w:tr2bl w:val="nil"/>
                  </w:tcBorders>
                  <w:tcMar>
                    <w:top w:w="0" w:type="dxa"/>
                    <w:left w:w="10" w:type="dxa"/>
                    <w:bottom w:w="0" w:type="dxa"/>
                    <w:right w:w="10" w:type="dxa"/>
                  </w:tcMar>
                  <w:vAlign w:val="center"/>
                </w:tcPr>
                <w:p w14:paraId="10266E14">
                  <w:pPr>
                    <w:keepNext w:val="0"/>
                    <w:keepLines w:val="0"/>
                    <w:pageBreakBefore w:val="0"/>
                    <w:widowControl/>
                    <w:kinsoku/>
                    <w:wordWrap/>
                    <w:overflowPunct/>
                    <w:topLinePunct w:val="0"/>
                    <w:autoSpaceDE/>
                    <w:autoSpaceDN/>
                    <w:bidi w:val="0"/>
                    <w:adjustRightIn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本项目使用电能，</w:t>
                  </w:r>
                  <w:r>
                    <w:rPr>
                      <w:rFonts w:hint="eastAsia"/>
                      <w:color w:val="000000" w:themeColor="text1"/>
                      <w:sz w:val="21"/>
                      <w:szCs w:val="21"/>
                      <w:highlight w:val="none"/>
                      <w:lang w:val="en-US" w:eastAsia="zh-CN"/>
                      <w14:textFill>
                        <w14:solidFill>
                          <w14:schemeClr w14:val="tx1"/>
                        </w14:solidFill>
                      </w14:textFill>
                    </w:rPr>
                    <w:t>属于</w:t>
                  </w:r>
                  <w:r>
                    <w:rPr>
                      <w:color w:val="000000" w:themeColor="text1"/>
                      <w:sz w:val="21"/>
                      <w:szCs w:val="21"/>
                      <w:highlight w:val="none"/>
                      <w14:textFill>
                        <w14:solidFill>
                          <w14:schemeClr w14:val="tx1"/>
                        </w14:solidFill>
                      </w14:textFill>
                    </w:rPr>
                    <w:t>清洁能源</w:t>
                  </w:r>
                  <w:r>
                    <w:rPr>
                      <w:rFonts w:hint="eastAsia"/>
                      <w:color w:val="000000" w:themeColor="text1"/>
                      <w:sz w:val="21"/>
                      <w:szCs w:val="21"/>
                      <w:highlight w:val="none"/>
                      <w:lang w:eastAsia="zh-CN"/>
                      <w14:textFill>
                        <w14:solidFill>
                          <w14:schemeClr w14:val="tx1"/>
                        </w14:solidFill>
                      </w14:textFill>
                    </w:rPr>
                    <w:t>。</w:t>
                  </w:r>
                </w:p>
              </w:tc>
              <w:tc>
                <w:tcPr>
                  <w:tcW w:w="457" w:type="pct"/>
                  <w:tcBorders>
                    <w:tl2br w:val="nil"/>
                    <w:tr2bl w:val="nil"/>
                  </w:tcBorders>
                  <w:tcMar>
                    <w:top w:w="0" w:type="dxa"/>
                    <w:left w:w="10" w:type="dxa"/>
                    <w:bottom w:w="0" w:type="dxa"/>
                    <w:right w:w="10" w:type="dxa"/>
                  </w:tcMar>
                  <w:vAlign w:val="center"/>
                </w:tcPr>
                <w:p w14:paraId="0092A1ED">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0EB45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2CC58856">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加快推进工业炉窑清洁能源替代</w:t>
                  </w:r>
                </w:p>
              </w:tc>
              <w:tc>
                <w:tcPr>
                  <w:tcW w:w="2420" w:type="pct"/>
                  <w:tcBorders>
                    <w:tl2br w:val="nil"/>
                    <w:tr2bl w:val="nil"/>
                  </w:tcBorders>
                  <w:tcMar>
                    <w:top w:w="0" w:type="dxa"/>
                    <w:left w:w="10" w:type="dxa"/>
                    <w:bottom w:w="0" w:type="dxa"/>
                    <w:right w:w="10" w:type="dxa"/>
                  </w:tcMar>
                  <w:vAlign w:val="center"/>
                </w:tcPr>
                <w:p w14:paraId="53029EF7">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20" w:type="pct"/>
                  <w:tcBorders>
                    <w:tl2br w:val="nil"/>
                    <w:tr2bl w:val="nil"/>
                  </w:tcBorders>
                  <w:tcMar>
                    <w:top w:w="0" w:type="dxa"/>
                    <w:left w:w="10" w:type="dxa"/>
                    <w:bottom w:w="0" w:type="dxa"/>
                    <w:right w:w="10" w:type="dxa"/>
                  </w:tcMar>
                  <w:vAlign w:val="center"/>
                </w:tcPr>
                <w:p w14:paraId="58469674">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中频炉使用电能，属于清洁能源。</w:t>
                  </w:r>
                </w:p>
              </w:tc>
              <w:tc>
                <w:tcPr>
                  <w:tcW w:w="457" w:type="pct"/>
                  <w:tcBorders>
                    <w:tl2br w:val="nil"/>
                    <w:tr2bl w:val="nil"/>
                  </w:tcBorders>
                  <w:tcMar>
                    <w:top w:w="0" w:type="dxa"/>
                    <w:left w:w="10" w:type="dxa"/>
                    <w:bottom w:w="0" w:type="dxa"/>
                    <w:right w:w="10" w:type="dxa"/>
                  </w:tcMar>
                  <w:vAlign w:val="center"/>
                </w:tcPr>
                <w:p w14:paraId="0F931CB7">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2CCE3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4260BE10">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强化重点行业绩效水平提升</w:t>
                  </w:r>
                </w:p>
              </w:tc>
              <w:tc>
                <w:tcPr>
                  <w:tcW w:w="2420" w:type="pct"/>
                  <w:tcBorders>
                    <w:tl2br w:val="nil"/>
                    <w:tr2bl w:val="nil"/>
                  </w:tcBorders>
                  <w:tcMar>
                    <w:top w:w="0" w:type="dxa"/>
                    <w:left w:w="10" w:type="dxa"/>
                    <w:bottom w:w="0" w:type="dxa"/>
                    <w:right w:w="10" w:type="dxa"/>
                  </w:tcMar>
                  <w:vAlign w:val="center"/>
                </w:tcPr>
                <w:p w14:paraId="14A28594">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以铸造、建材、有色、工业涂装等行业为重点，按照</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建设一批、培育一批、提升一批</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的原则，分行业分类别建立绩效提升企业清单，着力培育一批绩效水平高、行业带动强的企业，积极帮扶指导绩效评级较低的企业对标先进、夯实基础，加大改造力度，不断提升环境绩效水平。</w:t>
                  </w:r>
                </w:p>
              </w:tc>
              <w:tc>
                <w:tcPr>
                  <w:tcW w:w="1720" w:type="pct"/>
                  <w:tcBorders>
                    <w:tl2br w:val="nil"/>
                    <w:tr2bl w:val="nil"/>
                  </w:tcBorders>
                  <w:tcMar>
                    <w:top w:w="0" w:type="dxa"/>
                    <w:left w:w="10" w:type="dxa"/>
                    <w:bottom w:w="0" w:type="dxa"/>
                    <w:right w:w="10" w:type="dxa"/>
                  </w:tcMar>
                  <w:vAlign w:val="center"/>
                </w:tcPr>
                <w:p w14:paraId="4BC45F96">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可以满足</w:t>
                  </w:r>
                  <w:r>
                    <w:rPr>
                      <w:color w:val="000000" w:themeColor="text1"/>
                      <w:sz w:val="21"/>
                      <w:szCs w:val="21"/>
                      <w:highlight w:val="none"/>
                      <w14:textFill>
                        <w14:solidFill>
                          <w14:schemeClr w14:val="tx1"/>
                        </w14:solidFill>
                      </w14:textFill>
                    </w:rPr>
                    <w:t>铸造行业绩效分级A级指标要求</w:t>
                  </w:r>
                  <w:r>
                    <w:rPr>
                      <w:rFonts w:hint="eastAsia"/>
                      <w:color w:val="000000" w:themeColor="text1"/>
                      <w:sz w:val="21"/>
                      <w:szCs w:val="21"/>
                      <w:highlight w:val="none"/>
                      <w:lang w:eastAsia="zh-CN"/>
                      <w14:textFill>
                        <w14:solidFill>
                          <w14:schemeClr w14:val="tx1"/>
                        </w14:solidFill>
                      </w14:textFill>
                    </w:rPr>
                    <w:t>。</w:t>
                  </w:r>
                </w:p>
              </w:tc>
              <w:tc>
                <w:tcPr>
                  <w:tcW w:w="457" w:type="pct"/>
                  <w:tcBorders>
                    <w:tl2br w:val="nil"/>
                    <w:tr2bl w:val="nil"/>
                  </w:tcBorders>
                  <w:tcMar>
                    <w:top w:w="0" w:type="dxa"/>
                    <w:left w:w="10" w:type="dxa"/>
                    <w:bottom w:w="0" w:type="dxa"/>
                    <w:right w:w="10" w:type="dxa"/>
                  </w:tcMar>
                  <w:vAlign w:val="center"/>
                </w:tcPr>
                <w:p w14:paraId="1FD5CCCE">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Style w:val="38"/>
                      <w:rFonts w:hint="default" w:ascii="Times New Roman" w:hAnsi="Times New Roman" w:eastAsia="宋体" w:cs="Times New Roman"/>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7C6BB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02" w:type="pct"/>
                  <w:tcBorders>
                    <w:tl2br w:val="nil"/>
                    <w:tr2bl w:val="nil"/>
                  </w:tcBorders>
                  <w:tcMar>
                    <w:top w:w="0" w:type="dxa"/>
                    <w:left w:w="10" w:type="dxa"/>
                    <w:bottom w:w="0" w:type="dxa"/>
                    <w:right w:w="10" w:type="dxa"/>
                  </w:tcMar>
                  <w:vAlign w:val="center"/>
                </w:tcPr>
                <w:p w14:paraId="131A9D0B">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加快挥发性有机物治理</w:t>
                  </w:r>
                </w:p>
              </w:tc>
              <w:tc>
                <w:tcPr>
                  <w:tcW w:w="2420" w:type="pct"/>
                  <w:tcBorders>
                    <w:tl2br w:val="nil"/>
                    <w:tr2bl w:val="nil"/>
                  </w:tcBorders>
                  <w:tcMar>
                    <w:top w:w="0" w:type="dxa"/>
                    <w:left w:w="10" w:type="dxa"/>
                    <w:bottom w:w="0" w:type="dxa"/>
                    <w:right w:w="10" w:type="dxa"/>
                  </w:tcMar>
                  <w:vAlign w:val="center"/>
                </w:tcPr>
                <w:p w14:paraId="5C706A27">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紧盯VOCs无组织排放短板，实施含VOCs物料全方位、全链条、全环节密闭管理，提升废气收集率，在保证安全生产前提下，做到“应收尽收”。产生含挥发性有机物废水的企业，在保证安全的前提下，将地漏、沟、渠、井等敞开式集输方式改造为密闭式集输方式，最大程度减少挥发性有机物无组织排放。对达不到VOCs无组织排放治理要求的企业，依法依规进行治理。</w:t>
                  </w:r>
                </w:p>
              </w:tc>
              <w:tc>
                <w:tcPr>
                  <w:tcW w:w="1720" w:type="pct"/>
                  <w:tcBorders>
                    <w:tl2br w:val="nil"/>
                    <w:tr2bl w:val="nil"/>
                  </w:tcBorders>
                  <w:tcMar>
                    <w:top w:w="0" w:type="dxa"/>
                    <w:left w:w="10" w:type="dxa"/>
                    <w:bottom w:w="0" w:type="dxa"/>
                    <w:right w:w="10" w:type="dxa"/>
                  </w:tcMar>
                  <w:vAlign w:val="center"/>
                </w:tcPr>
                <w:p w14:paraId="37AADD66">
                  <w:pPr>
                    <w:keepNext w:val="0"/>
                    <w:keepLines w:val="0"/>
                    <w:pageBreakBefore w:val="0"/>
                    <w:kinsoku/>
                    <w:wordWrap/>
                    <w:overflowPunct/>
                    <w:topLinePunct w:val="0"/>
                    <w:autoSpaceDE/>
                    <w:autoSpaceDN/>
                    <w:bidi w:val="0"/>
                    <w:adjustRightInd/>
                    <w:snapToGrid w:val="0"/>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有机废气</w:t>
                  </w:r>
                  <w:r>
                    <w:rPr>
                      <w:color w:val="000000" w:themeColor="text1"/>
                      <w:sz w:val="21"/>
                      <w:szCs w:val="21"/>
                      <w:highlight w:val="none"/>
                      <w14:textFill>
                        <w14:solidFill>
                          <w14:schemeClr w14:val="tx1"/>
                        </w14:solidFill>
                      </w14:textFill>
                    </w:rPr>
                    <w:t>可以达到</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应收尽收</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的要求</w:t>
                  </w:r>
                  <w:r>
                    <w:rPr>
                      <w:rFonts w:hint="eastAsia"/>
                      <w:color w:val="000000" w:themeColor="text1"/>
                      <w:sz w:val="21"/>
                      <w:szCs w:val="21"/>
                      <w:highlight w:val="none"/>
                      <w:lang w:eastAsia="zh-CN"/>
                      <w14:textFill>
                        <w14:solidFill>
                          <w14:schemeClr w14:val="tx1"/>
                        </w14:solidFill>
                      </w14:textFill>
                    </w:rPr>
                    <w:t>。</w:t>
                  </w:r>
                </w:p>
              </w:tc>
              <w:tc>
                <w:tcPr>
                  <w:tcW w:w="457" w:type="pct"/>
                  <w:tcBorders>
                    <w:tl2br w:val="nil"/>
                    <w:tr2bl w:val="nil"/>
                  </w:tcBorders>
                  <w:tcMar>
                    <w:top w:w="0" w:type="dxa"/>
                    <w:left w:w="10" w:type="dxa"/>
                    <w:bottom w:w="0" w:type="dxa"/>
                    <w:right w:w="10" w:type="dxa"/>
                  </w:tcMar>
                  <w:vAlign w:val="center"/>
                </w:tcPr>
                <w:p w14:paraId="368F78C9">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Style w:val="38"/>
                      <w:rFonts w:hint="default" w:ascii="Times New Roman" w:hAnsi="Times New Roman" w:eastAsia="宋体" w:cs="Times New Roman"/>
                      <w:color w:val="000000" w:themeColor="text1"/>
                      <w:sz w:val="21"/>
                      <w:szCs w:val="21"/>
                      <w:highlight w:val="none"/>
                      <w14:textFill>
                        <w14:solidFill>
                          <w14:schemeClr w14:val="tx1"/>
                        </w14:solidFill>
                      </w14:textFill>
                    </w:rPr>
                  </w:pPr>
                  <w:r>
                    <w:rPr>
                      <w:rStyle w:val="38"/>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bl>
          <w:p w14:paraId="21C9A4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highlight w:val="none"/>
              </w:rPr>
            </w:pPr>
            <w:r>
              <w:rPr>
                <w:sz w:val="24"/>
                <w:highlight w:val="none"/>
              </w:rPr>
              <w:t>综上所述，本项目建设符合南阳市环境空气质量限期达标行动实施方案（2024-2025年）中相关要求。</w:t>
            </w:r>
          </w:p>
          <w:p w14:paraId="700E3A64">
            <w:pPr>
              <w:spacing w:line="360" w:lineRule="auto"/>
              <w:ind w:left="0" w:leftChars="0" w:firstLine="0" w:firstLineChars="0"/>
              <w:rPr>
                <w:rFonts w:hint="eastAsia" w:ascii="Times New Roman" w:hAnsi="Times New Roman" w:eastAsia="黑体" w:cs="Times New Roman"/>
                <w:b w:val="0"/>
                <w:bCs w:val="0"/>
                <w:szCs w:val="24"/>
                <w:u w:val="none"/>
                <w:lang w:val="en-US" w:eastAsia="zh-CN"/>
              </w:rPr>
            </w:pPr>
            <w:r>
              <w:rPr>
                <w:rFonts w:hint="eastAsia" w:eastAsia="黑体" w:cs="Times New Roman"/>
                <w:b w:val="0"/>
                <w:bCs w:val="0"/>
                <w:szCs w:val="24"/>
                <w:u w:val="none"/>
                <w:lang w:val="en-US" w:eastAsia="zh-CN"/>
              </w:rPr>
              <w:t>3.2、</w:t>
            </w:r>
            <w:r>
              <w:rPr>
                <w:rFonts w:hint="eastAsia" w:ascii="Times New Roman" w:hAnsi="Times New Roman" w:eastAsia="黑体" w:cs="Times New Roman"/>
                <w:b w:val="0"/>
                <w:bCs w:val="0"/>
                <w:szCs w:val="24"/>
                <w:u w:val="none"/>
                <w:lang w:val="en-US" w:eastAsia="zh-CN"/>
              </w:rPr>
              <w:t>与南阳市空气质量持续改善行动实施方案相符性分析</w:t>
            </w:r>
          </w:p>
          <w:p w14:paraId="5C9CED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highlight w:val="none"/>
              </w:rPr>
            </w:pPr>
            <w:r>
              <w:rPr>
                <w:rFonts w:hint="eastAsia"/>
                <w:sz w:val="24"/>
                <w:highlight w:val="none"/>
                <w:lang w:val="en-US" w:eastAsia="zh-CN"/>
              </w:rPr>
              <w:t>为改善环境空气质量，</w:t>
            </w:r>
            <w:r>
              <w:rPr>
                <w:rFonts w:hint="eastAsia"/>
                <w:sz w:val="24"/>
                <w:highlight w:val="none"/>
              </w:rPr>
              <w:t>南阳市人民政府</w:t>
            </w:r>
            <w:r>
              <w:rPr>
                <w:rFonts w:hint="eastAsia"/>
                <w:sz w:val="24"/>
                <w:highlight w:val="none"/>
                <w:lang w:val="en-US" w:eastAsia="zh-CN"/>
              </w:rPr>
              <w:t>于</w:t>
            </w:r>
            <w:r>
              <w:rPr>
                <w:rFonts w:hint="eastAsia"/>
                <w:sz w:val="24"/>
                <w:highlight w:val="none"/>
              </w:rPr>
              <w:t>2024年9月13日</w:t>
            </w:r>
            <w:r>
              <w:rPr>
                <w:rFonts w:hint="eastAsia"/>
                <w:sz w:val="24"/>
                <w:highlight w:val="none"/>
                <w:lang w:val="en-US" w:eastAsia="zh-CN"/>
              </w:rPr>
              <w:t>发布了《关于</w:t>
            </w:r>
            <w:r>
              <w:rPr>
                <w:rFonts w:hint="eastAsia"/>
                <w:sz w:val="24"/>
                <w:highlight w:val="none"/>
              </w:rPr>
              <w:t>印发南阳市空气质量持续改善行动</w:t>
            </w:r>
            <w:r>
              <w:rPr>
                <w:rFonts w:hint="eastAsia"/>
                <w:sz w:val="24"/>
                <w:highlight w:val="none"/>
                <w:lang w:val="en-US" w:eastAsia="zh-CN"/>
              </w:rPr>
              <w:t>实施方案</w:t>
            </w:r>
            <w:r>
              <w:rPr>
                <w:rFonts w:hint="eastAsia"/>
                <w:sz w:val="24"/>
                <w:highlight w:val="none"/>
              </w:rPr>
              <w:t>的通知</w:t>
            </w:r>
            <w:r>
              <w:rPr>
                <w:rFonts w:hint="eastAsia"/>
                <w:sz w:val="24"/>
                <w:highlight w:val="none"/>
                <w:lang w:val="en-US" w:eastAsia="zh-CN"/>
              </w:rPr>
              <w:t>》</w:t>
            </w:r>
            <w:r>
              <w:rPr>
                <w:rFonts w:hint="eastAsia"/>
                <w:sz w:val="24"/>
                <w:highlight w:val="none"/>
              </w:rPr>
              <w:t>（宛政〔2024〕6号），</w:t>
            </w:r>
            <w:r>
              <w:rPr>
                <w:rFonts w:hint="eastAsia"/>
                <w:sz w:val="24"/>
                <w:highlight w:val="none"/>
                <w:lang w:val="en-US" w:eastAsia="zh-CN"/>
              </w:rPr>
              <w:t>具体要求如下</w:t>
            </w:r>
            <w:r>
              <w:rPr>
                <w:rFonts w:hint="eastAsia"/>
                <w:sz w:val="24"/>
                <w:highlight w:val="none"/>
              </w:rPr>
              <w:t>。</w:t>
            </w:r>
          </w:p>
          <w:p w14:paraId="3D92B3C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szCs w:val="24"/>
                <w:lang w:val="en-US" w:eastAsia="zh-CN"/>
              </w:rPr>
            </w:pPr>
            <w:r>
              <w:rPr>
                <w:rFonts w:hint="default" w:ascii="Times New Roman" w:hAnsi="Times New Roman" w:eastAsia="黑体" w:cs="Times New Roman"/>
                <w:szCs w:val="24"/>
                <w:lang w:val="en-US" w:eastAsia="zh-CN"/>
              </w:rPr>
              <w:t>表</w:t>
            </w:r>
            <w:r>
              <w:rPr>
                <w:rFonts w:hint="eastAsia" w:ascii="Times New Roman" w:hAnsi="Times New Roman" w:eastAsia="黑体" w:cs="Times New Roman"/>
                <w:szCs w:val="24"/>
                <w:lang w:val="en-US" w:eastAsia="zh-CN"/>
              </w:rPr>
              <w:t>1-</w:t>
            </w:r>
            <w:r>
              <w:rPr>
                <w:rFonts w:hint="eastAsia" w:eastAsia="黑体" w:cs="Times New Roman"/>
                <w:szCs w:val="24"/>
                <w:lang w:val="en-US" w:eastAsia="zh-CN"/>
              </w:rPr>
              <w:t>11</w:t>
            </w:r>
            <w:r>
              <w:rPr>
                <w:rFonts w:hint="default" w:ascii="Times New Roman" w:hAnsi="Times New Roman" w:eastAsia="黑体" w:cs="Times New Roman"/>
                <w:szCs w:val="24"/>
                <w:lang w:val="en-US" w:eastAsia="zh-CN"/>
              </w:rPr>
              <w:t xml:space="preserve"> </w:t>
            </w:r>
            <w:r>
              <w:rPr>
                <w:rFonts w:hint="eastAsia" w:ascii="Times New Roman" w:hAnsi="Times New Roman" w:eastAsia="黑体" w:cs="Times New Roman"/>
                <w:szCs w:val="24"/>
                <w:lang w:val="en-US" w:eastAsia="zh-CN"/>
              </w:rPr>
              <w:t xml:space="preserve"> </w:t>
            </w:r>
            <w:r>
              <w:rPr>
                <w:rFonts w:hint="default" w:ascii="Times New Roman" w:hAnsi="Times New Roman" w:eastAsia="黑体" w:cs="Times New Roman"/>
                <w:szCs w:val="24"/>
                <w:lang w:val="en-US" w:eastAsia="zh-CN"/>
              </w:rPr>
              <w:t>项目与南阳市空气质量持续改善行动实施方案相符性分析</w:t>
            </w:r>
          </w:p>
          <w:tbl>
            <w:tblPr>
              <w:tblStyle w:val="28"/>
              <w:tblW w:w="498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666"/>
              <w:gridCol w:w="4143"/>
              <w:gridCol w:w="2494"/>
              <w:gridCol w:w="736"/>
            </w:tblGrid>
            <w:tr w14:paraId="2B97E5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991" w:type="pct"/>
                  <w:gridSpan w:val="2"/>
                  <w:tcBorders>
                    <w:top w:val="single" w:color="auto" w:sz="6" w:space="0"/>
                    <w:left w:val="single" w:color="auto" w:sz="6" w:space="0"/>
                    <w:bottom w:val="single" w:color="auto" w:sz="4" w:space="0"/>
                    <w:right w:val="single" w:color="auto" w:sz="4" w:space="0"/>
                  </w:tcBorders>
                  <w:vAlign w:val="center"/>
                </w:tcPr>
                <w:p w14:paraId="3F39C8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Style w:val="38"/>
                      <w:rFonts w:hint="default" w:ascii="Times New Roman" w:hAnsi="Times New Roman" w:eastAsia="宋体" w:cs="Times New Roman"/>
                      <w:color w:val="auto"/>
                      <w:sz w:val="21"/>
                      <w:szCs w:val="21"/>
                      <w:highlight w:val="none"/>
                    </w:rPr>
                    <w:t>要求</w:t>
                  </w:r>
                </w:p>
              </w:tc>
              <w:tc>
                <w:tcPr>
                  <w:tcW w:w="1551" w:type="pct"/>
                  <w:tcBorders>
                    <w:top w:val="single" w:color="auto" w:sz="6" w:space="0"/>
                    <w:left w:val="single" w:color="auto" w:sz="4" w:space="0"/>
                    <w:bottom w:val="single" w:color="auto" w:sz="4" w:space="0"/>
                    <w:right w:val="single" w:color="auto" w:sz="4" w:space="0"/>
                  </w:tcBorders>
                  <w:vAlign w:val="center"/>
                </w:tcPr>
                <w:p w14:paraId="753794A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Style w:val="38"/>
                      <w:rFonts w:hint="default" w:ascii="Times New Roman" w:hAnsi="Times New Roman" w:eastAsia="宋体" w:cs="Times New Roman"/>
                      <w:color w:val="auto"/>
                      <w:sz w:val="21"/>
                      <w:szCs w:val="21"/>
                      <w:highlight w:val="none"/>
                    </w:rPr>
                    <w:t>本项目情况</w:t>
                  </w:r>
                </w:p>
              </w:tc>
              <w:tc>
                <w:tcPr>
                  <w:tcW w:w="457" w:type="pct"/>
                  <w:tcBorders>
                    <w:top w:val="single" w:color="auto" w:sz="6" w:space="0"/>
                    <w:left w:val="single" w:color="auto" w:sz="4" w:space="0"/>
                    <w:bottom w:val="single" w:color="auto" w:sz="4" w:space="0"/>
                    <w:right w:val="single" w:color="auto" w:sz="6" w:space="0"/>
                  </w:tcBorders>
                  <w:vAlign w:val="center"/>
                </w:tcPr>
                <w:p w14:paraId="273EB9A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Style w:val="38"/>
                      <w:rFonts w:hint="default" w:ascii="Times New Roman" w:hAnsi="Times New Roman" w:eastAsia="宋体" w:cs="Times New Roman"/>
                      <w:color w:val="auto"/>
                      <w:sz w:val="21"/>
                      <w:szCs w:val="21"/>
                      <w:highlight w:val="none"/>
                    </w:rPr>
                    <w:t>相符性</w:t>
                  </w:r>
                </w:p>
              </w:tc>
            </w:tr>
            <w:tr w14:paraId="56687F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14" w:type="pct"/>
                  <w:tcBorders>
                    <w:top w:val="single" w:color="auto" w:sz="4" w:space="0"/>
                    <w:left w:val="single" w:color="auto" w:sz="6" w:space="0"/>
                    <w:right w:val="single" w:color="auto" w:sz="4" w:space="0"/>
                  </w:tcBorders>
                  <w:vAlign w:val="center"/>
                </w:tcPr>
                <w:p w14:paraId="0E881C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严把两高项目准入关口</w:t>
                  </w:r>
                </w:p>
              </w:tc>
              <w:tc>
                <w:tcPr>
                  <w:tcW w:w="2577" w:type="pct"/>
                  <w:tcBorders>
                    <w:top w:val="single" w:color="auto" w:sz="4" w:space="0"/>
                    <w:left w:val="single" w:color="auto" w:sz="4" w:space="0"/>
                    <w:bottom w:val="single" w:color="auto" w:sz="4" w:space="0"/>
                    <w:right w:val="single" w:color="auto" w:sz="4" w:space="0"/>
                  </w:tcBorders>
                  <w:vAlign w:val="center"/>
                </w:tcPr>
                <w:p w14:paraId="6638DBEA">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严格落实国家、省</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两高</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w:t>
                  </w:r>
                </w:p>
              </w:tc>
              <w:tc>
                <w:tcPr>
                  <w:tcW w:w="1551" w:type="pct"/>
                  <w:tcBorders>
                    <w:top w:val="single" w:color="auto" w:sz="4" w:space="0"/>
                    <w:left w:val="single" w:color="auto" w:sz="4" w:space="0"/>
                    <w:bottom w:val="single" w:color="auto" w:sz="4" w:space="0"/>
                    <w:right w:val="single" w:color="auto" w:sz="4" w:space="0"/>
                  </w:tcBorders>
                  <w:vAlign w:val="center"/>
                </w:tcPr>
                <w:p w14:paraId="42CFE8E5">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kern w:val="0"/>
                      <w:sz w:val="21"/>
                      <w:szCs w:val="21"/>
                      <w:highlight w:val="none"/>
                    </w:rPr>
                  </w:pPr>
                  <w:r>
                    <w:rPr>
                      <w:rFonts w:hint="default" w:ascii="Times New Roman" w:hAnsi="Times New Roman" w:cs="Times New Roman"/>
                      <w:bCs/>
                      <w:kern w:val="0"/>
                      <w:sz w:val="21"/>
                      <w:szCs w:val="21"/>
                      <w:highlight w:val="none"/>
                    </w:rPr>
                    <w:t>本项目属于</w:t>
                  </w:r>
                  <w:r>
                    <w:rPr>
                      <w:rFonts w:hint="eastAsia" w:ascii="Times New Roman" w:hAnsi="Times New Roman" w:cs="Times New Roman"/>
                      <w:bCs/>
                      <w:kern w:val="0"/>
                      <w:sz w:val="21"/>
                      <w:szCs w:val="21"/>
                      <w:highlight w:val="none"/>
                      <w:lang w:val="en-US" w:eastAsia="zh-CN"/>
                    </w:rPr>
                    <w:t>黑色</w:t>
                  </w:r>
                  <w:r>
                    <w:rPr>
                      <w:rFonts w:hint="default" w:ascii="Times New Roman" w:hAnsi="Times New Roman" w:cs="Times New Roman"/>
                      <w:bCs/>
                      <w:kern w:val="0"/>
                      <w:sz w:val="21"/>
                      <w:szCs w:val="21"/>
                      <w:highlight w:val="none"/>
                    </w:rPr>
                    <w:t>金属铸造</w:t>
                  </w:r>
                  <w:r>
                    <w:rPr>
                      <w:rFonts w:hint="eastAsia" w:ascii="Times New Roman" w:hAnsi="Times New Roman" w:cs="Times New Roman"/>
                      <w:bCs/>
                      <w:kern w:val="0"/>
                      <w:sz w:val="21"/>
                      <w:szCs w:val="21"/>
                      <w:highlight w:val="none"/>
                      <w:lang w:val="en-US" w:eastAsia="zh-CN"/>
                    </w:rPr>
                    <w:t>类别</w:t>
                  </w:r>
                  <w:r>
                    <w:rPr>
                      <w:rFonts w:hint="default" w:ascii="Times New Roman" w:hAnsi="Times New Roman" w:cs="Times New Roman"/>
                      <w:bCs/>
                      <w:kern w:val="0"/>
                      <w:sz w:val="21"/>
                      <w:szCs w:val="21"/>
                      <w:highlight w:val="none"/>
                    </w:rPr>
                    <w:t>，不属于两高项目范畴。项目建设</w:t>
                  </w:r>
                  <w:r>
                    <w:rPr>
                      <w:rFonts w:hint="eastAsia" w:ascii="Times New Roman" w:hAnsi="Times New Roman" w:cs="Times New Roman"/>
                      <w:bCs/>
                      <w:kern w:val="0"/>
                      <w:sz w:val="21"/>
                      <w:szCs w:val="21"/>
                      <w:highlight w:val="none"/>
                      <w:lang w:val="en-US" w:eastAsia="zh-CN"/>
                    </w:rPr>
                    <w:t>满足</w:t>
                  </w:r>
                  <w:r>
                    <w:rPr>
                      <w:rFonts w:hint="default" w:ascii="Times New Roman" w:hAnsi="Times New Roman" w:cs="Times New Roman"/>
                      <w:kern w:val="0"/>
                      <w:sz w:val="21"/>
                      <w:szCs w:val="21"/>
                      <w:highlight w:val="none"/>
                    </w:rPr>
                    <w:t>铸造行业</w:t>
                  </w:r>
                  <w:r>
                    <w:rPr>
                      <w:rFonts w:hint="default" w:ascii="Times New Roman" w:hAnsi="Times New Roman" w:cs="Times New Roman"/>
                      <w:bCs/>
                      <w:kern w:val="0"/>
                      <w:sz w:val="21"/>
                      <w:szCs w:val="21"/>
                      <w:highlight w:val="none"/>
                    </w:rPr>
                    <w:t>绩效分级A级</w:t>
                  </w:r>
                  <w:r>
                    <w:rPr>
                      <w:rFonts w:hint="eastAsia" w:ascii="Times New Roman" w:hAnsi="Times New Roman" w:cs="Times New Roman"/>
                      <w:bCs/>
                      <w:kern w:val="0"/>
                      <w:sz w:val="21"/>
                      <w:szCs w:val="21"/>
                      <w:highlight w:val="none"/>
                      <w:lang w:val="en-US" w:eastAsia="zh-CN"/>
                    </w:rPr>
                    <w:t>指标</w:t>
                  </w:r>
                  <w:r>
                    <w:rPr>
                      <w:rFonts w:hint="default" w:ascii="Times New Roman" w:hAnsi="Times New Roman" w:cs="Times New Roman"/>
                      <w:bCs/>
                      <w:kern w:val="0"/>
                      <w:sz w:val="21"/>
                      <w:szCs w:val="21"/>
                      <w:highlight w:val="none"/>
                    </w:rPr>
                    <w:t>要求</w:t>
                  </w:r>
                </w:p>
              </w:tc>
              <w:tc>
                <w:tcPr>
                  <w:tcW w:w="457" w:type="pct"/>
                  <w:tcBorders>
                    <w:top w:val="single" w:color="auto" w:sz="4" w:space="0"/>
                    <w:left w:val="single" w:color="auto" w:sz="4" w:space="0"/>
                    <w:bottom w:val="single" w:color="auto" w:sz="4" w:space="0"/>
                    <w:right w:val="single" w:color="auto" w:sz="6" w:space="0"/>
                  </w:tcBorders>
                  <w:vAlign w:val="center"/>
                </w:tcPr>
                <w:p w14:paraId="17219E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Style w:val="38"/>
                      <w:rFonts w:hint="default" w:ascii="Times New Roman" w:hAnsi="Times New Roman" w:eastAsia="宋体" w:cs="Times New Roman"/>
                      <w:color w:val="auto"/>
                      <w:sz w:val="21"/>
                      <w:szCs w:val="21"/>
                      <w:highlight w:val="none"/>
                    </w:rPr>
                    <w:t>相符</w:t>
                  </w:r>
                </w:p>
              </w:tc>
            </w:tr>
            <w:tr w14:paraId="67F97F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14" w:type="pct"/>
                  <w:tcBorders>
                    <w:left w:val="single" w:color="auto" w:sz="6" w:space="0"/>
                    <w:right w:val="single" w:color="auto" w:sz="4" w:space="0"/>
                  </w:tcBorders>
                  <w:vAlign w:val="center"/>
                </w:tcPr>
                <w:p w14:paraId="11D49B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加快淘汰落后低效产能</w:t>
                  </w:r>
                </w:p>
              </w:tc>
              <w:tc>
                <w:tcPr>
                  <w:tcW w:w="2577" w:type="pct"/>
                  <w:tcBorders>
                    <w:top w:val="single" w:color="auto" w:sz="4" w:space="0"/>
                    <w:left w:val="single" w:color="auto" w:sz="4" w:space="0"/>
                    <w:bottom w:val="single" w:color="auto" w:sz="4" w:space="0"/>
                    <w:right w:val="single" w:color="auto" w:sz="4" w:space="0"/>
                  </w:tcBorders>
                  <w:vAlign w:val="center"/>
                </w:tcPr>
                <w:p w14:paraId="153E7329">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落实国家产业政策，进一步提高落后产能能耗、环保、质量、安全、技术等要求，将大气污染物排放强度高、清洁生产水平低、治理难度大以及产能过剩行业的工艺和装备纳入淘汰范围，逐步退出限制类涉气行业工艺和装备；加快淘汰步进式烧结机、球团竖炉、独立烧结、独立球团、独立热轧工序以及半封闭式硅锰合金、镍铁、高碳铬铁、高碳锰铁电炉；推动6000万标砖/年以下和城市规划区内的烧结砖及烧结空心砌块生产线有序退出。</w:t>
                  </w:r>
                </w:p>
              </w:tc>
              <w:tc>
                <w:tcPr>
                  <w:tcW w:w="1551" w:type="pct"/>
                  <w:tcBorders>
                    <w:top w:val="single" w:color="auto" w:sz="4" w:space="0"/>
                    <w:left w:val="single" w:color="auto" w:sz="4" w:space="0"/>
                    <w:bottom w:val="single" w:color="auto" w:sz="4" w:space="0"/>
                    <w:right w:val="single" w:color="auto" w:sz="4" w:space="0"/>
                  </w:tcBorders>
                  <w:vAlign w:val="center"/>
                </w:tcPr>
                <w:p w14:paraId="09FA13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kern w:val="0"/>
                      <w:sz w:val="21"/>
                      <w:szCs w:val="21"/>
                      <w:highlight w:val="none"/>
                      <w:lang w:eastAsia="zh-CN"/>
                    </w:rPr>
                  </w:pPr>
                  <w:r>
                    <w:rPr>
                      <w:rFonts w:hint="default" w:ascii="Times New Roman" w:hAnsi="Times New Roman" w:cs="Times New Roman"/>
                      <w:kern w:val="0"/>
                      <w:sz w:val="21"/>
                      <w:szCs w:val="21"/>
                      <w:highlight w:val="none"/>
                    </w:rPr>
                    <w:t>本项目生产工艺、设备、产品不属于限制类、淘汰类</w:t>
                  </w:r>
                  <w:r>
                    <w:rPr>
                      <w:rFonts w:hint="eastAsia" w:cs="Times New Roman"/>
                      <w:kern w:val="0"/>
                      <w:sz w:val="21"/>
                      <w:szCs w:val="21"/>
                      <w:highlight w:val="none"/>
                      <w:lang w:eastAsia="zh-CN"/>
                    </w:rPr>
                    <w:t>。</w:t>
                  </w:r>
                </w:p>
              </w:tc>
              <w:tc>
                <w:tcPr>
                  <w:tcW w:w="457" w:type="pct"/>
                  <w:tcBorders>
                    <w:top w:val="single" w:color="auto" w:sz="4" w:space="0"/>
                    <w:left w:val="single" w:color="auto" w:sz="4" w:space="0"/>
                    <w:bottom w:val="single" w:color="auto" w:sz="4" w:space="0"/>
                    <w:right w:val="single" w:color="auto" w:sz="6" w:space="0"/>
                  </w:tcBorders>
                  <w:vAlign w:val="center"/>
                </w:tcPr>
                <w:p w14:paraId="415F9F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Style w:val="38"/>
                      <w:rFonts w:hint="default" w:ascii="Times New Roman" w:hAnsi="Times New Roman" w:eastAsia="宋体" w:cs="Times New Roman"/>
                      <w:color w:val="auto"/>
                      <w:sz w:val="21"/>
                      <w:szCs w:val="21"/>
                      <w:highlight w:val="none"/>
                    </w:rPr>
                  </w:pPr>
                  <w:r>
                    <w:rPr>
                      <w:rStyle w:val="38"/>
                      <w:rFonts w:hint="default" w:ascii="Times New Roman" w:hAnsi="Times New Roman" w:eastAsia="宋体" w:cs="Times New Roman"/>
                      <w:color w:val="auto"/>
                      <w:sz w:val="21"/>
                      <w:szCs w:val="21"/>
                      <w:highlight w:val="none"/>
                    </w:rPr>
                    <w:t>相符</w:t>
                  </w:r>
                </w:p>
              </w:tc>
            </w:tr>
            <w:tr w14:paraId="3A6E07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14" w:type="pct"/>
                  <w:tcBorders>
                    <w:left w:val="single" w:color="auto" w:sz="6" w:space="0"/>
                    <w:right w:val="single" w:color="auto" w:sz="4" w:space="0"/>
                  </w:tcBorders>
                  <w:vAlign w:val="center"/>
                </w:tcPr>
                <w:p w14:paraId="3578F2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color w:val="000000" w:themeColor="text1"/>
                      <w:sz w:val="21"/>
                      <w:szCs w:val="21"/>
                      <w:highlight w:val="none"/>
                      <w14:textFill>
                        <w14:solidFill>
                          <w14:schemeClr w14:val="tx1"/>
                        </w14:solidFill>
                      </w14:textFill>
                    </w:rPr>
                    <w:t>实施工业炉窑清洁能源替代</w:t>
                  </w:r>
                </w:p>
              </w:tc>
              <w:tc>
                <w:tcPr>
                  <w:tcW w:w="2577" w:type="pct"/>
                  <w:tcBorders>
                    <w:top w:val="single" w:color="auto" w:sz="4" w:space="0"/>
                    <w:left w:val="single" w:color="auto" w:sz="4" w:space="0"/>
                    <w:bottom w:val="single" w:color="auto" w:sz="4" w:space="0"/>
                    <w:right w:val="single" w:color="auto" w:sz="4" w:space="0"/>
                  </w:tcBorders>
                  <w:vAlign w:val="center"/>
                </w:tcPr>
                <w:p w14:paraId="29022B2D">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全市不再新增燃料类煤气发生炉，新（改、扩）建加热炉、热处理炉、干燥炉、熔化炉原则上采用清洁低碳能源。2025年年底前，使用高污染燃料的加热炉、热处理炉、干燥炉、熔化炉改用清洁低碳能源，淘汰不能稳定达标的燃煤锅炉和以煤、石油焦、渣油、重油等为燃料的工业炉窑。</w:t>
                  </w:r>
                </w:p>
              </w:tc>
              <w:tc>
                <w:tcPr>
                  <w:tcW w:w="1551" w:type="pct"/>
                  <w:tcBorders>
                    <w:top w:val="single" w:color="auto" w:sz="4" w:space="0"/>
                    <w:left w:val="single" w:color="auto" w:sz="4" w:space="0"/>
                    <w:bottom w:val="single" w:color="auto" w:sz="4" w:space="0"/>
                    <w:right w:val="single" w:color="auto" w:sz="4" w:space="0"/>
                  </w:tcBorders>
                  <w:vAlign w:val="center"/>
                </w:tcPr>
                <w:p w14:paraId="1BB28694">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w:t>
                  </w:r>
                  <w:r>
                    <w:rPr>
                      <w:rFonts w:hint="eastAsia"/>
                      <w:color w:val="000000" w:themeColor="text1"/>
                      <w:sz w:val="21"/>
                      <w:szCs w:val="21"/>
                      <w:highlight w:val="none"/>
                      <w:lang w:val="en-US" w:eastAsia="zh-CN"/>
                      <w14:textFill>
                        <w14:solidFill>
                          <w14:schemeClr w14:val="tx1"/>
                        </w14:solidFill>
                      </w14:textFill>
                    </w:rPr>
                    <w:t>中频炉使用电能，属于清洁能源。</w:t>
                  </w:r>
                </w:p>
              </w:tc>
              <w:tc>
                <w:tcPr>
                  <w:tcW w:w="457" w:type="pct"/>
                  <w:tcBorders>
                    <w:top w:val="single" w:color="auto" w:sz="4" w:space="0"/>
                    <w:left w:val="single" w:color="auto" w:sz="4" w:space="0"/>
                    <w:bottom w:val="single" w:color="auto" w:sz="4" w:space="0"/>
                    <w:right w:val="single" w:color="auto" w:sz="6" w:space="0"/>
                  </w:tcBorders>
                  <w:vAlign w:val="center"/>
                </w:tcPr>
                <w:p w14:paraId="00E339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Style w:val="38"/>
                      <w:rFonts w:hint="default" w:ascii="Times New Roman" w:hAnsi="Times New Roman" w:eastAsia="宋体" w:cs="Times New Roman"/>
                      <w:color w:val="auto"/>
                      <w:sz w:val="21"/>
                      <w:szCs w:val="21"/>
                      <w:highlight w:val="none"/>
                    </w:rPr>
                    <w:t>相符</w:t>
                  </w:r>
                </w:p>
              </w:tc>
            </w:tr>
            <w:tr w14:paraId="0FC881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14" w:type="pct"/>
                  <w:tcBorders>
                    <w:left w:val="single" w:color="auto" w:sz="6" w:space="0"/>
                    <w:right w:val="single" w:color="auto" w:sz="4" w:space="0"/>
                  </w:tcBorders>
                  <w:vAlign w:val="center"/>
                </w:tcPr>
                <w:p w14:paraId="56D7D4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深化扬尘污染综合治理</w:t>
                  </w:r>
                </w:p>
              </w:tc>
              <w:tc>
                <w:tcPr>
                  <w:tcW w:w="2577" w:type="pct"/>
                  <w:tcBorders>
                    <w:top w:val="single" w:color="auto" w:sz="4" w:space="0"/>
                    <w:left w:val="single" w:color="auto" w:sz="4" w:space="0"/>
                    <w:bottom w:val="single" w:color="auto" w:sz="4" w:space="0"/>
                    <w:right w:val="single" w:color="auto" w:sz="4" w:space="0"/>
                  </w:tcBorders>
                  <w:vAlign w:val="center"/>
                </w:tcPr>
                <w:p w14:paraId="29021BF2">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监管平台。将防治扬尘污染费用纳入工程造价。持续开展城市清洁行动，强化道路扬尘综合整治，对长期未开发的建设裸地进行排查整治。到2025年，城市建成区主次干道机械化清扫率达到90%以上。</w:t>
                  </w:r>
                </w:p>
              </w:tc>
              <w:tc>
                <w:tcPr>
                  <w:tcW w:w="1551" w:type="pct"/>
                  <w:tcBorders>
                    <w:top w:val="single" w:color="auto" w:sz="4" w:space="0"/>
                    <w:left w:val="single" w:color="auto" w:sz="4" w:space="0"/>
                    <w:bottom w:val="single" w:color="auto" w:sz="4" w:space="0"/>
                    <w:right w:val="single" w:color="auto" w:sz="4" w:space="0"/>
                  </w:tcBorders>
                  <w:vAlign w:val="center"/>
                </w:tcPr>
                <w:p w14:paraId="51F8E53C">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sz w:val="21"/>
                      <w:szCs w:val="21"/>
                      <w:highlight w:val="none"/>
                      <w:lang w:val="en-US" w:eastAsia="zh-CN"/>
                    </w:rPr>
                    <w:t>本项目不涉及土建施工，</w:t>
                  </w:r>
                  <w:r>
                    <w:rPr>
                      <w:rFonts w:hint="default" w:ascii="Times New Roman" w:hAnsi="Times New Roman" w:cs="Times New Roman"/>
                      <w:sz w:val="21"/>
                      <w:szCs w:val="21"/>
                      <w:highlight w:val="none"/>
                    </w:rPr>
                    <w:t>施工期仅为设备安装，</w:t>
                  </w:r>
                  <w:r>
                    <w:rPr>
                      <w:rFonts w:hint="eastAsia" w:ascii="Times New Roman" w:hAnsi="Times New Roman" w:cs="Times New Roman"/>
                      <w:sz w:val="21"/>
                      <w:szCs w:val="21"/>
                      <w:highlight w:val="none"/>
                      <w:lang w:val="en-US" w:eastAsia="zh-CN"/>
                    </w:rPr>
                    <w:t>基本无扬尘产生</w:t>
                  </w:r>
                  <w:r>
                    <w:rPr>
                      <w:rFonts w:hint="eastAsia" w:cs="Times New Roman"/>
                      <w:sz w:val="21"/>
                      <w:szCs w:val="21"/>
                      <w:highlight w:val="none"/>
                      <w:lang w:val="en-US" w:eastAsia="zh-CN"/>
                    </w:rPr>
                    <w:t>。</w:t>
                  </w:r>
                </w:p>
              </w:tc>
              <w:tc>
                <w:tcPr>
                  <w:tcW w:w="457" w:type="pct"/>
                  <w:tcBorders>
                    <w:top w:val="single" w:color="auto" w:sz="4" w:space="0"/>
                    <w:left w:val="single" w:color="auto" w:sz="4" w:space="0"/>
                    <w:bottom w:val="single" w:color="auto" w:sz="4" w:space="0"/>
                    <w:right w:val="single" w:color="auto" w:sz="6" w:space="0"/>
                  </w:tcBorders>
                  <w:vAlign w:val="center"/>
                </w:tcPr>
                <w:p w14:paraId="113E63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Style w:val="38"/>
                      <w:rFonts w:hint="default" w:ascii="Times New Roman" w:hAnsi="Times New Roman" w:eastAsia="宋体" w:cs="Times New Roman"/>
                      <w:color w:val="auto"/>
                      <w:sz w:val="21"/>
                      <w:szCs w:val="21"/>
                      <w:highlight w:val="none"/>
                    </w:rPr>
                  </w:pPr>
                  <w:r>
                    <w:rPr>
                      <w:rStyle w:val="38"/>
                      <w:rFonts w:hint="default" w:ascii="Times New Roman" w:hAnsi="Times New Roman" w:eastAsia="宋体" w:cs="Times New Roman"/>
                      <w:color w:val="auto"/>
                      <w:sz w:val="21"/>
                      <w:szCs w:val="21"/>
                      <w:highlight w:val="none"/>
                    </w:rPr>
                    <w:t>相符</w:t>
                  </w:r>
                </w:p>
              </w:tc>
            </w:tr>
            <w:tr w14:paraId="565897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414" w:type="pct"/>
                  <w:tcBorders>
                    <w:left w:val="single" w:color="auto" w:sz="6" w:space="0"/>
                    <w:bottom w:val="single" w:color="auto" w:sz="4" w:space="0"/>
                    <w:right w:val="single" w:color="auto" w:sz="4" w:space="0"/>
                  </w:tcBorders>
                  <w:vAlign w:val="center"/>
                </w:tcPr>
                <w:p w14:paraId="649A11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推进重点行业污染深度治理</w:t>
                  </w:r>
                </w:p>
              </w:tc>
              <w:tc>
                <w:tcPr>
                  <w:tcW w:w="2577" w:type="pct"/>
                  <w:tcBorders>
                    <w:top w:val="single" w:color="auto" w:sz="4" w:space="0"/>
                    <w:left w:val="single" w:color="auto" w:sz="4" w:space="0"/>
                    <w:bottom w:val="single" w:color="auto" w:sz="4" w:space="0"/>
                    <w:right w:val="single" w:color="auto" w:sz="4" w:space="0"/>
                  </w:tcBorders>
                  <w:vAlign w:val="center"/>
                </w:tcPr>
                <w:p w14:paraId="4B25DDEC">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全市新（改、扩）建火电、钢铁、水泥项目要达到超低排放水平。2024年年底前，水泥企业基本完成有组织和无组织超低排放改造；2025年9月底前，钢铁、水泥企业力争完成清洁运输超低排放改造。持续推进玻璃、耐火材料、有色、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VOCs废气旁路，因安全生产需要无法取消的应安装烟气自动监控、流量、温度等监控设施并加强监管，重点涉气企业应加装备用处置设施。</w:t>
                  </w:r>
                </w:p>
              </w:tc>
              <w:tc>
                <w:tcPr>
                  <w:tcW w:w="1551" w:type="pct"/>
                  <w:tcBorders>
                    <w:top w:val="single" w:color="auto" w:sz="4" w:space="0"/>
                    <w:left w:val="single" w:color="auto" w:sz="4" w:space="0"/>
                    <w:bottom w:val="single" w:color="auto" w:sz="4" w:space="0"/>
                    <w:right w:val="single" w:color="auto" w:sz="4" w:space="0"/>
                  </w:tcBorders>
                  <w:vAlign w:val="center"/>
                </w:tcPr>
                <w:p w14:paraId="64EC375C">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本</w:t>
                  </w:r>
                  <w:r>
                    <w:rPr>
                      <w:rFonts w:hint="default" w:ascii="Times New Roman" w:hAnsi="Times New Roman" w:cs="Times New Roman"/>
                      <w:sz w:val="21"/>
                      <w:szCs w:val="21"/>
                      <w:highlight w:val="none"/>
                    </w:rPr>
                    <w:t>项目</w:t>
                  </w:r>
                  <w:r>
                    <w:rPr>
                      <w:rFonts w:hint="eastAsia" w:ascii="Times New Roman" w:hAnsi="Times New Roman" w:cs="Times New Roman"/>
                      <w:sz w:val="21"/>
                      <w:szCs w:val="21"/>
                      <w:highlight w:val="none"/>
                      <w:lang w:val="en-US" w:eastAsia="zh-CN"/>
                    </w:rPr>
                    <w:t>属于铸造行业，炉窑使用电能，满足工业炉窑深度治理要求。项目各废气污染物均配套相应的治理设施，确保可以达标排放。</w:t>
                  </w:r>
                </w:p>
              </w:tc>
              <w:tc>
                <w:tcPr>
                  <w:tcW w:w="457" w:type="pct"/>
                  <w:tcBorders>
                    <w:top w:val="single" w:color="auto" w:sz="4" w:space="0"/>
                    <w:left w:val="single" w:color="auto" w:sz="4" w:space="0"/>
                    <w:bottom w:val="single" w:color="auto" w:sz="4" w:space="0"/>
                    <w:right w:val="single" w:color="auto" w:sz="6" w:space="0"/>
                  </w:tcBorders>
                  <w:vAlign w:val="center"/>
                </w:tcPr>
                <w:p w14:paraId="14A8AA5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Style w:val="38"/>
                      <w:rFonts w:hint="default" w:ascii="Times New Roman" w:hAnsi="Times New Roman" w:eastAsia="宋体" w:cs="Times New Roman"/>
                      <w:color w:val="auto"/>
                      <w:sz w:val="21"/>
                      <w:szCs w:val="21"/>
                      <w:highlight w:val="none"/>
                    </w:rPr>
                  </w:pPr>
                  <w:r>
                    <w:rPr>
                      <w:rStyle w:val="38"/>
                      <w:rFonts w:hint="default" w:ascii="Times New Roman" w:hAnsi="Times New Roman" w:eastAsia="宋体" w:cs="Times New Roman"/>
                      <w:color w:val="auto"/>
                      <w:sz w:val="21"/>
                      <w:szCs w:val="21"/>
                      <w:highlight w:val="none"/>
                    </w:rPr>
                    <w:t>相符</w:t>
                  </w:r>
                </w:p>
              </w:tc>
            </w:tr>
          </w:tbl>
          <w:p w14:paraId="2173FC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highlight w:val="none"/>
              </w:rPr>
            </w:pPr>
            <w:r>
              <w:rPr>
                <w:sz w:val="24"/>
                <w:highlight w:val="none"/>
              </w:rPr>
              <w:t>综上所述，项目建设符合《南阳市人民政府关于印发南阳市空气质量持续改善行动计划的通知》（宛政〔2024〕6号）中相关要求。</w:t>
            </w:r>
          </w:p>
          <w:p w14:paraId="768C9F6F">
            <w:pPr>
              <w:spacing w:line="360" w:lineRule="auto"/>
              <w:ind w:left="0" w:leftChars="0" w:firstLine="0" w:firstLineChars="0"/>
              <w:rPr>
                <w:rFonts w:hint="eastAsia" w:eastAsia="黑体" w:cs="Times New Roman"/>
                <w:b w:val="0"/>
                <w:bCs w:val="0"/>
                <w:szCs w:val="24"/>
                <w:u w:val="none"/>
                <w:lang w:val="en-US" w:eastAsia="zh-CN"/>
              </w:rPr>
            </w:pPr>
            <w:r>
              <w:rPr>
                <w:rFonts w:hint="eastAsia" w:eastAsia="黑体" w:cs="Times New Roman"/>
                <w:b w:val="0"/>
                <w:bCs w:val="0"/>
                <w:szCs w:val="24"/>
                <w:u w:val="none"/>
                <w:lang w:val="en-US" w:eastAsia="zh-CN"/>
              </w:rPr>
              <w:t>3.3、与南阳市2025年蓝天、碧水、净土、柴油货车污染治理相符性分析</w:t>
            </w:r>
          </w:p>
          <w:p w14:paraId="021293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sz w:val="24"/>
                <w:highlight w:val="none"/>
              </w:rPr>
            </w:pPr>
            <w:r>
              <w:rPr>
                <w:rFonts w:hint="default" w:ascii="Times New Roman" w:hAnsi="Times New Roman"/>
                <w:sz w:val="24"/>
                <w:highlight w:val="none"/>
              </w:rPr>
              <w:t>南阳市生态环境保护委员会</w:t>
            </w:r>
            <w:r>
              <w:rPr>
                <w:rFonts w:hint="eastAsia" w:ascii="Times New Roman" w:hAnsi="Times New Roman"/>
                <w:sz w:val="24"/>
                <w:highlight w:val="none"/>
                <w:lang w:val="en-US" w:eastAsia="zh-CN"/>
              </w:rPr>
              <w:t>于</w:t>
            </w:r>
            <w:r>
              <w:rPr>
                <w:rFonts w:hint="default" w:ascii="Times New Roman" w:hAnsi="Times New Roman"/>
                <w:sz w:val="24"/>
                <w:highlight w:val="none"/>
              </w:rPr>
              <w:t>202</w:t>
            </w:r>
            <w:r>
              <w:rPr>
                <w:rFonts w:hint="default" w:ascii="Times New Roman" w:hAnsi="Times New Roman"/>
                <w:sz w:val="24"/>
                <w:highlight w:val="none"/>
                <w:lang w:val="en-US" w:eastAsia="zh-CN"/>
              </w:rPr>
              <w:t>5</w:t>
            </w:r>
            <w:r>
              <w:rPr>
                <w:rFonts w:hint="default" w:ascii="Times New Roman" w:hAnsi="Times New Roman"/>
                <w:sz w:val="24"/>
                <w:highlight w:val="none"/>
              </w:rPr>
              <w:t>年</w:t>
            </w:r>
            <w:r>
              <w:rPr>
                <w:rFonts w:hint="default" w:ascii="Times New Roman" w:hAnsi="Times New Roman"/>
                <w:sz w:val="24"/>
                <w:highlight w:val="none"/>
                <w:lang w:val="en-US" w:eastAsia="zh-CN"/>
              </w:rPr>
              <w:t>5</w:t>
            </w:r>
            <w:r>
              <w:rPr>
                <w:rFonts w:hint="default" w:ascii="Times New Roman" w:hAnsi="Times New Roman"/>
                <w:sz w:val="24"/>
                <w:highlight w:val="none"/>
              </w:rPr>
              <w:t>月</w:t>
            </w:r>
            <w:r>
              <w:rPr>
                <w:rFonts w:hint="default" w:ascii="Times New Roman" w:hAnsi="Times New Roman"/>
                <w:sz w:val="24"/>
                <w:highlight w:val="none"/>
                <w:lang w:val="en-US" w:eastAsia="zh-CN"/>
              </w:rPr>
              <w:t>30</w:t>
            </w:r>
            <w:r>
              <w:rPr>
                <w:rFonts w:hint="default" w:ascii="Times New Roman" w:hAnsi="Times New Roman"/>
                <w:sz w:val="24"/>
                <w:highlight w:val="none"/>
              </w:rPr>
              <w:t>日</w:t>
            </w:r>
            <w:r>
              <w:rPr>
                <w:rFonts w:hint="eastAsia" w:ascii="Times New Roman" w:hAnsi="Times New Roman"/>
                <w:sz w:val="24"/>
                <w:highlight w:val="none"/>
                <w:lang w:val="en-US" w:eastAsia="zh-CN"/>
              </w:rPr>
              <w:t>发布了《</w:t>
            </w:r>
            <w:r>
              <w:rPr>
                <w:rFonts w:hint="default" w:ascii="Times New Roman" w:hAnsi="Times New Roman"/>
                <w:sz w:val="24"/>
                <w:highlight w:val="none"/>
              </w:rPr>
              <w:t>关于印发</w:t>
            </w:r>
            <w:r>
              <w:rPr>
                <w:rFonts w:hint="eastAsia" w:ascii="Times New Roman" w:hAnsi="Times New Roman"/>
                <w:sz w:val="24"/>
                <w:highlight w:val="none"/>
                <w:lang w:val="en-US" w:eastAsia="zh-CN"/>
              </w:rPr>
              <w:t>&lt;</w:t>
            </w:r>
            <w:r>
              <w:rPr>
                <w:rFonts w:hint="default" w:ascii="Times New Roman" w:hAnsi="Times New Roman"/>
                <w:sz w:val="24"/>
                <w:highlight w:val="none"/>
              </w:rPr>
              <w:t>南阳市2025年蓝天保卫战实施方案</w:t>
            </w:r>
            <w:r>
              <w:rPr>
                <w:rFonts w:hint="eastAsia" w:ascii="Times New Roman" w:hAnsi="Times New Roman"/>
                <w:sz w:val="24"/>
                <w:highlight w:val="none"/>
                <w:lang w:val="en-US" w:eastAsia="zh-CN"/>
              </w:rPr>
              <w:t>&gt;、&lt;</w:t>
            </w:r>
            <w:r>
              <w:rPr>
                <w:rFonts w:hint="default" w:ascii="Times New Roman" w:hAnsi="Times New Roman"/>
                <w:sz w:val="24"/>
                <w:highlight w:val="none"/>
              </w:rPr>
              <w:t>南阳市2025年碧水保卫战实施方案</w:t>
            </w:r>
            <w:r>
              <w:rPr>
                <w:rFonts w:hint="eastAsia" w:ascii="Times New Roman" w:hAnsi="Times New Roman"/>
                <w:sz w:val="24"/>
                <w:highlight w:val="none"/>
                <w:lang w:val="en-US" w:eastAsia="zh-CN"/>
              </w:rPr>
              <w:t>&gt;、&lt;</w:t>
            </w:r>
            <w:r>
              <w:rPr>
                <w:rFonts w:hint="default" w:ascii="Times New Roman" w:hAnsi="Times New Roman"/>
                <w:sz w:val="24"/>
                <w:highlight w:val="none"/>
              </w:rPr>
              <w:t>南阳市2025年净土保卫战实施方案</w:t>
            </w:r>
            <w:r>
              <w:rPr>
                <w:rFonts w:hint="eastAsia" w:ascii="Times New Roman" w:hAnsi="Times New Roman"/>
                <w:sz w:val="24"/>
                <w:highlight w:val="none"/>
                <w:lang w:val="en-US" w:eastAsia="zh-CN"/>
              </w:rPr>
              <w:t>&gt;、&lt;</w:t>
            </w:r>
            <w:r>
              <w:rPr>
                <w:rFonts w:hint="default" w:ascii="Times New Roman" w:hAnsi="Times New Roman"/>
                <w:sz w:val="24"/>
                <w:highlight w:val="none"/>
              </w:rPr>
              <w:t>南阳市2025年柴油货车污染治理攻坚战实施方案</w:t>
            </w:r>
            <w:r>
              <w:rPr>
                <w:rFonts w:hint="eastAsia" w:ascii="Times New Roman" w:hAnsi="Times New Roman"/>
                <w:sz w:val="24"/>
                <w:highlight w:val="none"/>
                <w:lang w:val="en-US" w:eastAsia="zh-CN"/>
              </w:rPr>
              <w:t>&gt;</w:t>
            </w:r>
            <w:r>
              <w:rPr>
                <w:rFonts w:hint="default" w:ascii="Times New Roman" w:hAnsi="Times New Roman"/>
                <w:sz w:val="24"/>
                <w:highlight w:val="none"/>
              </w:rPr>
              <w:t>的通知</w:t>
            </w:r>
            <w:r>
              <w:rPr>
                <w:rFonts w:hint="eastAsia" w:ascii="Times New Roman" w:hAnsi="Times New Roman"/>
                <w:sz w:val="24"/>
                <w:highlight w:val="none"/>
                <w:lang w:val="en-US" w:eastAsia="zh-CN"/>
              </w:rPr>
              <w:t>》</w:t>
            </w:r>
            <w:r>
              <w:rPr>
                <w:rFonts w:hint="default" w:ascii="Times New Roman" w:hAnsi="Times New Roman"/>
                <w:sz w:val="24"/>
                <w:highlight w:val="none"/>
                <w:lang w:eastAsia="zh-CN"/>
              </w:rPr>
              <w:t>（</w:t>
            </w:r>
            <w:r>
              <w:rPr>
                <w:rFonts w:hint="default" w:ascii="Times New Roman" w:hAnsi="Times New Roman"/>
                <w:sz w:val="24"/>
                <w:highlight w:val="none"/>
              </w:rPr>
              <w:t>宛环委办</w:t>
            </w:r>
            <w:r>
              <w:rPr>
                <w:rFonts w:hint="eastAsia" w:ascii="Times New Roman" w:hAnsi="Times New Roman"/>
                <w:sz w:val="24"/>
                <w:highlight w:val="none"/>
                <w:lang w:eastAsia="zh-CN"/>
              </w:rPr>
              <w:t>〔2025〕5号</w:t>
            </w:r>
            <w:r>
              <w:rPr>
                <w:rFonts w:hint="default" w:ascii="Times New Roman" w:hAnsi="Times New Roman"/>
                <w:sz w:val="24"/>
                <w:highlight w:val="none"/>
                <w:lang w:eastAsia="zh-CN"/>
              </w:rPr>
              <w:t>）</w:t>
            </w:r>
            <w:r>
              <w:rPr>
                <w:rFonts w:hint="eastAsia" w:ascii="Times New Roman" w:hAnsi="Times New Roman"/>
                <w:sz w:val="24"/>
                <w:highlight w:val="none"/>
                <w:lang w:val="en-US" w:eastAsia="zh-CN"/>
              </w:rPr>
              <w:t>，具体管控要求如下</w:t>
            </w:r>
            <w:r>
              <w:rPr>
                <w:rFonts w:hint="default" w:ascii="Times New Roman" w:hAnsi="Times New Roman"/>
                <w:sz w:val="24"/>
                <w:highlight w:val="none"/>
              </w:rPr>
              <w:t>。</w:t>
            </w:r>
          </w:p>
          <w:p w14:paraId="05D8F06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szCs w:val="24"/>
                <w:lang w:val="en-US" w:eastAsia="zh-CN"/>
              </w:rPr>
            </w:pPr>
            <w:r>
              <w:rPr>
                <w:rFonts w:hint="default" w:ascii="Times New Roman" w:hAnsi="Times New Roman" w:eastAsia="黑体" w:cs="Times New Roman"/>
                <w:szCs w:val="24"/>
                <w:lang w:val="en-US" w:eastAsia="zh-CN"/>
              </w:rPr>
              <w:t>表</w:t>
            </w:r>
            <w:r>
              <w:rPr>
                <w:rFonts w:hint="eastAsia" w:ascii="Times New Roman" w:hAnsi="Times New Roman" w:eastAsia="黑体" w:cs="Times New Roman"/>
                <w:szCs w:val="24"/>
                <w:lang w:val="en-US" w:eastAsia="zh-CN"/>
              </w:rPr>
              <w:t>1-</w:t>
            </w:r>
            <w:r>
              <w:rPr>
                <w:rFonts w:hint="eastAsia" w:eastAsia="黑体" w:cs="Times New Roman"/>
                <w:szCs w:val="24"/>
                <w:lang w:val="en-US" w:eastAsia="zh-CN"/>
              </w:rPr>
              <w:t>12</w:t>
            </w:r>
            <w:r>
              <w:rPr>
                <w:rFonts w:hint="default" w:ascii="Times New Roman" w:hAnsi="Times New Roman" w:eastAsia="黑体" w:cs="Times New Roman"/>
                <w:szCs w:val="24"/>
                <w:lang w:val="en-US" w:eastAsia="zh-CN"/>
              </w:rPr>
              <w:t xml:space="preserve"> </w:t>
            </w:r>
            <w:r>
              <w:rPr>
                <w:rFonts w:hint="eastAsia" w:ascii="Times New Roman" w:hAnsi="Times New Roman" w:eastAsia="黑体" w:cs="Times New Roman"/>
                <w:szCs w:val="24"/>
                <w:lang w:val="en-US" w:eastAsia="zh-CN"/>
              </w:rPr>
              <w:t xml:space="preserve"> </w:t>
            </w:r>
            <w:r>
              <w:rPr>
                <w:rFonts w:hint="default" w:ascii="Times New Roman" w:hAnsi="Times New Roman" w:eastAsia="黑体" w:cs="Times New Roman"/>
                <w:szCs w:val="24"/>
                <w:lang w:val="en-US" w:eastAsia="zh-CN"/>
              </w:rPr>
              <w:t>与</w:t>
            </w:r>
            <w:r>
              <w:rPr>
                <w:rFonts w:hint="eastAsia" w:ascii="Times New Roman" w:hAnsi="Times New Roman" w:eastAsia="黑体" w:cs="Times New Roman"/>
                <w:szCs w:val="24"/>
                <w:lang w:val="en-US" w:eastAsia="zh-CN"/>
              </w:rPr>
              <w:t>“</w:t>
            </w:r>
            <w:r>
              <w:rPr>
                <w:rFonts w:hint="default" w:ascii="Times New Roman" w:hAnsi="Times New Roman" w:eastAsia="黑体" w:cs="Times New Roman"/>
                <w:szCs w:val="24"/>
                <w:lang w:val="en-US" w:eastAsia="zh-CN"/>
              </w:rPr>
              <w:t>宛环委办</w:t>
            </w:r>
            <w:r>
              <w:rPr>
                <w:rFonts w:hint="eastAsia" w:ascii="Times New Roman" w:hAnsi="Times New Roman" w:eastAsia="黑体" w:cs="Times New Roman"/>
                <w:szCs w:val="24"/>
                <w:lang w:val="en-US" w:eastAsia="zh-CN"/>
              </w:rPr>
              <w:t>〔2025〕5号”</w:t>
            </w:r>
            <w:r>
              <w:rPr>
                <w:rFonts w:hint="default" w:ascii="Times New Roman" w:hAnsi="Times New Roman" w:eastAsia="黑体" w:cs="Times New Roman"/>
                <w:szCs w:val="24"/>
                <w:lang w:val="en-US" w:eastAsia="zh-CN"/>
              </w:rPr>
              <w:t>文件相符性分析</w:t>
            </w:r>
          </w:p>
          <w:tbl>
            <w:tblPr>
              <w:tblStyle w:val="28"/>
              <w:tblW w:w="497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2"/>
              <w:gridCol w:w="3927"/>
              <w:gridCol w:w="2547"/>
              <w:gridCol w:w="802"/>
            </w:tblGrid>
            <w:tr w14:paraId="7DD15D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tcMar>
                    <w:top w:w="0" w:type="dxa"/>
                    <w:left w:w="57" w:type="dxa"/>
                    <w:bottom w:w="0" w:type="dxa"/>
                    <w:right w:w="57" w:type="dxa"/>
                  </w:tcMar>
                  <w:vAlign w:val="center"/>
                </w:tcPr>
                <w:p w14:paraId="1726BC4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分类</w:t>
                  </w:r>
                </w:p>
              </w:tc>
              <w:tc>
                <w:tcPr>
                  <w:tcW w:w="2445" w:type="pct"/>
                  <w:tcMar>
                    <w:top w:w="0" w:type="dxa"/>
                    <w:left w:w="57" w:type="dxa"/>
                    <w:bottom w:w="0" w:type="dxa"/>
                    <w:right w:w="57" w:type="dxa"/>
                  </w:tcMar>
                  <w:vAlign w:val="center"/>
                </w:tcPr>
                <w:p w14:paraId="1C345F5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文件要求</w:t>
                  </w:r>
                </w:p>
              </w:tc>
              <w:tc>
                <w:tcPr>
                  <w:tcW w:w="1586" w:type="pct"/>
                  <w:tcMar>
                    <w:top w:w="0" w:type="dxa"/>
                    <w:left w:w="57" w:type="dxa"/>
                    <w:bottom w:w="0" w:type="dxa"/>
                    <w:right w:w="57" w:type="dxa"/>
                  </w:tcMar>
                  <w:vAlign w:val="center"/>
                </w:tcPr>
                <w:p w14:paraId="578F61B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p>
              </w:tc>
              <w:tc>
                <w:tcPr>
                  <w:tcW w:w="499" w:type="pct"/>
                  <w:tcMar>
                    <w:top w:w="0" w:type="dxa"/>
                    <w:left w:w="57" w:type="dxa"/>
                    <w:bottom w:w="0" w:type="dxa"/>
                    <w:right w:w="57" w:type="dxa"/>
                  </w:tcMar>
                  <w:vAlign w:val="center"/>
                </w:tcPr>
                <w:p w14:paraId="37AF9F4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相符性</w:t>
                  </w:r>
                </w:p>
              </w:tc>
            </w:tr>
            <w:tr w14:paraId="58FF4D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5" w:hRule="atLeast"/>
                <w:jc w:val="center"/>
              </w:trPr>
              <w:tc>
                <w:tcPr>
                  <w:tcW w:w="468" w:type="pct"/>
                  <w:vMerge w:val="restart"/>
                  <w:tcMar>
                    <w:top w:w="0" w:type="dxa"/>
                    <w:left w:w="57" w:type="dxa"/>
                    <w:bottom w:w="0" w:type="dxa"/>
                    <w:right w:w="57" w:type="dxa"/>
                  </w:tcMar>
                  <w:vAlign w:val="center"/>
                </w:tcPr>
                <w:p w14:paraId="5C6C601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南阳市202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年蓝天保卫战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实施方案</w:t>
                  </w:r>
                </w:p>
              </w:tc>
              <w:tc>
                <w:tcPr>
                  <w:tcW w:w="2445" w:type="pct"/>
                  <w:tcMar>
                    <w:top w:w="0" w:type="dxa"/>
                    <w:left w:w="57" w:type="dxa"/>
                    <w:bottom w:w="0" w:type="dxa"/>
                    <w:right w:w="57" w:type="dxa"/>
                  </w:tcMar>
                  <w:vAlign w:val="center"/>
                </w:tcPr>
                <w:p w14:paraId="0E1C8F4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实施工业炉窑清洁能源替代。对南阳鸿润建材、南阳晋成陶瓷2家企业实施停产整治，煤气发生炉完成清洁低碳能源替代前不得复产。2025年9月底前，南阳环宇电器、南阳东福陶艺2家企业完成煤气发生炉清洁低碳能源替代。2025年10月底前，完成现有使用高污染燃料的加热炉、热处理炉、干燥炉、熔化炉以及冲天炉等工业炉窑清洁低碳能源替代或拆除，未完成的纳入秋冬季错峰生产调控。</w:t>
                  </w:r>
                </w:p>
              </w:tc>
              <w:tc>
                <w:tcPr>
                  <w:tcW w:w="1586" w:type="pct"/>
                  <w:tcMar>
                    <w:top w:w="0" w:type="dxa"/>
                    <w:left w:w="57" w:type="dxa"/>
                    <w:bottom w:w="0" w:type="dxa"/>
                    <w:right w:w="57" w:type="dxa"/>
                  </w:tcMar>
                  <w:vAlign w:val="center"/>
                </w:tcPr>
                <w:p w14:paraId="27ED728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中频炉</w:t>
                  </w:r>
                  <w:r>
                    <w:rPr>
                      <w:rFonts w:hint="default" w:ascii="Times New Roman" w:hAnsi="Times New Roman" w:cs="Times New Roman"/>
                      <w:color w:val="000000" w:themeColor="text1"/>
                      <w:sz w:val="21"/>
                      <w:szCs w:val="21"/>
                      <w:highlight w:val="none"/>
                      <w14:textFill>
                        <w14:solidFill>
                          <w14:schemeClr w14:val="tx1"/>
                        </w14:solidFill>
                      </w14:textFill>
                    </w:rPr>
                    <w:t>使用电能</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2D0AF42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6B3DF8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continue"/>
                  <w:tcMar>
                    <w:top w:w="0" w:type="dxa"/>
                    <w:left w:w="57" w:type="dxa"/>
                    <w:bottom w:w="0" w:type="dxa"/>
                    <w:right w:w="57" w:type="dxa"/>
                  </w:tcMar>
                  <w:vAlign w:val="center"/>
                </w:tcPr>
                <w:p w14:paraId="33F9C40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2445" w:type="pct"/>
                  <w:tcMar>
                    <w:top w:w="0" w:type="dxa"/>
                    <w:left w:w="57" w:type="dxa"/>
                    <w:bottom w:w="0" w:type="dxa"/>
                    <w:right w:w="57" w:type="dxa"/>
                  </w:tcMar>
                  <w:vAlign w:val="center"/>
                </w:tcPr>
                <w:p w14:paraId="5048F91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深入开展低效失效治理设施排查整治。持续开展低效失效大气污染治理设施排查，淘汰不成熟、不适用、无法稳定达标排放的治理工艺，整治关键组件缺失、质量低劣、自动化水平低的治理设施，纳入年度重点治理任务限期完成提升改造。2025年10月底前，完成67家企业低效失效治理设施提升改造，未按时完成的纳入秋冬季生产调控范围。</w:t>
                  </w:r>
                </w:p>
              </w:tc>
              <w:tc>
                <w:tcPr>
                  <w:tcW w:w="1586" w:type="pct"/>
                  <w:tcMar>
                    <w:top w:w="0" w:type="dxa"/>
                    <w:left w:w="57" w:type="dxa"/>
                    <w:bottom w:w="0" w:type="dxa"/>
                    <w:right w:w="57" w:type="dxa"/>
                  </w:tcMar>
                  <w:vAlign w:val="center"/>
                </w:tcPr>
                <w:p w14:paraId="04D56F3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本项目除尘设施采用袋式除尘器，有机废气处理设施采用</w:t>
                  </w:r>
                  <w:r>
                    <w:rPr>
                      <w:rFonts w:hint="eastAsia" w:cs="Times New Roman"/>
                      <w:color w:val="000000" w:themeColor="text1"/>
                      <w:sz w:val="21"/>
                      <w:szCs w:val="21"/>
                      <w:highlight w:val="none"/>
                      <w:lang w:val="en-US" w:eastAsia="zh-CN"/>
                      <w14:textFill>
                        <w14:solidFill>
                          <w14:schemeClr w14:val="tx1"/>
                        </w14:solidFill>
                      </w14:textFill>
                    </w:rPr>
                    <w:t>袋式除尘</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催化燃烧（RCO）</w:t>
                  </w:r>
                  <w:r>
                    <w:rPr>
                      <w:rFonts w:hint="default" w:ascii="Times New Roman" w:hAnsi="Times New Roman" w:cs="Times New Roman"/>
                      <w:color w:val="000000" w:themeColor="text1"/>
                      <w:sz w:val="21"/>
                      <w:szCs w:val="21"/>
                      <w:highlight w:val="none"/>
                      <w14:textFill>
                        <w14:solidFill>
                          <w14:schemeClr w14:val="tx1"/>
                        </w14:solidFill>
                      </w14:textFill>
                    </w:rPr>
                    <w:t>装置，经</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对照《低效失效大气污染治理设施排查整治技术要点》，本项目采用的除尘设施和</w:t>
                  </w:r>
                  <w:r>
                    <w:rPr>
                      <w:rFonts w:hint="default" w:ascii="Times New Roman" w:hAnsi="Times New Roman" w:cs="Times New Roman"/>
                      <w:color w:val="000000" w:themeColor="text1"/>
                      <w:sz w:val="21"/>
                      <w:szCs w:val="21"/>
                      <w:highlight w:val="none"/>
                      <w14:textFill>
                        <w14:solidFill>
                          <w14:schemeClr w14:val="tx1"/>
                        </w14:solidFill>
                      </w14:textFill>
                    </w:rPr>
                    <w:t>有机废气处理设施均不属于</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低效失效大气污染治理设施</w:t>
                  </w:r>
                  <w:r>
                    <w:rPr>
                      <w:rFonts w:hint="eastAsia" w:ascii="Times New Roman" w:hAnsi="Times New Roman" w:cs="Times New Roman"/>
                      <w:color w:val="000000" w:themeColor="text1"/>
                      <w:kern w:val="0"/>
                      <w:sz w:val="21"/>
                      <w:szCs w:val="21"/>
                      <w:highlight w:val="none"/>
                      <w:lang w:eastAsia="zh-CN" w:bidi="ar"/>
                      <w14:textFill>
                        <w14:solidFill>
                          <w14:schemeClr w14:val="tx1"/>
                        </w14:solidFill>
                      </w14:textFill>
                    </w:rPr>
                    <w:t>。</w:t>
                  </w:r>
                </w:p>
              </w:tc>
              <w:tc>
                <w:tcPr>
                  <w:tcW w:w="499" w:type="pct"/>
                  <w:tcMar>
                    <w:top w:w="0" w:type="dxa"/>
                    <w:left w:w="57" w:type="dxa"/>
                    <w:bottom w:w="0" w:type="dxa"/>
                    <w:right w:w="57" w:type="dxa"/>
                  </w:tcMar>
                  <w:vAlign w:val="center"/>
                </w:tcPr>
                <w:p w14:paraId="4198940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46FDC8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continue"/>
                  <w:tcMar>
                    <w:top w:w="0" w:type="dxa"/>
                    <w:left w:w="57" w:type="dxa"/>
                    <w:bottom w:w="0" w:type="dxa"/>
                    <w:right w:w="57" w:type="dxa"/>
                  </w:tcMar>
                  <w:vAlign w:val="center"/>
                </w:tcPr>
                <w:p w14:paraId="1061F725">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2445" w:type="pct"/>
                  <w:tcMar>
                    <w:top w:w="0" w:type="dxa"/>
                    <w:left w:w="57" w:type="dxa"/>
                    <w:bottom w:w="0" w:type="dxa"/>
                    <w:right w:w="57" w:type="dxa"/>
                  </w:tcMar>
                  <w:vAlign w:val="center"/>
                </w:tcPr>
                <w:p w14:paraId="5C28C6D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实施挥发性有机物综合治理。组织涉VOCs企业针对挥发性有机液体储罐、装卸、敞开液面、泄漏检测与修复（LDAR）、废气收集、废气旁路、治理设施、加油站、非正常工况、产品VOCs含量等10个关键环节开展VOCs治理突出问题排查整治，在汽车、机械制造、家具、汽修、塑料软包装、印铁制罐、包装印刷等领域推广使用低（无）VOCs含量涂料和油墨，对完成源头替代的企业纳入</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白名单</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管理，在重污染天气预警期间实施自主减排。2025年5月底前，4家企业完成低VOCs原辅材料源替代，3家企业完成泄漏检测与修复，25家企业完成VOCs综合治理。使用活性炭吸附企业在4月底活性炭更换基础上，加强日常监管，及时更换，确保发挥最佳处理效果。</w:t>
                  </w:r>
                </w:p>
              </w:tc>
              <w:tc>
                <w:tcPr>
                  <w:tcW w:w="1586" w:type="pct"/>
                  <w:tcMar>
                    <w:top w:w="0" w:type="dxa"/>
                    <w:left w:w="57" w:type="dxa"/>
                    <w:bottom w:w="0" w:type="dxa"/>
                    <w:right w:w="57" w:type="dxa"/>
                  </w:tcMar>
                  <w:vAlign w:val="center"/>
                </w:tcPr>
                <w:p w14:paraId="4954B03C">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本次项目树脂砂铸造生产线产生的</w:t>
                  </w:r>
                  <w:r>
                    <w:rPr>
                      <w:rFonts w:hint="default" w:ascii="Times New Roman" w:hAnsi="Times New Roman" w:cs="Times New Roman"/>
                      <w:color w:val="000000" w:themeColor="text1"/>
                      <w:sz w:val="21"/>
                      <w:szCs w:val="21"/>
                      <w:highlight w:val="none"/>
                      <w14:textFill>
                        <w14:solidFill>
                          <w14:schemeClr w14:val="tx1"/>
                        </w14:solidFill>
                      </w14:textFill>
                    </w:rPr>
                    <w:t>有机废气经</w:t>
                  </w:r>
                  <w:r>
                    <w:rPr>
                      <w:rFonts w:hint="eastAsia" w:cs="Times New Roman"/>
                      <w:color w:val="000000" w:themeColor="text1"/>
                      <w:sz w:val="21"/>
                      <w:szCs w:val="21"/>
                      <w:highlight w:val="none"/>
                      <w:lang w:val="en-US" w:eastAsia="zh-CN"/>
                      <w14:textFill>
                        <w14:solidFill>
                          <w14:schemeClr w14:val="tx1"/>
                        </w14:solidFill>
                      </w14:textFill>
                    </w:rPr>
                    <w:t>袋式除尘</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催化燃烧（RCO）</w:t>
                  </w:r>
                  <w:r>
                    <w:rPr>
                      <w:rFonts w:hint="default" w:ascii="Times New Roman" w:hAnsi="Times New Roman" w:cs="Times New Roman"/>
                      <w:color w:val="000000" w:themeColor="text1"/>
                      <w:sz w:val="21"/>
                      <w:szCs w:val="21"/>
                      <w:highlight w:val="none"/>
                      <w14:textFill>
                        <w14:solidFill>
                          <w14:schemeClr w14:val="tx1"/>
                        </w14:solidFill>
                      </w14:textFill>
                    </w:rPr>
                    <w:t>装置处理后达标排放</w:t>
                  </w:r>
                  <w:r>
                    <w:rPr>
                      <w:rFonts w:hint="eastAsia"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17004A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01A55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continue"/>
                  <w:tcMar>
                    <w:top w:w="0" w:type="dxa"/>
                    <w:left w:w="57" w:type="dxa"/>
                    <w:bottom w:w="0" w:type="dxa"/>
                    <w:right w:w="57" w:type="dxa"/>
                  </w:tcMar>
                  <w:vAlign w:val="center"/>
                </w:tcPr>
                <w:p w14:paraId="2C159141">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2445" w:type="pct"/>
                  <w:tcMar>
                    <w:top w:w="0" w:type="dxa"/>
                    <w:left w:w="57" w:type="dxa"/>
                    <w:bottom w:w="0" w:type="dxa"/>
                    <w:right w:w="57" w:type="dxa"/>
                  </w:tcMar>
                  <w:vAlign w:val="center"/>
                </w:tcPr>
                <w:p w14:paraId="72D89E9B">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开展环境绩效等级提升行动。加强企业绩效监管，对已评定A级、B级和绩效引领性企业开展“回头看”，对实际绩效水平达不到评定等级要求，或存在严重环境违法违规行为的企业，严格实施降级处理。开展重点行业环保绩效创A行动，充分发挥绩效A级企业引领作用，以“先进”带动“后进”，鼓励指导企业通过设备更新、技术改造、治理升级等措施，不断提升环境绩效等级，2025年全市新增A级、B级企业及绩效引领性企业20家以上。</w:t>
                  </w:r>
                </w:p>
              </w:tc>
              <w:tc>
                <w:tcPr>
                  <w:tcW w:w="1586" w:type="pct"/>
                  <w:tcMar>
                    <w:top w:w="0" w:type="dxa"/>
                    <w:left w:w="57" w:type="dxa"/>
                    <w:bottom w:w="0" w:type="dxa"/>
                    <w:right w:w="57" w:type="dxa"/>
                  </w:tcMar>
                  <w:vAlign w:val="center"/>
                </w:tcPr>
                <w:p w14:paraId="26B9514A">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项目建设</w:t>
                  </w:r>
                  <w:r>
                    <w:rPr>
                      <w:rFonts w:hint="eastAsia" w:cs="Times New Roman"/>
                      <w:color w:val="000000" w:themeColor="text1"/>
                      <w:sz w:val="21"/>
                      <w:szCs w:val="21"/>
                      <w:highlight w:val="none"/>
                      <w:lang w:val="en-US" w:eastAsia="zh-CN"/>
                      <w14:textFill>
                        <w14:solidFill>
                          <w14:schemeClr w14:val="tx1"/>
                        </w14:solidFill>
                      </w14:textFill>
                    </w:rPr>
                    <w:t>可以满足</w:t>
                  </w:r>
                  <w:r>
                    <w:rPr>
                      <w:rFonts w:hint="default" w:ascii="Times New Roman" w:hAnsi="Times New Roman" w:cs="Times New Roman"/>
                      <w:color w:val="000000" w:themeColor="text1"/>
                      <w:sz w:val="21"/>
                      <w:szCs w:val="21"/>
                      <w:highlight w:val="none"/>
                      <w14:textFill>
                        <w14:solidFill>
                          <w14:schemeClr w14:val="tx1"/>
                        </w14:solidFill>
                      </w14:textFill>
                    </w:rPr>
                    <w:t>《生态环境部重污染天气重点行业应急减排措施制定技术指南》（2020年修订版）铸造行业绩效分级A级绩效指标要求</w:t>
                  </w:r>
                  <w:r>
                    <w:rPr>
                      <w:rFonts w:hint="eastAsia"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66E6C92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74F4E5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restart"/>
                  <w:tcMar>
                    <w:top w:w="0" w:type="dxa"/>
                    <w:left w:w="57" w:type="dxa"/>
                    <w:bottom w:w="0" w:type="dxa"/>
                    <w:right w:w="57" w:type="dxa"/>
                  </w:tcMar>
                  <w:vAlign w:val="center"/>
                </w:tcPr>
                <w:p w14:paraId="2D8345FE">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南阳市202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年碧水保卫战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实施方案</w:t>
                  </w:r>
                </w:p>
              </w:tc>
              <w:tc>
                <w:tcPr>
                  <w:tcW w:w="2445" w:type="pct"/>
                  <w:tcMar>
                    <w:top w:w="0" w:type="dxa"/>
                    <w:left w:w="57" w:type="dxa"/>
                    <w:bottom w:w="0" w:type="dxa"/>
                    <w:right w:w="57" w:type="dxa"/>
                  </w:tcMar>
                  <w:vAlign w:val="center"/>
                </w:tcPr>
                <w:p w14:paraId="6085D43A">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切实守护南水北调中线工程水质安全。持续推进各级交办问题整改，深化城乡污染综合治理，提升污染防治能力。2025年10月底前，淅川县城区污水处理厂提标改造项目及西城区污水处理厂投入运行。2025年12月底前，西峡县污水处理厂完成提标改造。持续开展南水北调中线工程水源保护区内生态环境问题专项行动及“回头看”，提升保护区规范化建设水平。按照“一口一策”要求，2025年6月底前，全面完成丹江口水库及入库河流排污口的分类整治。淅川县严格丹江口水库消落区管理，因地制宜调整种植结构，防止施用化肥、农药。完善入库河流“一河一策一图”应急处置预案，关注断面水质和重金属因子浓度变化情况，保障南水北调中线工程水质安全。</w:t>
                  </w:r>
                </w:p>
              </w:tc>
              <w:tc>
                <w:tcPr>
                  <w:tcW w:w="1586" w:type="pct"/>
                  <w:tcMar>
                    <w:top w:w="0" w:type="dxa"/>
                    <w:left w:w="57" w:type="dxa"/>
                    <w:bottom w:w="0" w:type="dxa"/>
                    <w:right w:w="57" w:type="dxa"/>
                  </w:tcMar>
                  <w:vAlign w:val="center"/>
                </w:tcPr>
                <w:p w14:paraId="2E6E219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eastAsiaTheme="minorEastAsia"/>
                      <w:color w:val="000000" w:themeColor="text1"/>
                      <w:sz w:val="21"/>
                      <w:szCs w:val="21"/>
                      <w:highlight w:val="none"/>
                      <w:lang w:val="en-US" w:eastAsia="zh-CN"/>
                      <w14:textFill>
                        <w14:solidFill>
                          <w14:schemeClr w14:val="tx1"/>
                        </w14:solidFill>
                      </w14:textFill>
                    </w:rPr>
                    <w:t>本项目营运期废水为生活污水，不涉及生产废水排放。</w:t>
                  </w:r>
                </w:p>
              </w:tc>
              <w:tc>
                <w:tcPr>
                  <w:tcW w:w="499" w:type="pct"/>
                  <w:tcMar>
                    <w:top w:w="0" w:type="dxa"/>
                    <w:left w:w="57" w:type="dxa"/>
                    <w:bottom w:w="0" w:type="dxa"/>
                    <w:right w:w="57" w:type="dxa"/>
                  </w:tcMar>
                  <w:vAlign w:val="center"/>
                </w:tcPr>
                <w:p w14:paraId="1A1A231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358656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continue"/>
                  <w:tcMar>
                    <w:top w:w="0" w:type="dxa"/>
                    <w:left w:w="57" w:type="dxa"/>
                    <w:bottom w:w="0" w:type="dxa"/>
                    <w:right w:w="57" w:type="dxa"/>
                  </w:tcMar>
                  <w:vAlign w:val="center"/>
                </w:tcPr>
                <w:p w14:paraId="5F9CF6E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p>
              </w:tc>
              <w:tc>
                <w:tcPr>
                  <w:tcW w:w="2445" w:type="pct"/>
                  <w:tcMar>
                    <w:top w:w="0" w:type="dxa"/>
                    <w:left w:w="57" w:type="dxa"/>
                    <w:bottom w:w="0" w:type="dxa"/>
                    <w:right w:w="57" w:type="dxa"/>
                  </w:tcMar>
                  <w:vAlign w:val="center"/>
                </w:tcPr>
                <w:p w14:paraId="3090E91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持续推动企业绿色转型发展。严格环评准入，落实生态环境分区管控要求，坚决遏制“两高一低”项目盲目发展，从源头减少污水排放。加快推进工业企业绿色转型发展，培育壮大节能、节水、环保和资源综合利用产业，提高能源资源利用效率。对有色金属、造纸、印染、农副食品加工等行业，全面推进清洁生产改造或清洁化改造。深入推进重点水污染物排放行业清洁生产审核。</w:t>
                  </w:r>
                </w:p>
              </w:tc>
              <w:tc>
                <w:tcPr>
                  <w:tcW w:w="1586" w:type="pct"/>
                  <w:tcMar>
                    <w:top w:w="0" w:type="dxa"/>
                    <w:left w:w="57" w:type="dxa"/>
                    <w:bottom w:w="0" w:type="dxa"/>
                    <w:right w:w="57" w:type="dxa"/>
                  </w:tcMar>
                  <w:vAlign w:val="center"/>
                </w:tcPr>
                <w:p w14:paraId="1931D2E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本项目不属于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重点水污染物排放行业</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，也</w:t>
                  </w:r>
                  <w:r>
                    <w:rPr>
                      <w:rFonts w:hint="eastAsia" w:cs="Times New Roman"/>
                      <w:color w:val="000000" w:themeColor="text1"/>
                      <w:sz w:val="21"/>
                      <w:szCs w:val="21"/>
                      <w:highlight w:val="none"/>
                      <w:lang w:val="en-US" w:eastAsia="zh-CN"/>
                      <w14:textFill>
                        <w14:solidFill>
                          <w14:schemeClr w14:val="tx1"/>
                        </w14:solidFill>
                      </w14:textFill>
                    </w:rPr>
                    <w:t>不属于两高项目，符合南阳市</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生态环境分区管控要求</w:t>
                  </w:r>
                  <w:r>
                    <w:rPr>
                      <w:rFonts w:hint="eastAsia" w:cs="Times New Roman"/>
                      <w:color w:val="000000" w:themeColor="text1"/>
                      <w:sz w:val="21"/>
                      <w:szCs w:val="21"/>
                      <w:highlight w:val="none"/>
                      <w:lang w:val="en-US" w:eastAsia="zh-CN"/>
                      <w14:textFill>
                        <w14:solidFill>
                          <w14:schemeClr w14:val="tx1"/>
                        </w14:solidFill>
                      </w14:textFill>
                    </w:rPr>
                    <w:t>。</w:t>
                  </w:r>
                </w:p>
              </w:tc>
              <w:tc>
                <w:tcPr>
                  <w:tcW w:w="499" w:type="pct"/>
                  <w:tcMar>
                    <w:top w:w="0" w:type="dxa"/>
                    <w:left w:w="57" w:type="dxa"/>
                    <w:bottom w:w="0" w:type="dxa"/>
                    <w:right w:w="57" w:type="dxa"/>
                  </w:tcMar>
                  <w:vAlign w:val="center"/>
                </w:tcPr>
                <w:p w14:paraId="3355865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0C01C5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restart"/>
                  <w:tcMar>
                    <w:top w:w="0" w:type="dxa"/>
                    <w:left w:w="57" w:type="dxa"/>
                    <w:bottom w:w="0" w:type="dxa"/>
                    <w:right w:w="57" w:type="dxa"/>
                  </w:tcMar>
                  <w:vAlign w:val="center"/>
                </w:tcPr>
                <w:p w14:paraId="30FCD76A">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eastAsiaTheme="minorEastAsia"/>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南阳市202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年净土保卫战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实施方案</w:t>
                  </w:r>
                </w:p>
              </w:tc>
              <w:tc>
                <w:tcPr>
                  <w:tcW w:w="2445" w:type="pct"/>
                  <w:tcMar>
                    <w:top w:w="0" w:type="dxa"/>
                    <w:left w:w="57" w:type="dxa"/>
                    <w:bottom w:w="0" w:type="dxa"/>
                    <w:right w:w="57" w:type="dxa"/>
                  </w:tcMar>
                  <w:vAlign w:val="center"/>
                </w:tcPr>
                <w:p w14:paraId="788B470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强化土壤污染源头防控。按照《河南省土壤污染源头防控行动实施方案》要求，严格保护未污染土壤，推动污染防治关口前移。加强源头预防，持续动态更新涉镉等重金属行业企业清单并完成整治任务，依法对涉镉等重金属的大气、水环境重点排污单位排放口和周边环境进行定期监测，评估对周边农用地土壤重金属累积性风险，对存在风险采取有效防控措施。完成土壤污染重点监管单位名录更新，并向社会公开。指导土壤污染重点监管单位按照排污许可证规定和标准规范落实控制有毒有害物质排放、土壤污染隐患排查、自行监测等要求。督促土壤污染重点监管单位做好隐患排查问题整改，并按要求将隐患排查报告及相关材料上传至重点监管单位土壤和地下水环境管理信息系统，着力提高隐患排查整改合格率。</w:t>
                  </w:r>
                </w:p>
              </w:tc>
              <w:tc>
                <w:tcPr>
                  <w:tcW w:w="1586" w:type="pct"/>
                  <w:tcMar>
                    <w:top w:w="0" w:type="dxa"/>
                    <w:left w:w="57" w:type="dxa"/>
                    <w:bottom w:w="0" w:type="dxa"/>
                    <w:right w:w="57" w:type="dxa"/>
                  </w:tcMar>
                  <w:vAlign w:val="center"/>
                </w:tcPr>
                <w:p w14:paraId="27DB072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项目不属于土壤污染重点监管单位，项目所排废气主要为颗粒物、非甲烷总烃等，不涉及重金属等有毒有害物质，对周边土壤影响不大</w:t>
                  </w:r>
                  <w:r>
                    <w:rPr>
                      <w:rFonts w:hint="eastAsia"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0DDF9A8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4FBBA8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vMerge w:val="continue"/>
                  <w:tcMar>
                    <w:top w:w="0" w:type="dxa"/>
                    <w:left w:w="57" w:type="dxa"/>
                    <w:bottom w:w="0" w:type="dxa"/>
                    <w:right w:w="57" w:type="dxa"/>
                  </w:tcMar>
                  <w:vAlign w:val="center"/>
                </w:tcPr>
                <w:p w14:paraId="3A49F119">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pPr>
                </w:p>
              </w:tc>
              <w:tc>
                <w:tcPr>
                  <w:tcW w:w="2445" w:type="pct"/>
                  <w:tcMar>
                    <w:top w:w="0" w:type="dxa"/>
                    <w:left w:w="57" w:type="dxa"/>
                    <w:bottom w:w="0" w:type="dxa"/>
                    <w:right w:w="57" w:type="dxa"/>
                  </w:tcMar>
                  <w:vAlign w:val="center"/>
                </w:tcPr>
                <w:p w14:paraId="0778508A">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加强地下水污染风险管控。持续加强</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十四五</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国家地下水考核点位水质管理，高度关注国考点位周边环境状况，开展国考点位周边污染隐患排查，确保国考点位水质总体保持稳定。有序建立并动态更新地下水污染防治重点排污单位名录。</w:t>
                  </w:r>
                </w:p>
              </w:tc>
              <w:tc>
                <w:tcPr>
                  <w:tcW w:w="1586" w:type="pct"/>
                  <w:tcMar>
                    <w:top w:w="0" w:type="dxa"/>
                    <w:left w:w="57" w:type="dxa"/>
                    <w:bottom w:w="0" w:type="dxa"/>
                    <w:right w:w="57" w:type="dxa"/>
                  </w:tcMar>
                  <w:vAlign w:val="center"/>
                </w:tcPr>
                <w:p w14:paraId="01DBCBFB">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lang w:val="en-US" w:eastAsia="zh-CN"/>
                      <w14:textFill>
                        <w14:solidFill>
                          <w14:schemeClr w14:val="tx1"/>
                        </w14:solidFill>
                      </w14:textFill>
                    </w:rPr>
                    <w:t>仅排放生活污水，不涉及生产废水排放，</w:t>
                  </w:r>
                  <w:r>
                    <w:rPr>
                      <w:rFonts w:hint="default" w:ascii="Times New Roman" w:hAnsi="Times New Roman" w:cs="Times New Roman"/>
                      <w:color w:val="000000" w:themeColor="text1"/>
                      <w:sz w:val="21"/>
                      <w:szCs w:val="21"/>
                      <w:highlight w:val="none"/>
                      <w14:textFill>
                        <w14:solidFill>
                          <w14:schemeClr w14:val="tx1"/>
                        </w14:solidFill>
                      </w14:textFill>
                    </w:rPr>
                    <w:t>车间地面全部进行硬化，生产车间、危废暂存间、化粪池等经分区防渗处理措施后不会对周围土壤产生不良影响</w:t>
                  </w:r>
                  <w:r>
                    <w:rPr>
                      <w:rFonts w:hint="eastAsia"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7F152B7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D8BA4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8" w:type="pct"/>
                  <w:tcMar>
                    <w:top w:w="0" w:type="dxa"/>
                    <w:left w:w="57" w:type="dxa"/>
                    <w:bottom w:w="0" w:type="dxa"/>
                    <w:right w:w="57" w:type="dxa"/>
                  </w:tcMar>
                  <w:vAlign w:val="center"/>
                </w:tcPr>
                <w:p w14:paraId="1E79283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南阳市202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年柴油货车污染治理攻坚战实施方案</w:t>
                  </w:r>
                </w:p>
              </w:tc>
              <w:tc>
                <w:tcPr>
                  <w:tcW w:w="2445" w:type="pct"/>
                  <w:tcMar>
                    <w:top w:w="0" w:type="dxa"/>
                    <w:left w:w="57" w:type="dxa"/>
                    <w:bottom w:w="0" w:type="dxa"/>
                    <w:right w:w="57" w:type="dxa"/>
                  </w:tcMar>
                  <w:vAlign w:val="center"/>
                </w:tcPr>
                <w:p w14:paraId="1F04659D">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提升重点行业清洁运输比例。大宗货物中长距离运输优先采用铁路、水路运输，短距离运输优先采用封闭式皮带廊道或新能源车船。鼓励工矿企业等用车单位通过与运输企业（个人）签订合作协议等方式，推进内部转运车辆和外部运输车辆全部使用新能源货车。探索将清洁运输作为钢铁、火电、有色等行业新改扩建项目审核和监管重点。2025年9月底前，钢铁、水泥企业完成超低排放清洁运输改造。2025年年底前，火电、钢铁、有色、水泥等行业大宗货物清洁运输比例达到80%以上，砂石骨料、耐材、环保绩效A、B级和绩效引领性企业清洁运输比例力争达到80%。</w:t>
                  </w:r>
                </w:p>
              </w:tc>
              <w:tc>
                <w:tcPr>
                  <w:tcW w:w="1586" w:type="pct"/>
                  <w:tcMar>
                    <w:top w:w="0" w:type="dxa"/>
                    <w:left w:w="57" w:type="dxa"/>
                    <w:bottom w:w="0" w:type="dxa"/>
                    <w:right w:w="57" w:type="dxa"/>
                  </w:tcMar>
                  <w:vAlign w:val="center"/>
                </w:tcPr>
                <w:p w14:paraId="4EC89B2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本项目建成后选用国五以上或者新能源车辆进行原辅料运输</w:t>
                  </w:r>
                  <w:r>
                    <w:rPr>
                      <w:rFonts w:hint="eastAsia" w:cs="Times New Roman"/>
                      <w:color w:val="000000" w:themeColor="text1"/>
                      <w:sz w:val="21"/>
                      <w:szCs w:val="21"/>
                      <w:highlight w:val="none"/>
                      <w:lang w:eastAsia="zh-CN"/>
                      <w14:textFill>
                        <w14:solidFill>
                          <w14:schemeClr w14:val="tx1"/>
                        </w14:solidFill>
                      </w14:textFill>
                    </w:rPr>
                    <w:t>。</w:t>
                  </w:r>
                </w:p>
              </w:tc>
              <w:tc>
                <w:tcPr>
                  <w:tcW w:w="499" w:type="pct"/>
                  <w:tcMar>
                    <w:top w:w="0" w:type="dxa"/>
                    <w:left w:w="57" w:type="dxa"/>
                    <w:bottom w:w="0" w:type="dxa"/>
                    <w:right w:w="57" w:type="dxa"/>
                  </w:tcMar>
                  <w:vAlign w:val="center"/>
                </w:tcPr>
                <w:p w14:paraId="6AA0F3B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bl>
          <w:p w14:paraId="01308E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由上表分析可知，项目建设符合《关于印发&lt;南阳市2025年蓝天保卫战实施方案&gt;、&lt;南阳市2025年碧水保卫战实施方案&gt;、&lt;南阳市2025年净土保卫战实施方案&gt;、&lt;南阳市2025年柴油货车污染治理攻坚战实施方案&gt;的通知的通知》（宛环委办〔2025〕5号）中相关管控要求。</w:t>
            </w:r>
          </w:p>
          <w:p w14:paraId="54D6D8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p>
          <w:p w14:paraId="2E8520D3">
            <w:pPr>
              <w:spacing w:line="360" w:lineRule="auto"/>
              <w:ind w:left="0" w:leftChars="0" w:firstLine="0" w:firstLineChars="0"/>
              <w:rPr>
                <w:rFonts w:hint="eastAsia" w:ascii="Times New Roman" w:hAnsi="Times New Roman" w:eastAsia="黑体" w:cs="Times New Roman"/>
                <w:b w:val="0"/>
                <w:bCs w:val="0"/>
                <w:szCs w:val="24"/>
                <w:u w:val="none"/>
                <w:lang w:val="en-US" w:eastAsia="zh-CN"/>
              </w:rPr>
            </w:pPr>
            <w:r>
              <w:rPr>
                <w:rFonts w:hint="eastAsia" w:ascii="Times New Roman" w:hAnsi="Times New Roman" w:eastAsia="黑体" w:cs="Times New Roman"/>
                <w:b w:val="0"/>
                <w:bCs w:val="0"/>
                <w:szCs w:val="24"/>
                <w:u w:val="none"/>
                <w:lang w:val="en-US" w:eastAsia="zh-CN"/>
              </w:rPr>
              <w:t>3.4、与重点行业绩效分级相符性分析。</w:t>
            </w:r>
          </w:p>
          <w:p w14:paraId="5AE58353">
            <w:pPr>
              <w:pStyle w:val="39"/>
              <w:keepNext w:val="0"/>
              <w:keepLines w:val="0"/>
              <w:pageBreakBefore w:val="0"/>
              <w:widowControl w:val="0"/>
              <w:kinsoku/>
              <w:wordWrap/>
              <w:overflowPunct/>
              <w:topLinePunct w:val="0"/>
              <w:autoSpaceDE/>
              <w:autoSpaceDN/>
              <w:bidi w:val="0"/>
              <w:adjustRightInd/>
              <w:snapToGrid/>
              <w:ind w:firstLine="480" w:firstLineChars="200"/>
              <w:textAlignment w:val="baseline"/>
              <w:rPr>
                <w:rFonts w:ascii="Times New Roman"/>
                <w:color w:val="000000" w:themeColor="text1"/>
                <w:highlight w:val="none"/>
                <w14:textFill>
                  <w14:solidFill>
                    <w14:schemeClr w14:val="tx1"/>
                  </w14:solidFill>
                </w14:textFill>
              </w:rPr>
            </w:pPr>
            <w:r>
              <w:rPr>
                <w:rFonts w:ascii="Times New Roman"/>
                <w:color w:val="000000" w:themeColor="text1"/>
                <w:highlight w:val="none"/>
                <w14:textFill>
                  <w14:solidFill>
                    <w14:schemeClr w14:val="tx1"/>
                  </w14:solidFill>
                </w14:textFill>
              </w:rPr>
              <w:t>本项目</w:t>
            </w:r>
            <w:r>
              <w:rPr>
                <w:rFonts w:hint="eastAsia" w:ascii="Times New Roman"/>
                <w:color w:val="000000" w:themeColor="text1"/>
                <w:highlight w:val="none"/>
                <w:lang w:val="en-US" w:eastAsia="zh-CN"/>
                <w14:textFill>
                  <w14:solidFill>
                    <w14:schemeClr w14:val="tx1"/>
                  </w14:solidFill>
                </w14:textFill>
              </w:rPr>
              <w:t>产品为铸件，行业代码为“C3391黑色金属铸造”，根据生态环境部办公厅2020年6月29日发布的《关于印发&lt;重污染天气重点行业应急减排措施制定技术指南（2020年修订版）&gt;的函》（环办大气函</w:t>
            </w:r>
            <w:r>
              <w:rPr>
                <w:rFonts w:ascii="Times New Roman"/>
                <w:color w:val="000000" w:themeColor="text1"/>
                <w:highlight w:val="none"/>
                <w14:textFill>
                  <w14:solidFill>
                    <w14:schemeClr w14:val="tx1"/>
                  </w14:solidFill>
                </w14:textFill>
              </w:rPr>
              <w:t>〔202</w:t>
            </w:r>
            <w:r>
              <w:rPr>
                <w:rFonts w:hint="eastAsia" w:ascii="Times New Roman"/>
                <w:color w:val="000000" w:themeColor="text1"/>
                <w:highlight w:val="none"/>
                <w:lang w:val="en-US" w:eastAsia="zh-CN"/>
                <w14:textFill>
                  <w14:solidFill>
                    <w14:schemeClr w14:val="tx1"/>
                  </w14:solidFill>
                </w14:textFill>
              </w:rPr>
              <w:t>0</w:t>
            </w:r>
            <w:r>
              <w:rPr>
                <w:rFonts w:ascii="Times New Roman"/>
                <w:color w:val="000000" w:themeColor="text1"/>
                <w:highlight w:val="none"/>
                <w14:textFill>
                  <w14:solidFill>
                    <w14:schemeClr w14:val="tx1"/>
                  </w14:solidFill>
                </w14:textFill>
              </w:rPr>
              <w:t>〕3</w:t>
            </w:r>
            <w:r>
              <w:rPr>
                <w:rFonts w:hint="eastAsia" w:ascii="Times New Roman"/>
                <w:color w:val="000000" w:themeColor="text1"/>
                <w:highlight w:val="none"/>
                <w:lang w:val="en-US" w:eastAsia="zh-CN"/>
                <w14:textFill>
                  <w14:solidFill>
                    <w14:schemeClr w14:val="tx1"/>
                  </w14:solidFill>
                </w14:textFill>
              </w:rPr>
              <w:t>40</w:t>
            </w:r>
            <w:r>
              <w:rPr>
                <w:rFonts w:ascii="Times New Roman"/>
                <w:color w:val="000000" w:themeColor="text1"/>
                <w:highlight w:val="none"/>
                <w14:textFill>
                  <w14:solidFill>
                    <w14:schemeClr w14:val="tx1"/>
                  </w14:solidFill>
                </w14:textFill>
              </w:rPr>
              <w:t>号</w:t>
            </w:r>
            <w:r>
              <w:rPr>
                <w:rFonts w:hint="eastAsia" w:ascii="Times New Roman"/>
                <w:color w:val="000000" w:themeColor="text1"/>
                <w:highlight w:val="none"/>
                <w:lang w:val="en-US" w:eastAsia="zh-CN"/>
                <w14:textFill>
                  <w14:solidFill>
                    <w14:schemeClr w14:val="tx1"/>
                  </w14:solidFill>
                </w14:textFill>
              </w:rPr>
              <w:t>），本项目属于“六、铸造”行业，具体管控要求</w:t>
            </w:r>
            <w:r>
              <w:rPr>
                <w:rFonts w:ascii="Times New Roman"/>
                <w:color w:val="000000" w:themeColor="text1"/>
                <w:highlight w:val="none"/>
                <w14:textFill>
                  <w14:solidFill>
                    <w14:schemeClr w14:val="tx1"/>
                  </w14:solidFill>
                </w14:textFill>
              </w:rPr>
              <w:t>见下表。</w:t>
            </w:r>
          </w:p>
          <w:p w14:paraId="1D34346F">
            <w:pPr>
              <w:keepNext w:val="0"/>
              <w:keepLines w:val="0"/>
              <w:pageBreakBefore w:val="0"/>
              <w:widowControl w:val="0"/>
              <w:tabs>
                <w:tab w:val="left" w:pos="1081"/>
              </w:tabs>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b w:val="0"/>
                <w:bCs w:val="0"/>
                <w:color w:val="000000" w:themeColor="text1"/>
                <w:sz w:val="24"/>
                <w:highlight w:val="none"/>
                <w14:textFill>
                  <w14:solidFill>
                    <w14:schemeClr w14:val="tx1"/>
                  </w14:solidFill>
                </w14:textFill>
              </w:rPr>
            </w:pPr>
            <w:r>
              <w:rPr>
                <w:rFonts w:hint="default" w:ascii="Times New Roman" w:hAnsi="Times New Roman" w:eastAsia="黑体" w:cs="Times New Roman"/>
                <w:b w:val="0"/>
                <w:bCs w:val="0"/>
                <w:color w:val="000000" w:themeColor="text1"/>
                <w:sz w:val="24"/>
                <w:highlight w:val="none"/>
                <w14:textFill>
                  <w14:solidFill>
                    <w14:schemeClr w14:val="tx1"/>
                  </w14:solidFill>
                </w14:textFill>
              </w:rPr>
              <w:t>表1-</w:t>
            </w:r>
            <w:r>
              <w:rPr>
                <w:rFonts w:hint="eastAsia" w:eastAsia="黑体" w:cs="Times New Roman"/>
                <w:b w:val="0"/>
                <w:bCs w:val="0"/>
                <w:color w:val="000000" w:themeColor="text1"/>
                <w:sz w:val="24"/>
                <w:highlight w:val="none"/>
                <w:lang w:val="en-US" w:eastAsia="zh-CN"/>
                <w14:textFill>
                  <w14:solidFill>
                    <w14:schemeClr w14:val="tx1"/>
                  </w14:solidFill>
                </w14:textFill>
              </w:rPr>
              <w:t>13</w:t>
            </w:r>
            <w:r>
              <w:rPr>
                <w:rFonts w:hint="default" w:ascii="Times New Roman" w:hAnsi="Times New Roman" w:eastAsia="黑体" w:cs="Times New Roman"/>
                <w:b w:val="0"/>
                <w:bCs w:val="0"/>
                <w:color w:val="000000" w:themeColor="text1"/>
                <w:sz w:val="24"/>
                <w:highlight w:val="none"/>
                <w14:textFill>
                  <w14:solidFill>
                    <w14:schemeClr w14:val="tx1"/>
                  </w14:solidFill>
                </w14:textFill>
              </w:rPr>
              <w:t xml:space="preserve">  与铸造企业A级</w:t>
            </w:r>
            <w:r>
              <w:rPr>
                <w:rFonts w:hint="eastAsia" w:ascii="Times New Roman" w:hAnsi="Times New Roman" w:eastAsia="黑体" w:cs="Times New Roman"/>
                <w:b w:val="0"/>
                <w:bCs w:val="0"/>
                <w:color w:val="000000" w:themeColor="text1"/>
                <w:sz w:val="24"/>
                <w:highlight w:val="none"/>
                <w:lang w:val="en-US" w:eastAsia="zh-CN"/>
                <w14:textFill>
                  <w14:solidFill>
                    <w14:schemeClr w14:val="tx1"/>
                  </w14:solidFill>
                </w14:textFill>
              </w:rPr>
              <w:t>指标相符性分析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3272"/>
              <w:gridCol w:w="3015"/>
              <w:gridCol w:w="874"/>
            </w:tblGrid>
            <w:tr w14:paraId="1D925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Align w:val="center"/>
                </w:tcPr>
                <w:p w14:paraId="79B641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差异化指标</w:t>
                  </w:r>
                </w:p>
              </w:tc>
              <w:tc>
                <w:tcPr>
                  <w:tcW w:w="2025" w:type="pct"/>
                  <w:vAlign w:val="center"/>
                </w:tcPr>
                <w:p w14:paraId="2C63F63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铸造企业</w:t>
                  </w:r>
                  <w:r>
                    <w:rPr>
                      <w:color w:val="000000" w:themeColor="text1"/>
                      <w:sz w:val="21"/>
                      <w:szCs w:val="21"/>
                      <w:highlight w:val="none"/>
                      <w14:textFill>
                        <w14:solidFill>
                          <w14:schemeClr w14:val="tx1"/>
                        </w14:solidFill>
                      </w14:textFill>
                    </w:rPr>
                    <w:t>A级指标要求</w:t>
                  </w:r>
                </w:p>
              </w:tc>
              <w:tc>
                <w:tcPr>
                  <w:tcW w:w="1866" w:type="pct"/>
                  <w:vAlign w:val="center"/>
                </w:tcPr>
                <w:p w14:paraId="148112E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本项目建设</w:t>
                  </w:r>
                  <w:r>
                    <w:rPr>
                      <w:color w:val="000000" w:themeColor="text1"/>
                      <w:kern w:val="0"/>
                      <w:sz w:val="21"/>
                      <w:szCs w:val="21"/>
                      <w:highlight w:val="none"/>
                      <w14:textFill>
                        <w14:solidFill>
                          <w14:schemeClr w14:val="tx1"/>
                        </w14:solidFill>
                      </w14:textFill>
                    </w:rPr>
                    <w:t>情况</w:t>
                  </w:r>
                </w:p>
              </w:tc>
              <w:tc>
                <w:tcPr>
                  <w:tcW w:w="540" w:type="pct"/>
                  <w:vAlign w:val="center"/>
                </w:tcPr>
                <w:p w14:paraId="0AB30EB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相符性</w:t>
                  </w:r>
                </w:p>
              </w:tc>
            </w:tr>
            <w:tr w14:paraId="144D7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restart"/>
                  <w:vAlign w:val="center"/>
                </w:tcPr>
                <w:p w14:paraId="6C8E98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装备水平及生产工艺</w:t>
                  </w:r>
                </w:p>
              </w:tc>
              <w:tc>
                <w:tcPr>
                  <w:tcW w:w="2025" w:type="pct"/>
                  <w:vAlign w:val="center"/>
                </w:tcPr>
                <w:p w14:paraId="1D328DE1">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粘土砂工艺采用水平或垂直自动化</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造型线</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w:t>
                  </w:r>
                </w:p>
              </w:tc>
              <w:tc>
                <w:tcPr>
                  <w:tcW w:w="1866" w:type="pct"/>
                  <w:vAlign w:val="center"/>
                </w:tcPr>
                <w:p w14:paraId="38220D6C">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本项目不涉及粘土砂工艺</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7C601BD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eastAsia="zh-CN"/>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2BCE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1E7E0F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025" w:type="pct"/>
                  <w:vAlign w:val="center"/>
                </w:tcPr>
                <w:p w14:paraId="1466CDF8">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消失模工艺采用消失模自动化造型线；</w:t>
                  </w:r>
                </w:p>
              </w:tc>
              <w:tc>
                <w:tcPr>
                  <w:tcW w:w="1866" w:type="pct"/>
                  <w:vAlign w:val="center"/>
                </w:tcPr>
                <w:p w14:paraId="247AE332">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本项目不涉及消失模工艺</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1F7C20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rFonts w:hint="eastAsia"/>
                      <w:color w:val="000000" w:themeColor="text1"/>
                      <w:kern w:val="0"/>
                      <w:sz w:val="21"/>
                      <w:szCs w:val="21"/>
                      <w:highlight w:val="none"/>
                      <w:lang w:val="en-US" w:eastAsia="zh-CN"/>
                      <w14:textFill>
                        <w14:solidFill>
                          <w14:schemeClr w14:val="tx1"/>
                        </w14:solidFill>
                      </w14:textFill>
                    </w:rPr>
                    <w:t>/</w:t>
                  </w:r>
                </w:p>
              </w:tc>
            </w:tr>
            <w:tr w14:paraId="3A5F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03F0EA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1A9E5CD2">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熔模铸造工艺采用硅溶胶铸造工艺、采用自动制壳线</w:t>
                  </w:r>
                </w:p>
              </w:tc>
              <w:tc>
                <w:tcPr>
                  <w:tcW w:w="1866" w:type="pct"/>
                  <w:vAlign w:val="center"/>
                </w:tcPr>
                <w:p w14:paraId="0B49C396">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w:t>
                  </w:r>
                  <w:r>
                    <w:rPr>
                      <w:color w:val="000000" w:themeColor="text1"/>
                      <w:sz w:val="21"/>
                      <w:szCs w:val="21"/>
                      <w:highlight w:val="none"/>
                      <w14:textFill>
                        <w14:solidFill>
                          <w14:schemeClr w14:val="tx1"/>
                        </w14:solidFill>
                      </w14:textFill>
                    </w:rPr>
                    <w:t>项目不涉及熔模铸造工艺</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6C1FA1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33F6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4E1E3D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70747FB4">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压铸等其他铸造工艺暂不考虑装备水平差异，依据其污染治理水平确定绩效</w:t>
                  </w:r>
                </w:p>
              </w:tc>
              <w:tc>
                <w:tcPr>
                  <w:tcW w:w="1866" w:type="pct"/>
                  <w:vAlign w:val="center"/>
                </w:tcPr>
                <w:p w14:paraId="7F3679FD">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本项目不涉及压铸工艺。</w:t>
                  </w:r>
                </w:p>
              </w:tc>
              <w:tc>
                <w:tcPr>
                  <w:tcW w:w="540" w:type="pct"/>
                  <w:vAlign w:val="center"/>
                </w:tcPr>
                <w:p w14:paraId="179DE71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013E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restart"/>
                  <w:vAlign w:val="center"/>
                </w:tcPr>
                <w:p w14:paraId="53435B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污染治理技术</w:t>
                  </w:r>
                </w:p>
              </w:tc>
              <w:tc>
                <w:tcPr>
                  <w:tcW w:w="2025" w:type="pct"/>
                  <w:vAlign w:val="center"/>
                </w:tcPr>
                <w:p w14:paraId="2C58E4BC">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1、所使用的生产设备具有高密闭性或具有配套的良好除尘设施的工序可不设二次捕集措施；PM有逸散工序采取二次捕集措施，捕集排风罩应符合《排风罩的分类及技术条件》(GB/T16758)的要求；</w:t>
                  </w:r>
                </w:p>
              </w:tc>
              <w:tc>
                <w:tcPr>
                  <w:tcW w:w="1866" w:type="pct"/>
                  <w:vAlign w:val="center"/>
                </w:tcPr>
                <w:p w14:paraId="3DF8C775">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本项目所有生产设备均配套良好的除尘设施，集气罩设计</w:t>
                  </w:r>
                  <w:r>
                    <w:rPr>
                      <w:color w:val="000000" w:themeColor="text1"/>
                      <w:sz w:val="21"/>
                      <w:szCs w:val="21"/>
                      <w:highlight w:val="none"/>
                      <w14:textFill>
                        <w14:solidFill>
                          <w14:schemeClr w14:val="tx1"/>
                        </w14:solidFill>
                      </w14:textFill>
                    </w:rPr>
                    <w:t>满足《排风罩的分类及技术条件》（GB/T16758）的要求</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7E05D0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2D9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12F70C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025" w:type="pct"/>
                  <w:vAlign w:val="center"/>
                </w:tcPr>
                <w:p w14:paraId="25A129E4">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采用袋式除尘、滤筒除尘等高效除尘工艺</w:t>
                  </w:r>
                  <w:r>
                    <w:rPr>
                      <w:rFonts w:hint="eastAsia"/>
                      <w:color w:val="000000" w:themeColor="text1"/>
                      <w:sz w:val="21"/>
                      <w:szCs w:val="21"/>
                      <w:highlight w:val="none"/>
                      <w:lang w:eastAsia="zh-CN"/>
                      <w14:textFill>
                        <w14:solidFill>
                          <w14:schemeClr w14:val="tx1"/>
                        </w14:solidFill>
                      </w14:textFill>
                    </w:rPr>
                    <w:t>。</w:t>
                  </w:r>
                </w:p>
              </w:tc>
              <w:tc>
                <w:tcPr>
                  <w:tcW w:w="1866" w:type="pct"/>
                  <w:vAlign w:val="center"/>
                </w:tcPr>
                <w:p w14:paraId="679290A6">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eastAsiaTheme="minorEastAsia"/>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项目采用袋式除尘</w:t>
                  </w:r>
                  <w:r>
                    <w:rPr>
                      <w:rFonts w:hint="eastAsia"/>
                      <w:color w:val="000000" w:themeColor="text1"/>
                      <w:sz w:val="21"/>
                      <w:szCs w:val="21"/>
                      <w:highlight w:val="none"/>
                      <w:lang w:val="en-US" w:eastAsia="zh-CN"/>
                      <w14:textFill>
                        <w14:solidFill>
                          <w14:schemeClr w14:val="tx1"/>
                        </w14:solidFill>
                      </w14:textFill>
                    </w:rPr>
                    <w:t>工艺。</w:t>
                  </w:r>
                </w:p>
              </w:tc>
              <w:tc>
                <w:tcPr>
                  <w:tcW w:w="540" w:type="pct"/>
                  <w:vAlign w:val="center"/>
                </w:tcPr>
                <w:p w14:paraId="1DA296D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相符</w:t>
                  </w:r>
                </w:p>
              </w:tc>
            </w:tr>
            <w:tr w14:paraId="5B688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1868FB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25" w:type="pct"/>
                  <w:vAlign w:val="center"/>
                </w:tcPr>
                <w:p w14:paraId="014656A3">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1、制芯</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热芯盒</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、覆膜砂</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壳型</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工序VOCs采用活性炭吸附或更高效的处理措施；制芯</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冷芯盒</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工序VOCs采用吸收法或更高效处理措施；浇注</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树脂砂</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VOCs工序采用活性炭吸附、吸收法或更高效的处理措施；</w:t>
                  </w:r>
                </w:p>
                <w:p w14:paraId="56D9E604">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2、消失模、实型铸造工艺的浇注工序采用吸附脱附+蓄热燃烧、吸附脱附+催化燃烧、焚烧法等高效处理设施。</w:t>
                  </w:r>
                </w:p>
                <w:p w14:paraId="618AACA1">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涂装工序采用吸附脱附+蓄热燃烧、吸附脱附+催化燃烧、焚烧法等高效处理设施；如使用水性、粉末、高固体分、无溶剂、辐射固化等低VOCs含量的涂料或采用辊涂、静电喷涂、高压无气喷涂、空气辅助无气喷涂、热喷涂等涂装技术的涂装工序可采用活性炭吸附等处理揩施；使用纯无机涂料的热喷涂工艺，可采用布袋除尘等粉尘处理措施</w:t>
                  </w:r>
                </w:p>
              </w:tc>
              <w:tc>
                <w:tcPr>
                  <w:tcW w:w="1866" w:type="pct"/>
                  <w:vAlign w:val="center"/>
                </w:tcPr>
                <w:p w14:paraId="611EC8E9">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1、项目浇注</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树脂砂</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工序VOCs采用</w:t>
                  </w:r>
                  <w:r>
                    <w:rPr>
                      <w:rFonts w:hint="eastAsia"/>
                      <w:color w:val="000000" w:themeColor="text1"/>
                      <w:sz w:val="21"/>
                      <w:szCs w:val="21"/>
                      <w:highlight w:val="none"/>
                      <w14:textFill>
                        <w14:solidFill>
                          <w14:schemeClr w14:val="tx1"/>
                        </w14:solidFill>
                      </w14:textFill>
                    </w:rPr>
                    <w:t>1套</w:t>
                  </w:r>
                  <w:r>
                    <w:rPr>
                      <w:rFonts w:hint="eastAsia" w:cs="Times New Roman"/>
                      <w:color w:val="000000" w:themeColor="text1"/>
                      <w:sz w:val="21"/>
                      <w:szCs w:val="21"/>
                      <w:highlight w:val="none"/>
                      <w:lang w:val="en-US" w:eastAsia="zh-CN"/>
                      <w14:textFill>
                        <w14:solidFill>
                          <w14:schemeClr w14:val="tx1"/>
                        </w14:solidFill>
                      </w14:textFill>
                    </w:rPr>
                    <w:t>袋式除尘</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催化燃烧（RCO）</w:t>
                  </w:r>
                  <w:r>
                    <w:rPr>
                      <w:rFonts w:hint="default" w:ascii="Times New Roman" w:hAnsi="Times New Roman" w:cs="Times New Roman"/>
                      <w:color w:val="000000" w:themeColor="text1"/>
                      <w:sz w:val="21"/>
                      <w:szCs w:val="21"/>
                      <w:highlight w:val="none"/>
                      <w14:textFill>
                        <w14:solidFill>
                          <w14:schemeClr w14:val="tx1"/>
                        </w14:solidFill>
                      </w14:textFill>
                    </w:rPr>
                    <w:t>装置</w:t>
                  </w:r>
                  <w:r>
                    <w:rPr>
                      <w:color w:val="000000" w:themeColor="text1"/>
                      <w:sz w:val="21"/>
                      <w:szCs w:val="21"/>
                      <w:highlight w:val="none"/>
                      <w14:textFill>
                        <w14:solidFill>
                          <w14:schemeClr w14:val="tx1"/>
                        </w14:solidFill>
                      </w14:textFill>
                    </w:rPr>
                    <w:t>处理措施；</w:t>
                  </w:r>
                </w:p>
                <w:p w14:paraId="5295E9A4">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r>
                    <w:rPr>
                      <w:rFonts w:hint="eastAsia"/>
                      <w:color w:val="000000" w:themeColor="text1"/>
                      <w:sz w:val="21"/>
                      <w:szCs w:val="21"/>
                      <w:highlight w:val="none"/>
                      <w:lang w:val="en-US" w:eastAsia="zh-CN"/>
                      <w14:textFill>
                        <w14:solidFill>
                          <w14:schemeClr w14:val="tx1"/>
                        </w14:solidFill>
                      </w14:textFill>
                    </w:rPr>
                    <w:t>本次项目不涉及</w:t>
                  </w:r>
                  <w:r>
                    <w:rPr>
                      <w:color w:val="000000" w:themeColor="text1"/>
                      <w:sz w:val="21"/>
                      <w:szCs w:val="21"/>
                      <w:highlight w:val="none"/>
                      <w14:textFill>
                        <w14:solidFill>
                          <w14:schemeClr w14:val="tx1"/>
                        </w14:solidFill>
                      </w14:textFill>
                    </w:rPr>
                    <w:t>消失模</w:t>
                  </w:r>
                  <w:r>
                    <w:rPr>
                      <w:rFonts w:hint="eastAsia"/>
                      <w:color w:val="000000" w:themeColor="text1"/>
                      <w:sz w:val="21"/>
                      <w:szCs w:val="21"/>
                      <w:highlight w:val="none"/>
                      <w:lang w:val="en-US" w:eastAsia="zh-CN"/>
                      <w14:textFill>
                        <w14:solidFill>
                          <w14:schemeClr w14:val="tx1"/>
                        </w14:solidFill>
                      </w14:textFill>
                    </w:rPr>
                    <w:t>和</w:t>
                  </w:r>
                  <w:r>
                    <w:rPr>
                      <w:color w:val="000000" w:themeColor="text1"/>
                      <w:sz w:val="21"/>
                      <w:szCs w:val="21"/>
                      <w:highlight w:val="none"/>
                      <w14:textFill>
                        <w14:solidFill>
                          <w14:schemeClr w14:val="tx1"/>
                        </w14:solidFill>
                      </w14:textFill>
                    </w:rPr>
                    <w:t>实型铸造工艺；</w:t>
                  </w:r>
                </w:p>
                <w:p w14:paraId="544EF718">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3、本项目不涉及涂装工序。</w:t>
                  </w:r>
                </w:p>
              </w:tc>
              <w:tc>
                <w:tcPr>
                  <w:tcW w:w="540" w:type="pct"/>
                  <w:vAlign w:val="center"/>
                </w:tcPr>
                <w:p w14:paraId="79D5B2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CC64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restart"/>
                  <w:vAlign w:val="center"/>
                </w:tcPr>
                <w:p w14:paraId="5F607D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排放限值</w:t>
                  </w:r>
                </w:p>
              </w:tc>
              <w:tc>
                <w:tcPr>
                  <w:tcW w:w="2025" w:type="pct"/>
                  <w:vAlign w:val="center"/>
                </w:tcPr>
                <w:p w14:paraId="7693AC44">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PM、SO</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、NOx排放浓度分别不高于15、50、150mg/m</w:t>
                  </w:r>
                  <w:r>
                    <w:rPr>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lang w:eastAsia="zh-CN"/>
                      <w14:textFill>
                        <w14:solidFill>
                          <w14:schemeClr w14:val="tx1"/>
                        </w14:solidFill>
                      </w14:textFill>
                    </w:rPr>
                    <w:t>。</w:t>
                  </w:r>
                </w:p>
              </w:tc>
              <w:tc>
                <w:tcPr>
                  <w:tcW w:w="1866" w:type="pct"/>
                  <w:vMerge w:val="restart"/>
                  <w:vAlign w:val="center"/>
                </w:tcPr>
                <w:p w14:paraId="2DC5D5FE">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w:t>
                  </w:r>
                  <w:r>
                    <w:rPr>
                      <w:color w:val="000000" w:themeColor="text1"/>
                      <w:sz w:val="21"/>
                      <w:szCs w:val="21"/>
                      <w:highlight w:val="none"/>
                      <w14:textFill>
                        <w14:solidFill>
                          <w14:schemeClr w14:val="tx1"/>
                        </w14:solidFill>
                      </w14:textFill>
                    </w:rPr>
                    <w:t>PM排放浓度不高于15mg/m</w:t>
                  </w:r>
                  <w:r>
                    <w:rPr>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14:textFill>
                        <w14:solidFill>
                          <w14:schemeClr w14:val="tx1"/>
                        </w14:solidFill>
                      </w14:textFill>
                    </w:rPr>
                    <w:t>。</w:t>
                  </w:r>
                </w:p>
              </w:tc>
              <w:tc>
                <w:tcPr>
                  <w:tcW w:w="540" w:type="pct"/>
                  <w:vMerge w:val="restart"/>
                  <w:vAlign w:val="center"/>
                </w:tcPr>
                <w:p w14:paraId="12B5F8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214F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240AC1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c>
                <w:tcPr>
                  <w:tcW w:w="2025" w:type="pct"/>
                  <w:vAlign w:val="center"/>
                </w:tcPr>
                <w:p w14:paraId="26A2BC39">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备注：燃气炉基准氧含量8%</w:t>
                  </w:r>
                  <w:r>
                    <w:rPr>
                      <w:rFonts w:hint="eastAsia"/>
                      <w:color w:val="000000" w:themeColor="text1"/>
                      <w:sz w:val="21"/>
                      <w:szCs w:val="21"/>
                      <w:highlight w:val="none"/>
                      <w:lang w:eastAsia="zh-CN"/>
                      <w14:textFill>
                        <w14:solidFill>
                          <w14:schemeClr w14:val="tx1"/>
                        </w14:solidFill>
                      </w14:textFill>
                    </w:rPr>
                    <w:t>。</w:t>
                  </w:r>
                </w:p>
              </w:tc>
              <w:tc>
                <w:tcPr>
                  <w:tcW w:w="1866" w:type="pct"/>
                  <w:vMerge w:val="continue"/>
                  <w:vAlign w:val="center"/>
                </w:tcPr>
                <w:p w14:paraId="7700747D">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p>
              </w:tc>
              <w:tc>
                <w:tcPr>
                  <w:tcW w:w="540" w:type="pct"/>
                  <w:vMerge w:val="continue"/>
                  <w:vAlign w:val="center"/>
                </w:tcPr>
                <w:p w14:paraId="372E1F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p>
              </w:tc>
            </w:tr>
            <w:tr w14:paraId="3AF3E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0" w:hRule="atLeast"/>
              </w:trPr>
              <w:tc>
                <w:tcPr>
                  <w:tcW w:w="568" w:type="pct"/>
                  <w:vMerge w:val="restart"/>
                  <w:vAlign w:val="center"/>
                </w:tcPr>
                <w:p w14:paraId="328B06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无组织排放</w:t>
                  </w:r>
                </w:p>
              </w:tc>
              <w:tc>
                <w:tcPr>
                  <w:tcW w:w="2025" w:type="pct"/>
                  <w:vAlign w:val="center"/>
                </w:tcPr>
                <w:p w14:paraId="575E1E15">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物料储存</w:t>
                  </w:r>
                  <w:r>
                    <w:rPr>
                      <w:rFonts w:hint="eastAsia"/>
                      <w:color w:val="000000" w:themeColor="text1"/>
                      <w:sz w:val="21"/>
                      <w:szCs w:val="21"/>
                      <w:highlight w:val="none"/>
                      <w:lang w:eastAsia="zh-CN"/>
                      <w14:textFill>
                        <w14:solidFill>
                          <w14:schemeClr w14:val="tx1"/>
                        </w14:solidFill>
                      </w14:textFill>
                    </w:rPr>
                    <w:t>：</w:t>
                  </w:r>
                </w:p>
                <w:p w14:paraId="06D3863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煤粉、膨润土、硅砂等粉状物料应袋装或罐装，并储存于封闭储库中；</w:t>
                  </w:r>
                </w:p>
                <w:p w14:paraId="1FB7854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r>
                    <w:rPr>
                      <w:color w:val="000000" w:themeColor="text1"/>
                      <w:sz w:val="21"/>
                      <w:szCs w:val="21"/>
                      <w:highlight w:val="none"/>
                      <w14:textFill>
                        <w14:solidFill>
                          <w14:schemeClr w14:val="tx1"/>
                        </w14:solidFill>
                      </w14:textFill>
                    </w:rPr>
                    <w:t>生铁、废钢、焦炭、铁合金及其他原辅材料等粒状、块状散装物料应储存于封闭储库中。</w:t>
                  </w:r>
                </w:p>
              </w:tc>
              <w:tc>
                <w:tcPr>
                  <w:tcW w:w="1866" w:type="pct"/>
                  <w:vAlign w:val="center"/>
                </w:tcPr>
                <w:p w14:paraId="5E7A27C1">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项目原砂袋装储存，再生砂储存于封闭砂库内；原料</w:t>
                  </w:r>
                  <w:r>
                    <w:rPr>
                      <w:color w:val="000000" w:themeColor="text1"/>
                      <w:sz w:val="21"/>
                      <w:szCs w:val="21"/>
                      <w:highlight w:val="none"/>
                      <w14:textFill>
                        <w14:solidFill>
                          <w14:schemeClr w14:val="tx1"/>
                        </w14:solidFill>
                      </w14:textFill>
                    </w:rPr>
                    <w:t>生铁、废钢块状散装物料储存于封闭</w:t>
                  </w:r>
                  <w:r>
                    <w:rPr>
                      <w:rFonts w:hint="eastAsia"/>
                      <w:color w:val="000000" w:themeColor="text1"/>
                      <w:sz w:val="21"/>
                      <w:szCs w:val="21"/>
                      <w:highlight w:val="none"/>
                      <w:lang w:val="en-US" w:eastAsia="zh-CN"/>
                      <w14:textFill>
                        <w14:solidFill>
                          <w14:schemeClr w14:val="tx1"/>
                        </w14:solidFill>
                      </w14:textFill>
                    </w:rPr>
                    <w:t>原料库。</w:t>
                  </w:r>
                </w:p>
              </w:tc>
              <w:tc>
                <w:tcPr>
                  <w:tcW w:w="540" w:type="pct"/>
                  <w:vMerge w:val="restart"/>
                  <w:vAlign w:val="center"/>
                </w:tcPr>
                <w:p w14:paraId="4AB9FF9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23D6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568" w:type="pct"/>
                  <w:vMerge w:val="continue"/>
                  <w:vAlign w:val="center"/>
                </w:tcPr>
                <w:p w14:paraId="4C8EC725">
                  <w:pPr>
                    <w:keepNext w:val="0"/>
                    <w:keepLines w:val="0"/>
                    <w:pageBreakBefore w:val="0"/>
                    <w:kinsoku/>
                    <w:wordWrap/>
                    <w:overflowPunct/>
                    <w:topLinePunct w:val="0"/>
                    <w:autoSpaceDE/>
                    <w:autoSpaceDN/>
                    <w:bidi w:val="0"/>
                    <w:adjustRightInd/>
                    <w:snapToGrid/>
                    <w:spacing w:line="240" w:lineRule="auto"/>
                    <w:ind w:firstLine="0" w:firstLineChars="0"/>
                    <w:textAlignment w:val="auto"/>
                  </w:pPr>
                </w:p>
              </w:tc>
              <w:tc>
                <w:tcPr>
                  <w:tcW w:w="2025" w:type="pct"/>
                  <w:vAlign w:val="center"/>
                </w:tcPr>
                <w:p w14:paraId="0AD864E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物料转移和输送</w:t>
                  </w:r>
                  <w:r>
                    <w:rPr>
                      <w:rFonts w:hint="eastAsia"/>
                      <w:color w:val="000000" w:themeColor="text1"/>
                      <w:sz w:val="21"/>
                      <w:szCs w:val="21"/>
                      <w:highlight w:val="none"/>
                      <w:lang w:eastAsia="zh-CN"/>
                      <w14:textFill>
                        <w14:solidFill>
                          <w14:schemeClr w14:val="tx1"/>
                        </w14:solidFill>
                      </w14:textFill>
                    </w:rPr>
                    <w:t>：</w:t>
                  </w:r>
                </w:p>
                <w:p w14:paraId="7A42242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r>
                    <w:rPr>
                      <w:color w:val="000000" w:themeColor="text1"/>
                      <w:sz w:val="21"/>
                      <w:szCs w:val="21"/>
                      <w:highlight w:val="none"/>
                      <w14:textFill>
                        <w14:solidFill>
                          <w14:schemeClr w14:val="tx1"/>
                        </w14:solidFill>
                      </w14:textFill>
                    </w:rPr>
                    <w:t>粉状、粒状等易散发粉尘的物料厂内转移、输送时，应采取密闭或覆盖等抑尘措施；转移、输送、装卸过程中应采取集气除尘措施，或喷淋</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雾</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等抑尘措施；</w:t>
                  </w:r>
                </w:p>
                <w:p w14:paraId="37910B1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r>
                    <w:rPr>
                      <w:color w:val="000000" w:themeColor="text1"/>
                      <w:sz w:val="21"/>
                      <w:szCs w:val="21"/>
                      <w:highlight w:val="none"/>
                      <w14:textFill>
                        <w14:solidFill>
                          <w14:schemeClr w14:val="tx1"/>
                        </w14:solidFill>
                      </w14:textFill>
                    </w:rPr>
                    <w:t>除尘器卸灰口应采取密闭措施，除尘灰不得直接卸落到地面。除尘灰采取袋装、罐装等密闭措施收集、存放和运输；</w:t>
                  </w:r>
                </w:p>
                <w:p w14:paraId="38B640F2">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r>
                    <w:rPr>
                      <w:color w:val="000000" w:themeColor="text1"/>
                      <w:sz w:val="21"/>
                      <w:szCs w:val="21"/>
                      <w:highlight w:val="none"/>
                      <w14:textFill>
                        <w14:solidFill>
                          <w14:schemeClr w14:val="tx1"/>
                        </w14:solidFill>
                      </w14:textFill>
                    </w:rPr>
                    <w:t>厂区道路硬化，并采取清扫、洒水等措施，保持清洁。</w:t>
                  </w:r>
                </w:p>
              </w:tc>
              <w:tc>
                <w:tcPr>
                  <w:tcW w:w="1866" w:type="pct"/>
                  <w:vAlign w:val="center"/>
                </w:tcPr>
                <w:p w14:paraId="07B57D73">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本项目粉状物料转移输送时采取密闭和覆盖措施；</w:t>
                  </w:r>
                  <w:r>
                    <w:rPr>
                      <w:color w:val="000000" w:themeColor="text1"/>
                      <w:sz w:val="21"/>
                      <w:szCs w:val="21"/>
                      <w:highlight w:val="none"/>
                      <w14:textFill>
                        <w14:solidFill>
                          <w14:schemeClr w14:val="tx1"/>
                        </w14:solidFill>
                      </w14:textFill>
                    </w:rPr>
                    <w:t>除尘器卸灰口采用密闭袋连接，除尘灰密闭收集及运输；厂区道路进行硬化，并定期洒水降尘。</w:t>
                  </w:r>
                </w:p>
              </w:tc>
              <w:tc>
                <w:tcPr>
                  <w:tcW w:w="540" w:type="pct"/>
                  <w:vMerge w:val="continue"/>
                  <w:vAlign w:val="center"/>
                </w:tcPr>
                <w:p w14:paraId="1A7D7EAF">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14:textFill>
                        <w14:solidFill>
                          <w14:schemeClr w14:val="tx1"/>
                        </w14:solidFill>
                      </w14:textFill>
                    </w:rPr>
                  </w:pPr>
                </w:p>
              </w:tc>
            </w:tr>
            <w:tr w14:paraId="4325F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0" w:hRule="atLeast"/>
              </w:trPr>
              <w:tc>
                <w:tcPr>
                  <w:tcW w:w="568" w:type="pct"/>
                  <w:vMerge w:val="continue"/>
                  <w:vAlign w:val="center"/>
                </w:tcPr>
                <w:p w14:paraId="657E0380">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14:textFill>
                        <w14:solidFill>
                          <w14:schemeClr w14:val="tx1"/>
                        </w14:solidFill>
                      </w14:textFill>
                    </w:rPr>
                  </w:pPr>
                </w:p>
              </w:tc>
              <w:tc>
                <w:tcPr>
                  <w:tcW w:w="2025" w:type="pct"/>
                  <w:vAlign w:val="center"/>
                </w:tcPr>
                <w:p w14:paraId="4DD8326B">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铸造</w:t>
                  </w:r>
                  <w:r>
                    <w:rPr>
                      <w:rFonts w:hint="eastAsia"/>
                      <w:color w:val="000000" w:themeColor="text1"/>
                      <w:sz w:val="21"/>
                      <w:szCs w:val="21"/>
                      <w:highlight w:val="none"/>
                      <w:lang w:eastAsia="zh-CN"/>
                      <w14:textFill>
                        <w14:solidFill>
                          <w14:schemeClr w14:val="tx1"/>
                        </w14:solidFill>
                      </w14:textFill>
                    </w:rPr>
                    <w:t>：</w:t>
                  </w:r>
                </w:p>
                <w:p w14:paraId="6271D417">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r>
                    <w:rPr>
                      <w:color w:val="000000" w:themeColor="text1"/>
                      <w:sz w:val="21"/>
                      <w:szCs w:val="21"/>
                      <w:highlight w:val="none"/>
                      <w14:textFill>
                        <w14:solidFill>
                          <w14:schemeClr w14:val="tx1"/>
                        </w14:solidFill>
                      </w14:textFill>
                    </w:rPr>
                    <w:t>孕育、变质、炉外精炼、除气等金属液预处理工序PM排放环节应安装半封闭空间，并配备除尘设施；</w:t>
                  </w:r>
                </w:p>
                <w:p w14:paraId="7545E983">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r>
                    <w:rPr>
                      <w:color w:val="000000" w:themeColor="text1"/>
                      <w:sz w:val="21"/>
                      <w:szCs w:val="21"/>
                      <w:highlight w:val="none"/>
                      <w14:textFill>
                        <w14:solidFill>
                          <w14:schemeClr w14:val="tx1"/>
                        </w14:solidFill>
                      </w14:textFill>
                    </w:rPr>
                    <w:t>浇注工序设置浇注区或浇注段，采用外部罩的罩口应尽可能接近污染源并覆盖污染源；落砂、抛丸清理、砂处理工序应在封闭空间内操作，废气收集至除尘设施。制芯工序在封闭或半封闭空间内操作；</w:t>
                  </w: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对于树脂砂、水玻璃砂等工艺生产特殊尺寸</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特大等</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铸件或使用地坑造型的，浇注和冷却工序在密闭车间或密闭空间内进行并配备废气处理设施，待砂型冷却至无可见烟尘外逸时，环保设备方可停止运行；落砂工序应采取有效集气除尘或抑尘措施；</w:t>
                  </w:r>
                </w:p>
                <w:p w14:paraId="475EFD07">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r>
                    <w:rPr>
                      <w:color w:val="000000" w:themeColor="text1"/>
                      <w:sz w:val="21"/>
                      <w:szCs w:val="21"/>
                      <w:highlight w:val="none"/>
                      <w14:textFill>
                        <w14:solidFill>
                          <w14:schemeClr w14:val="tx1"/>
                        </w14:solidFill>
                      </w14:textFill>
                    </w:rPr>
                    <w:t>清理</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去除浇冒口、铲飞边毛刺等</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和浇包、渣包的维修等工序宜在封闭空间内操作，废气收集至除尘设施；</w:t>
                  </w:r>
                </w:p>
                <w:p w14:paraId="51014C29">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r>
                    <w:rPr>
                      <w:color w:val="000000" w:themeColor="text1"/>
                      <w:sz w:val="21"/>
                      <w:szCs w:val="21"/>
                      <w:highlight w:val="none"/>
                      <w14:textFill>
                        <w14:solidFill>
                          <w14:schemeClr w14:val="tx1"/>
                        </w14:solidFill>
                      </w14:textFill>
                    </w:rPr>
                    <w:t>车间不得有可见烟粉尘外逸</w:t>
                  </w:r>
                </w:p>
              </w:tc>
              <w:tc>
                <w:tcPr>
                  <w:tcW w:w="1866" w:type="pct"/>
                  <w:vAlign w:val="center"/>
                </w:tcPr>
                <w:p w14:paraId="432B154D">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r>
                    <w:rPr>
                      <w:rFonts w:hint="eastAsia"/>
                      <w:color w:val="000000" w:themeColor="text1"/>
                      <w:sz w:val="21"/>
                      <w:szCs w:val="21"/>
                      <w:highlight w:val="none"/>
                      <w14:textFill>
                        <w14:solidFill>
                          <w14:schemeClr w14:val="tx1"/>
                        </w14:solidFill>
                      </w14:textFill>
                    </w:rPr>
                    <w:t>本项目不涉及</w:t>
                  </w:r>
                  <w:r>
                    <w:rPr>
                      <w:color w:val="000000" w:themeColor="text1"/>
                      <w:sz w:val="21"/>
                      <w:szCs w:val="21"/>
                      <w:highlight w:val="none"/>
                      <w14:textFill>
                        <w14:solidFill>
                          <w14:schemeClr w14:val="tx1"/>
                        </w14:solidFill>
                      </w14:textFill>
                    </w:rPr>
                    <w:t>金属液预处理工序；</w:t>
                  </w:r>
                </w:p>
                <w:p w14:paraId="72199DDE">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2、造型/浇注工序设置固定工位并安装集气罩，</w:t>
                  </w:r>
                  <w:r>
                    <w:rPr>
                      <w:color w:val="000000" w:themeColor="text1"/>
                      <w:sz w:val="21"/>
                      <w:szCs w:val="21"/>
                      <w:highlight w:val="none"/>
                      <w14:textFill>
                        <w14:solidFill>
                          <w14:schemeClr w14:val="tx1"/>
                        </w14:solidFill>
                      </w14:textFill>
                    </w:rPr>
                    <w:t>落砂</w:t>
                  </w:r>
                  <w:r>
                    <w:rPr>
                      <w:rFonts w:hint="eastAsia"/>
                      <w:color w:val="000000" w:themeColor="text1"/>
                      <w:sz w:val="21"/>
                      <w:szCs w:val="21"/>
                      <w:highlight w:val="none"/>
                      <w:lang w:val="en-US" w:eastAsia="zh-CN"/>
                      <w14:textFill>
                        <w14:solidFill>
                          <w14:schemeClr w14:val="tx1"/>
                        </w14:solidFill>
                      </w14:textFill>
                    </w:rPr>
                    <w:t>和砂处理区全封闭</w:t>
                  </w:r>
                  <w:r>
                    <w:rPr>
                      <w:rFonts w:hint="eastAsia"/>
                      <w:color w:val="000000" w:themeColor="text1"/>
                      <w:sz w:val="21"/>
                      <w:szCs w:val="21"/>
                      <w:highlight w:val="none"/>
                      <w:lang w:eastAsia="zh-CN"/>
                      <w14:textFill>
                        <w14:solidFill>
                          <w14:schemeClr w14:val="tx1"/>
                        </w14:solidFill>
                      </w14:textFill>
                    </w:rPr>
                    <w:t>，抛丸机设备</w:t>
                  </w:r>
                  <w:r>
                    <w:rPr>
                      <w:rFonts w:hint="eastAsia"/>
                      <w:color w:val="000000" w:themeColor="text1"/>
                      <w:sz w:val="21"/>
                      <w:szCs w:val="21"/>
                      <w:highlight w:val="none"/>
                      <w:lang w:val="en-US" w:eastAsia="zh-CN"/>
                      <w14:textFill>
                        <w14:solidFill>
                          <w14:schemeClr w14:val="tx1"/>
                        </w14:solidFill>
                      </w14:textFill>
                    </w:rPr>
                    <w:t>整体</w:t>
                  </w:r>
                  <w:r>
                    <w:rPr>
                      <w:rFonts w:hint="eastAsia"/>
                      <w:color w:val="000000" w:themeColor="text1"/>
                      <w:sz w:val="21"/>
                      <w:szCs w:val="21"/>
                      <w:highlight w:val="none"/>
                      <w:lang w:eastAsia="zh-CN"/>
                      <w14:textFill>
                        <w14:solidFill>
                          <w14:schemeClr w14:val="tx1"/>
                        </w14:solidFill>
                      </w14:textFill>
                    </w:rPr>
                    <w:t>密闭</w:t>
                  </w:r>
                  <w:r>
                    <w:rPr>
                      <w:color w:val="000000" w:themeColor="text1"/>
                      <w:sz w:val="21"/>
                      <w:szCs w:val="21"/>
                      <w:highlight w:val="none"/>
                      <w14:textFill>
                        <w14:solidFill>
                          <w14:schemeClr w14:val="tx1"/>
                        </w14:solidFill>
                      </w14:textFill>
                    </w:rPr>
                    <w:t>，</w:t>
                  </w:r>
                  <w:r>
                    <w:rPr>
                      <w:color w:val="000000" w:themeColor="text1"/>
                      <w:spacing w:val="7"/>
                      <w:sz w:val="21"/>
                      <w:szCs w:val="21"/>
                      <w:highlight w:val="none"/>
                      <w14:textFill>
                        <w14:solidFill>
                          <w14:schemeClr w14:val="tx1"/>
                        </w14:solidFill>
                      </w14:textFill>
                    </w:rPr>
                    <w:t>并配</w:t>
                  </w:r>
                  <w:r>
                    <w:rPr>
                      <w:color w:val="000000" w:themeColor="text1"/>
                      <w:spacing w:val="6"/>
                      <w:sz w:val="21"/>
                      <w:szCs w:val="21"/>
                      <w:highlight w:val="none"/>
                      <w14:textFill>
                        <w14:solidFill>
                          <w14:schemeClr w14:val="tx1"/>
                        </w14:solidFill>
                      </w14:textFill>
                    </w:rPr>
                    <w:t>套</w:t>
                  </w:r>
                  <w:r>
                    <w:rPr>
                      <w:color w:val="000000" w:themeColor="text1"/>
                      <w:spacing w:val="8"/>
                      <w:sz w:val="21"/>
                      <w:szCs w:val="21"/>
                      <w:highlight w:val="none"/>
                      <w14:textFill>
                        <w14:solidFill>
                          <w14:schemeClr w14:val="tx1"/>
                        </w14:solidFill>
                      </w14:textFill>
                    </w:rPr>
                    <w:t>除</w:t>
                  </w:r>
                  <w:r>
                    <w:rPr>
                      <w:color w:val="000000" w:themeColor="text1"/>
                      <w:spacing w:val="4"/>
                      <w:sz w:val="21"/>
                      <w:szCs w:val="21"/>
                      <w:highlight w:val="none"/>
                      <w14:textFill>
                        <w14:solidFill>
                          <w14:schemeClr w14:val="tx1"/>
                        </w14:solidFill>
                      </w14:textFill>
                    </w:rPr>
                    <w:t>尘器处理</w:t>
                  </w:r>
                  <w:r>
                    <w:rPr>
                      <w:color w:val="000000" w:themeColor="text1"/>
                      <w:sz w:val="21"/>
                      <w:szCs w:val="21"/>
                      <w:highlight w:val="none"/>
                      <w14:textFill>
                        <w14:solidFill>
                          <w14:schemeClr w14:val="tx1"/>
                        </w14:solidFill>
                      </w14:textFill>
                    </w:rPr>
                    <w:t>。</w:t>
                  </w:r>
                </w:p>
                <w:p w14:paraId="513B5605">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项目</w:t>
                  </w:r>
                  <w:r>
                    <w:rPr>
                      <w:rFonts w:hint="eastAsia"/>
                      <w:color w:val="000000" w:themeColor="text1"/>
                      <w:sz w:val="21"/>
                      <w:szCs w:val="21"/>
                      <w:highlight w:val="none"/>
                      <w:lang w:val="en-US" w:eastAsia="zh-CN"/>
                      <w14:textFill>
                        <w14:solidFill>
                          <w14:schemeClr w14:val="tx1"/>
                        </w14:solidFill>
                      </w14:textFill>
                    </w:rPr>
                    <w:t>采用树脂砂工艺，</w:t>
                  </w:r>
                  <w:r>
                    <w:rPr>
                      <w:color w:val="000000" w:themeColor="text1"/>
                      <w:sz w:val="21"/>
                      <w:szCs w:val="21"/>
                      <w:highlight w:val="none"/>
                      <w14:textFill>
                        <w14:solidFill>
                          <w14:schemeClr w14:val="tx1"/>
                        </w14:solidFill>
                      </w14:textFill>
                    </w:rPr>
                    <w:t>浇注和冷却工序在密闭车间内进行并配备废气处理设施，待砂型冷却至无可见烟尘外逸时，环保设备方可停止运行；落砂工序应采取有效集气除尘措施；</w:t>
                  </w:r>
                </w:p>
                <w:p w14:paraId="6A2C2BC5">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4、打磨</w:t>
                  </w:r>
                  <w:r>
                    <w:rPr>
                      <w:color w:val="000000" w:themeColor="text1"/>
                      <w:sz w:val="21"/>
                      <w:szCs w:val="21"/>
                      <w:highlight w:val="none"/>
                      <w14:textFill>
                        <w14:solidFill>
                          <w14:schemeClr w14:val="tx1"/>
                        </w14:solidFill>
                      </w14:textFill>
                    </w:rPr>
                    <w:t>工序在封闭</w:t>
                  </w:r>
                  <w:r>
                    <w:rPr>
                      <w:rFonts w:hint="eastAsia"/>
                      <w:color w:val="000000" w:themeColor="text1"/>
                      <w:sz w:val="21"/>
                      <w:szCs w:val="21"/>
                      <w:highlight w:val="none"/>
                      <w14:textFill>
                        <w14:solidFill>
                          <w14:schemeClr w14:val="tx1"/>
                        </w14:solidFill>
                      </w14:textFill>
                    </w:rPr>
                    <w:t>空间</w:t>
                  </w:r>
                  <w:r>
                    <w:rPr>
                      <w:color w:val="000000" w:themeColor="text1"/>
                      <w:sz w:val="21"/>
                      <w:szCs w:val="21"/>
                      <w:highlight w:val="none"/>
                      <w14:textFill>
                        <w14:solidFill>
                          <w14:schemeClr w14:val="tx1"/>
                        </w14:solidFill>
                      </w14:textFill>
                    </w:rPr>
                    <w:t>内操作，废气收集至除尘设施处理；</w:t>
                  </w:r>
                </w:p>
                <w:p w14:paraId="31066B3E">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r>
                    <w:rPr>
                      <w:color w:val="000000" w:themeColor="text1"/>
                      <w:sz w:val="21"/>
                      <w:szCs w:val="21"/>
                      <w:highlight w:val="none"/>
                      <w14:textFill>
                        <w14:solidFill>
                          <w14:schemeClr w14:val="tx1"/>
                        </w14:solidFill>
                      </w14:textFill>
                    </w:rPr>
                    <w:t>车间内</w:t>
                  </w:r>
                  <w:r>
                    <w:rPr>
                      <w:rFonts w:hint="eastAsia"/>
                      <w:color w:val="000000" w:themeColor="text1"/>
                      <w:sz w:val="21"/>
                      <w:szCs w:val="21"/>
                      <w:highlight w:val="none"/>
                      <w:lang w:val="en-US" w:eastAsia="zh-CN"/>
                      <w14:textFill>
                        <w14:solidFill>
                          <w14:schemeClr w14:val="tx1"/>
                        </w14:solidFill>
                      </w14:textFill>
                    </w:rPr>
                    <w:t>无</w:t>
                  </w:r>
                  <w:r>
                    <w:rPr>
                      <w:color w:val="000000" w:themeColor="text1"/>
                      <w:sz w:val="21"/>
                      <w:szCs w:val="21"/>
                      <w:highlight w:val="none"/>
                      <w14:textFill>
                        <w14:solidFill>
                          <w14:schemeClr w14:val="tx1"/>
                        </w14:solidFill>
                      </w14:textFill>
                    </w:rPr>
                    <w:t>可见烟尘外逸。</w:t>
                  </w:r>
                </w:p>
              </w:tc>
              <w:tc>
                <w:tcPr>
                  <w:tcW w:w="540" w:type="pct"/>
                  <w:vMerge w:val="continue"/>
                  <w:vAlign w:val="center"/>
                </w:tcPr>
                <w:p w14:paraId="379F7E02">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color w:val="000000" w:themeColor="text1"/>
                      <w:sz w:val="21"/>
                      <w:szCs w:val="21"/>
                      <w:highlight w:val="none"/>
                      <w14:textFill>
                        <w14:solidFill>
                          <w14:schemeClr w14:val="tx1"/>
                        </w14:solidFill>
                      </w14:textFill>
                    </w:rPr>
                  </w:pPr>
                </w:p>
              </w:tc>
            </w:tr>
            <w:tr w14:paraId="11AB5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Align w:val="center"/>
                </w:tcPr>
                <w:p w14:paraId="493F444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监测监控水平</w:t>
                  </w:r>
                </w:p>
              </w:tc>
              <w:tc>
                <w:tcPr>
                  <w:tcW w:w="2025" w:type="pct"/>
                  <w:vAlign w:val="center"/>
                </w:tcPr>
                <w:p w14:paraId="156A5E8A">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1、料场出入口等易产生PM排放环节，安装高清视频监控设施。视频监控数据保存六个月以上；</w:t>
                  </w:r>
                </w:p>
                <w:p w14:paraId="72DF28C6">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2、主要生产设施与污染防治设施分表计电</w:t>
                  </w:r>
                </w:p>
              </w:tc>
              <w:tc>
                <w:tcPr>
                  <w:tcW w:w="1866" w:type="pct"/>
                  <w:vAlign w:val="center"/>
                </w:tcPr>
                <w:p w14:paraId="7D80AD49">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1、企业已在料场出入口安装高清视频监控；</w:t>
                  </w:r>
                </w:p>
                <w:p w14:paraId="59683F6D">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2、主要生产设施和污染治理设施安装用电监控。</w:t>
                  </w:r>
                </w:p>
              </w:tc>
              <w:tc>
                <w:tcPr>
                  <w:tcW w:w="540" w:type="pct"/>
                  <w:vAlign w:val="center"/>
                </w:tcPr>
                <w:p w14:paraId="20C827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1DA61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restart"/>
                  <w:vAlign w:val="center"/>
                </w:tcPr>
                <w:p w14:paraId="0E944F5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环境管理水平</w:t>
                  </w:r>
                </w:p>
              </w:tc>
              <w:tc>
                <w:tcPr>
                  <w:tcW w:w="2025" w:type="pct"/>
                  <w:vAlign w:val="center"/>
                </w:tcPr>
                <w:p w14:paraId="151340DE">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环保档案齐全：1、环评批复文件；2、排污许可证及季度、年度执行报告；3、竣工验收文件；4、废气治理设施运行管理规程；5、一年内第三方废气监测报告。</w:t>
                  </w:r>
                </w:p>
              </w:tc>
              <w:tc>
                <w:tcPr>
                  <w:tcW w:w="1866" w:type="pct"/>
                  <w:vAlign w:val="center"/>
                </w:tcPr>
                <w:p w14:paraId="22F117FE">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配备专职环保人员</w:t>
                  </w:r>
                  <w:r>
                    <w:rPr>
                      <w:rFonts w:hint="eastAsia"/>
                      <w:color w:val="000000" w:themeColor="text1"/>
                      <w:sz w:val="21"/>
                      <w:szCs w:val="21"/>
                      <w:highlight w:val="none"/>
                      <w:lang w:eastAsia="zh-CN"/>
                      <w14:textFill>
                        <w14:solidFill>
                          <w14:schemeClr w14:val="tx1"/>
                        </w14:solidFill>
                      </w14:textFill>
                    </w:rPr>
                    <w:t>，</w:t>
                  </w:r>
                  <w:r>
                    <w:rPr>
                      <w:color w:val="000000" w:themeColor="text1"/>
                      <w:sz w:val="21"/>
                      <w:szCs w:val="21"/>
                      <w:highlight w:val="none"/>
                      <w14:textFill>
                        <w14:solidFill>
                          <w14:schemeClr w14:val="tx1"/>
                        </w14:solidFill>
                      </w14:textFill>
                    </w:rPr>
                    <w:t>完善环保档案</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163E1A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859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7AEDD8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49A488AA">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台账记录：1、完整生产管理台账：生产设备运行台账，原辅材料、燃料使用量，产品产量；2、设备维护记录；3、废气治理设备清单：主要污染治理设备、设计说明书、运行记录、CEMS小时数据等</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如需</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；4、耗材记录：包括草酸、磷酸、活性炭等耗材使用量，除尘器滤料更换记录等；5、运输管理电子台账</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包括出入厂记录、车牌号、VIN号、发动机编号和排放阶段等</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；6、固废、危废处理记录；7、废气治理设施运行管理规程</w:t>
                  </w:r>
                </w:p>
              </w:tc>
              <w:tc>
                <w:tcPr>
                  <w:tcW w:w="1866" w:type="pct"/>
                  <w:vAlign w:val="center"/>
                </w:tcPr>
                <w:p w14:paraId="35811AAF">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生产过程中</w:t>
                  </w:r>
                  <w:r>
                    <w:rPr>
                      <w:color w:val="000000" w:themeColor="text1"/>
                      <w:sz w:val="21"/>
                      <w:szCs w:val="21"/>
                      <w:highlight w:val="none"/>
                      <w14:textFill>
                        <w14:solidFill>
                          <w14:schemeClr w14:val="tx1"/>
                        </w14:solidFill>
                      </w14:textFill>
                    </w:rPr>
                    <w:t>做好台账记录</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351A40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1A3DE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5EE2E22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3D231AB5">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人员配置：设置环保部门，配备专职环保人员，并具备相应的环境管理能力</w:t>
                  </w:r>
                </w:p>
              </w:tc>
              <w:tc>
                <w:tcPr>
                  <w:tcW w:w="1866" w:type="pct"/>
                  <w:vAlign w:val="center"/>
                </w:tcPr>
                <w:p w14:paraId="2A1C16D3">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已</w:t>
                  </w:r>
                  <w:r>
                    <w:rPr>
                      <w:color w:val="000000" w:themeColor="text1"/>
                      <w:sz w:val="21"/>
                      <w:szCs w:val="21"/>
                      <w:highlight w:val="none"/>
                      <w14:textFill>
                        <w14:solidFill>
                          <w14:schemeClr w14:val="tx1"/>
                        </w14:solidFill>
                      </w14:textFill>
                    </w:rPr>
                    <w:t>设置环保部门，</w:t>
                  </w:r>
                  <w:r>
                    <w:rPr>
                      <w:rFonts w:hint="eastAsia"/>
                      <w:color w:val="000000" w:themeColor="text1"/>
                      <w:sz w:val="21"/>
                      <w:szCs w:val="21"/>
                      <w:highlight w:val="none"/>
                      <w:lang w:val="en-US" w:eastAsia="zh-CN"/>
                      <w14:textFill>
                        <w14:solidFill>
                          <w14:schemeClr w14:val="tx1"/>
                        </w14:solidFill>
                      </w14:textFill>
                    </w:rPr>
                    <w:t>并</w:t>
                  </w:r>
                  <w:r>
                    <w:rPr>
                      <w:color w:val="000000" w:themeColor="text1"/>
                      <w:sz w:val="21"/>
                      <w:szCs w:val="21"/>
                      <w:highlight w:val="none"/>
                      <w14:textFill>
                        <w14:solidFill>
                          <w14:schemeClr w14:val="tx1"/>
                        </w14:solidFill>
                      </w14:textFill>
                    </w:rPr>
                    <w:t>配备具备相应环境管理能力</w:t>
                  </w:r>
                  <w:r>
                    <w:rPr>
                      <w:rFonts w:hint="eastAsia"/>
                      <w:color w:val="000000" w:themeColor="text1"/>
                      <w:sz w:val="21"/>
                      <w:szCs w:val="21"/>
                      <w:highlight w:val="none"/>
                      <w:lang w:val="en-US" w:eastAsia="zh-CN"/>
                      <w14:textFill>
                        <w14:solidFill>
                          <w14:schemeClr w14:val="tx1"/>
                        </w14:solidFill>
                      </w14:textFill>
                    </w:rPr>
                    <w:t>的</w:t>
                  </w:r>
                  <w:r>
                    <w:rPr>
                      <w:color w:val="000000" w:themeColor="text1"/>
                      <w:sz w:val="21"/>
                      <w:szCs w:val="21"/>
                      <w:highlight w:val="none"/>
                      <w14:textFill>
                        <w14:solidFill>
                          <w14:schemeClr w14:val="tx1"/>
                        </w14:solidFill>
                      </w14:textFill>
                    </w:rPr>
                    <w:t>专职环保人员</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099D5F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4287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restart"/>
                  <w:vAlign w:val="center"/>
                </w:tcPr>
                <w:p w14:paraId="7BC9EF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运输方式</w:t>
                  </w:r>
                </w:p>
              </w:tc>
              <w:tc>
                <w:tcPr>
                  <w:tcW w:w="2025" w:type="pct"/>
                  <w:vAlign w:val="center"/>
                </w:tcPr>
                <w:p w14:paraId="6CDDDE18">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1、物料公路运输全部使用达到国五及以上排放标准的重型载货车辆（含燃气）或新能源车辆；</w:t>
                  </w:r>
                </w:p>
              </w:tc>
              <w:tc>
                <w:tcPr>
                  <w:tcW w:w="1866" w:type="pct"/>
                  <w:vAlign w:val="center"/>
                </w:tcPr>
                <w:p w14:paraId="3CDA3EB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企业物料公路运输全部使用国五以上排放标准或使用新能源的车辆</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29E62B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9E2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3B5900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7C2D5DED">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2、厂内运输车辆全部达到国五及以上排放标准（含燃气）或使用新能源车辆；</w:t>
                  </w:r>
                </w:p>
              </w:tc>
              <w:tc>
                <w:tcPr>
                  <w:tcW w:w="1866" w:type="pct"/>
                  <w:vAlign w:val="center"/>
                </w:tcPr>
                <w:p w14:paraId="7E28C1FA">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企业厂内运输车辆全部达到国五及以上排放标准</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305BB3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0786D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74C4CAF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6C86E668">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危废运输全部使用安装远程在线监控的国五及以上或新能源车辆；</w:t>
                  </w:r>
                </w:p>
              </w:tc>
              <w:tc>
                <w:tcPr>
                  <w:tcW w:w="1866" w:type="pct"/>
                  <w:vAlign w:val="center"/>
                </w:tcPr>
                <w:p w14:paraId="34149F57">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项目产生的危废全部委托有资质单位进行转运处置</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4BB8E0A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7700E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Merge w:val="continue"/>
                  <w:vAlign w:val="center"/>
                </w:tcPr>
                <w:p w14:paraId="0E8950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p>
              </w:tc>
              <w:tc>
                <w:tcPr>
                  <w:tcW w:w="2025" w:type="pct"/>
                  <w:vAlign w:val="center"/>
                </w:tcPr>
                <w:p w14:paraId="79C8AE94">
                  <w:pPr>
                    <w:keepNext w:val="0"/>
                    <w:keepLines w:val="0"/>
                    <w:pageBreakBefore w:val="0"/>
                    <w:widowControl/>
                    <w:kinsoku/>
                    <w:wordWrap/>
                    <w:overflowPunct/>
                    <w:topLinePunct w:val="0"/>
                    <w:autoSpaceDE/>
                    <w:autoSpaceDN/>
                    <w:bidi w:val="0"/>
                    <w:adjustRightInd/>
                    <w:snapToGrid/>
                    <w:spacing w:line="240" w:lineRule="auto"/>
                    <w:ind w:firstLine="0" w:firstLineChars="0"/>
                    <w:textAlignment w:val="auto"/>
                    <w:rPr>
                      <w:color w:val="000000" w:themeColor="text1"/>
                      <w:kern w:val="0"/>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4、厂内非道路移动机械全部达到国三及以上排放标准或使用新能源机械。</w:t>
                  </w:r>
                </w:p>
              </w:tc>
              <w:tc>
                <w:tcPr>
                  <w:tcW w:w="1866" w:type="pct"/>
                  <w:vAlign w:val="center"/>
                </w:tcPr>
                <w:p w14:paraId="321F1338">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企业厂内非道路移动机械达到国三以上标准</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03E05E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kern w:val="0"/>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62BB3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8" w:type="pct"/>
                  <w:vAlign w:val="center"/>
                </w:tcPr>
                <w:p w14:paraId="789909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运输监管</w:t>
                  </w:r>
                </w:p>
              </w:tc>
              <w:tc>
                <w:tcPr>
                  <w:tcW w:w="2025" w:type="pct"/>
                  <w:vAlign w:val="center"/>
                </w:tcPr>
                <w:p w14:paraId="7C9C4000">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参照《重污染天气重点行业移动源应急管理技术指南》建立门禁系统和电子台账</w:t>
                  </w:r>
                </w:p>
              </w:tc>
              <w:tc>
                <w:tcPr>
                  <w:tcW w:w="1866" w:type="pct"/>
                  <w:vAlign w:val="center"/>
                </w:tcPr>
                <w:p w14:paraId="113C040D">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已按</w:t>
                  </w:r>
                  <w:r>
                    <w:rPr>
                      <w:color w:val="000000" w:themeColor="text1"/>
                      <w:sz w:val="21"/>
                      <w:szCs w:val="21"/>
                      <w:highlight w:val="none"/>
                      <w14:textFill>
                        <w14:solidFill>
                          <w14:schemeClr w14:val="tx1"/>
                        </w14:solidFill>
                      </w14:textFill>
                    </w:rPr>
                    <w:t>要求建立门禁系统和电子台账</w:t>
                  </w:r>
                  <w:r>
                    <w:rPr>
                      <w:rFonts w:hint="eastAsia"/>
                      <w:color w:val="000000" w:themeColor="text1"/>
                      <w:sz w:val="21"/>
                      <w:szCs w:val="21"/>
                      <w:highlight w:val="none"/>
                      <w:lang w:eastAsia="zh-CN"/>
                      <w14:textFill>
                        <w14:solidFill>
                          <w14:schemeClr w14:val="tx1"/>
                        </w14:solidFill>
                      </w14:textFill>
                    </w:rPr>
                    <w:t>。</w:t>
                  </w:r>
                </w:p>
              </w:tc>
              <w:tc>
                <w:tcPr>
                  <w:tcW w:w="540" w:type="pct"/>
                  <w:vAlign w:val="center"/>
                </w:tcPr>
                <w:p w14:paraId="22C29D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highlight w:val="none"/>
                      <w14:textFill>
                        <w14:solidFill>
                          <w14:schemeClr w14:val="tx1"/>
                        </w14:solidFill>
                      </w14:textFill>
                    </w:rPr>
                  </w:pPr>
                  <w:r>
                    <w:rPr>
                      <w:color w:val="000000" w:themeColor="text1"/>
                      <w:kern w:val="0"/>
                      <w:sz w:val="21"/>
                      <w:szCs w:val="21"/>
                      <w:highlight w:val="none"/>
                      <w14:textFill>
                        <w14:solidFill>
                          <w14:schemeClr w14:val="tx1"/>
                        </w14:solidFill>
                      </w14:textFill>
                    </w:rPr>
                    <w:t>相符</w:t>
                  </w:r>
                </w:p>
              </w:tc>
            </w:tr>
            <w:tr w14:paraId="3682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51C4B242">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注：1、自动化是指使用水平或垂直造型线，其造型、合箱、浇注及转运应在流水线上完成。砂处理工序应为成套自动化砂处理设备；</w:t>
                  </w:r>
                </w:p>
                <w:p w14:paraId="3EAFC5E8">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2、机械化是指使用一台或多台单机造型（含蹦蹦机），有浇注区域或自行添加转运线。粘土砂处理设备至少为封闭的设备；</w:t>
                  </w:r>
                </w:p>
                <w:p w14:paraId="0C819F07">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eastAsiaTheme="minorEastAsia"/>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3、SO</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、NOx适用于燃气炉熔炼（化）</w:t>
                  </w:r>
                  <w:r>
                    <w:rPr>
                      <w:rFonts w:hint="eastAsia"/>
                      <w:color w:val="000000" w:themeColor="text1"/>
                      <w:sz w:val="21"/>
                      <w:szCs w:val="21"/>
                      <w:highlight w:val="none"/>
                      <w:lang w:eastAsia="zh-CN"/>
                      <w14:textFill>
                        <w14:solidFill>
                          <w14:schemeClr w14:val="tx1"/>
                        </w14:solidFill>
                      </w14:textFill>
                    </w:rPr>
                    <w:t>。</w:t>
                  </w:r>
                </w:p>
              </w:tc>
            </w:tr>
          </w:tbl>
          <w:p w14:paraId="4A9C3D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highlight w:val="none"/>
              </w:rPr>
            </w:pPr>
            <w:r>
              <w:rPr>
                <w:bCs/>
                <w:sz w:val="24"/>
                <w:highlight w:val="none"/>
              </w:rPr>
              <w:t>综上所述，项目的建设符合《重污染天气重点行业应急减排措施制定技术指南》（2020年修订版）中铸造A企业绩效分级的相关要求。</w:t>
            </w:r>
          </w:p>
          <w:p w14:paraId="050B3A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outlineLvl w:val="9"/>
              <w:rPr>
                <w:rFonts w:hint="default" w:ascii="Times New Roman" w:hAnsi="Times New Roman" w:eastAsia="黑体" w:cs="Times New Roman"/>
                <w:b w:val="0"/>
                <w:bCs w:val="0"/>
                <w:color w:val="auto"/>
                <w:kern w:val="0"/>
                <w:sz w:val="24"/>
                <w:szCs w:val="24"/>
                <w:highlight w:val="none"/>
                <w:u w:val="none" w:color="auto"/>
                <w:lang w:val="en-US" w:eastAsia="zh-CN" w:bidi="ar"/>
              </w:rPr>
            </w:pPr>
            <w:r>
              <w:rPr>
                <w:rFonts w:hint="eastAsia" w:ascii="Times New Roman" w:hAnsi="Times New Roman" w:eastAsia="黑体" w:cs="Times New Roman"/>
                <w:b w:val="0"/>
                <w:bCs w:val="0"/>
                <w:color w:val="auto"/>
                <w:kern w:val="0"/>
                <w:sz w:val="24"/>
                <w:szCs w:val="24"/>
                <w:highlight w:val="none"/>
                <w:u w:val="none" w:color="auto"/>
                <w:lang w:val="en-US" w:eastAsia="zh-CN" w:bidi="ar"/>
              </w:rPr>
              <w:t>4、</w:t>
            </w:r>
            <w:r>
              <w:rPr>
                <w:rFonts w:hint="default" w:ascii="Times New Roman" w:hAnsi="Times New Roman" w:eastAsia="黑体" w:cs="Times New Roman"/>
                <w:b w:val="0"/>
                <w:bCs w:val="0"/>
                <w:color w:val="auto"/>
                <w:kern w:val="0"/>
                <w:sz w:val="24"/>
                <w:szCs w:val="24"/>
                <w:highlight w:val="none"/>
                <w:u w:val="none" w:color="auto"/>
                <w:lang w:val="en-US" w:eastAsia="zh-CN" w:bidi="ar"/>
              </w:rPr>
              <w:t>与</w:t>
            </w:r>
            <w:r>
              <w:rPr>
                <w:rFonts w:hint="eastAsia" w:ascii="Times New Roman" w:hAnsi="Times New Roman" w:eastAsia="黑体" w:cs="Times New Roman"/>
                <w:b w:val="0"/>
                <w:bCs w:val="0"/>
                <w:color w:val="auto"/>
                <w:kern w:val="0"/>
                <w:sz w:val="24"/>
                <w:szCs w:val="24"/>
                <w:highlight w:val="none"/>
                <w:u w:val="none" w:color="auto"/>
                <w:lang w:val="en-US" w:eastAsia="zh-CN" w:bidi="ar"/>
              </w:rPr>
              <w:t>“</w:t>
            </w:r>
            <w:r>
              <w:rPr>
                <w:rFonts w:hint="default" w:ascii="Times New Roman" w:hAnsi="Times New Roman" w:eastAsia="黑体" w:cs="Times New Roman"/>
                <w:b w:val="0"/>
                <w:bCs w:val="0"/>
                <w:color w:val="auto"/>
                <w:kern w:val="0"/>
                <w:sz w:val="24"/>
                <w:szCs w:val="24"/>
                <w:highlight w:val="none"/>
                <w:u w:val="none" w:color="auto"/>
                <w:lang w:val="en-US" w:eastAsia="zh-CN" w:bidi="ar"/>
              </w:rPr>
              <w:t>三线一单</w:t>
            </w:r>
            <w:r>
              <w:rPr>
                <w:rFonts w:hint="eastAsia" w:ascii="Times New Roman" w:hAnsi="Times New Roman" w:eastAsia="黑体" w:cs="Times New Roman"/>
                <w:b w:val="0"/>
                <w:bCs w:val="0"/>
                <w:color w:val="auto"/>
                <w:kern w:val="0"/>
                <w:sz w:val="24"/>
                <w:szCs w:val="24"/>
                <w:highlight w:val="none"/>
                <w:u w:val="none" w:color="auto"/>
                <w:lang w:val="en-US" w:eastAsia="zh-CN" w:bidi="ar"/>
              </w:rPr>
              <w:t>”</w:t>
            </w:r>
            <w:r>
              <w:rPr>
                <w:rFonts w:hint="default" w:ascii="Times New Roman" w:hAnsi="Times New Roman" w:eastAsia="黑体" w:cs="Times New Roman"/>
                <w:b w:val="0"/>
                <w:bCs w:val="0"/>
                <w:color w:val="auto"/>
                <w:kern w:val="0"/>
                <w:sz w:val="24"/>
                <w:szCs w:val="24"/>
                <w:highlight w:val="none"/>
                <w:u w:val="none" w:color="auto"/>
                <w:lang w:val="en-US" w:eastAsia="zh-CN" w:bidi="ar"/>
              </w:rPr>
              <w:t>相符性分析</w:t>
            </w:r>
          </w:p>
          <w:p w14:paraId="6414B57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根据</w:t>
            </w:r>
            <w:r>
              <w:rPr>
                <w:rFonts w:hint="eastAsia" w:eastAsia="宋体" w:cs="Times New Roman"/>
                <w:b w:val="0"/>
                <w:bCs w:val="0"/>
                <w:color w:val="auto"/>
                <w:sz w:val="24"/>
                <w:szCs w:val="24"/>
                <w:highlight w:val="none"/>
                <w:u w:val="none" w:color="auto"/>
                <w:lang w:val="en-US" w:eastAsia="zh-CN"/>
              </w:rPr>
              <w:t>生态环境部</w:t>
            </w:r>
            <w:r>
              <w:rPr>
                <w:rFonts w:hint="default" w:ascii="Times New Roman" w:hAnsi="Times New Roman" w:eastAsia="宋体" w:cs="Times New Roman"/>
                <w:b w:val="0"/>
                <w:bCs w:val="0"/>
                <w:color w:val="auto"/>
                <w:sz w:val="24"/>
                <w:szCs w:val="24"/>
                <w:highlight w:val="none"/>
                <w:u w:val="none" w:color="auto"/>
                <w:lang w:val="en-US" w:eastAsia="zh-CN"/>
              </w:rPr>
              <w:t>发布的《关于以改善环境质量为核心加强环境影响评价管理的通知》（以下简称《通知》），《通知》要求切实加强环境影响评价管理，落实</w:t>
            </w:r>
            <w:r>
              <w:rPr>
                <w:rFonts w:hint="eastAsia"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val="0"/>
                <w:color w:val="auto"/>
                <w:sz w:val="24"/>
                <w:szCs w:val="24"/>
                <w:highlight w:val="none"/>
                <w:u w:val="none" w:color="auto"/>
                <w:lang w:val="en-US" w:eastAsia="zh-CN"/>
              </w:rPr>
              <w:t>生态保护红线、环境质量底线、资源利用上线和环境准入负面清单</w:t>
            </w:r>
            <w:r>
              <w:rPr>
                <w:rFonts w:hint="eastAsia"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val="0"/>
                <w:color w:val="auto"/>
                <w:sz w:val="24"/>
                <w:szCs w:val="24"/>
                <w:highlight w:val="none"/>
                <w:u w:val="none" w:color="auto"/>
                <w:lang w:val="en-US" w:eastAsia="zh-CN"/>
              </w:rPr>
              <w:t>约束，建立项目环评审批与规划环评、现有项目环境管理、区域环境质量联动机制，更好地发挥环评制度从源头防范环境污染和生态破坏的作用，加快推进改善环境质量。</w:t>
            </w:r>
          </w:p>
          <w:p w14:paraId="12CC519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0" w:firstLineChars="0"/>
              <w:jc w:val="both"/>
              <w:textAlignment w:val="auto"/>
              <w:rPr>
                <w:rFonts w:hint="default" w:ascii="Times New Roman" w:hAnsi="Times New Roman" w:eastAsia="黑体" w:cs="Times New Roman"/>
                <w:b w:val="0"/>
                <w:bCs w:val="0"/>
                <w:color w:val="auto"/>
                <w:sz w:val="24"/>
                <w:szCs w:val="24"/>
                <w:highlight w:val="none"/>
                <w:u w:val="none" w:color="auto"/>
                <w:lang w:val="en-US" w:eastAsia="zh-CN"/>
              </w:rPr>
            </w:pPr>
            <w:r>
              <w:rPr>
                <w:rFonts w:hint="default" w:ascii="Times New Roman" w:hAnsi="Times New Roman" w:eastAsia="黑体" w:cs="Times New Roman"/>
                <w:b w:val="0"/>
                <w:bCs w:val="0"/>
                <w:color w:val="auto"/>
                <w:sz w:val="24"/>
                <w:szCs w:val="24"/>
                <w:highlight w:val="none"/>
                <w:u w:val="none" w:color="auto"/>
                <w:lang w:val="en-US" w:eastAsia="zh-CN"/>
              </w:rPr>
              <w:t>4.1、与生态保护红线相符性分析</w:t>
            </w:r>
          </w:p>
          <w:p w14:paraId="6B9849E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生态保护红线是生态空间范围内具有特殊重要生态功能必须实行强制性严格保护的区域，本项目位于</w:t>
            </w:r>
            <w:r>
              <w:rPr>
                <w:rFonts w:hint="eastAsia" w:ascii="Times New Roman" w:hAnsi="Times New Roman" w:eastAsia="宋体" w:cs="Times New Roman"/>
                <w:b w:val="0"/>
                <w:bCs w:val="0"/>
                <w:color w:val="auto"/>
                <w:sz w:val="24"/>
                <w:szCs w:val="24"/>
                <w:highlight w:val="none"/>
                <w:u w:val="none" w:color="auto"/>
                <w:lang w:val="en-US" w:eastAsia="zh-CN"/>
              </w:rPr>
              <w:t>镇平县先进制造业开发区</w:t>
            </w:r>
            <w:r>
              <w:rPr>
                <w:rFonts w:hint="default" w:ascii="Times New Roman" w:hAnsi="Times New Roman" w:eastAsia="宋体" w:cs="Times New Roman"/>
                <w:b w:val="0"/>
                <w:bCs w:val="0"/>
                <w:color w:val="auto"/>
                <w:sz w:val="24"/>
                <w:szCs w:val="24"/>
                <w:highlight w:val="none"/>
                <w:u w:val="none" w:color="auto"/>
                <w:lang w:val="en-US" w:eastAsia="zh-CN"/>
              </w:rPr>
              <w:t>，不在主要生态功能区范围内，</w:t>
            </w:r>
            <w:r>
              <w:rPr>
                <w:rFonts w:hint="eastAsia" w:eastAsia="宋体" w:cs="Times New Roman"/>
                <w:b w:val="0"/>
                <w:bCs w:val="0"/>
                <w:color w:val="auto"/>
                <w:sz w:val="24"/>
                <w:szCs w:val="24"/>
                <w:highlight w:val="none"/>
                <w:u w:val="none" w:color="auto"/>
                <w:lang w:val="en-US" w:eastAsia="zh-CN"/>
              </w:rPr>
              <w:t>也</w:t>
            </w:r>
            <w:r>
              <w:rPr>
                <w:rFonts w:hint="default" w:ascii="Times New Roman" w:hAnsi="Times New Roman" w:eastAsia="宋体" w:cs="Times New Roman"/>
                <w:b w:val="0"/>
                <w:bCs w:val="0"/>
                <w:color w:val="auto"/>
                <w:sz w:val="24"/>
                <w:szCs w:val="24"/>
                <w:highlight w:val="none"/>
                <w:u w:val="none" w:color="auto"/>
                <w:lang w:val="en-US" w:eastAsia="zh-CN"/>
              </w:rPr>
              <w:t>不在当地饮用水源、风景名胜区、自然保护区等保护区内，因此，本项目的建设不涉及生态保护红线。</w:t>
            </w:r>
          </w:p>
          <w:p w14:paraId="42FE1669">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0" w:firstLineChars="0"/>
              <w:jc w:val="both"/>
              <w:textAlignment w:val="auto"/>
              <w:rPr>
                <w:rFonts w:hint="default" w:ascii="Times New Roman" w:hAnsi="Times New Roman" w:eastAsia="黑体" w:cs="Times New Roman"/>
                <w:b w:val="0"/>
                <w:bCs w:val="0"/>
                <w:color w:val="auto"/>
                <w:sz w:val="24"/>
                <w:szCs w:val="24"/>
                <w:highlight w:val="none"/>
                <w:u w:val="none" w:color="auto"/>
                <w:lang w:val="en-US" w:eastAsia="zh-CN"/>
              </w:rPr>
            </w:pPr>
            <w:r>
              <w:rPr>
                <w:rFonts w:hint="default" w:ascii="Times New Roman" w:hAnsi="Times New Roman" w:eastAsia="黑体" w:cs="Times New Roman"/>
                <w:b w:val="0"/>
                <w:bCs w:val="0"/>
                <w:color w:val="auto"/>
                <w:sz w:val="24"/>
                <w:szCs w:val="24"/>
                <w:highlight w:val="none"/>
                <w:u w:val="none" w:color="auto"/>
                <w:lang w:val="en-US" w:eastAsia="zh-CN"/>
              </w:rPr>
              <w:t>4.2、与环境质量底线相符性分析</w:t>
            </w:r>
          </w:p>
          <w:p w14:paraId="2385987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项目所在区域环境空气质量执行《环境空气质量标准》（GB3095-2026）中的过渡阶段二级标准，地表水环境执行《地表水环境质量标准》（GB3838-2002）Ⅲ</w:t>
            </w:r>
            <w:r>
              <w:rPr>
                <w:rFonts w:hint="default" w:ascii="Times New Roman" w:hAnsi="Times New Roman" w:cs="Times New Roman"/>
                <w:b w:val="0"/>
                <w:bCs w:val="0"/>
                <w:color w:val="auto"/>
                <w:sz w:val="24"/>
                <w:szCs w:val="24"/>
                <w:highlight w:val="none"/>
                <w:u w:val="none" w:color="auto"/>
                <w:lang w:val="en-US" w:eastAsia="zh-CN"/>
              </w:rPr>
              <w:t>类</w:t>
            </w:r>
            <w:r>
              <w:rPr>
                <w:rFonts w:hint="default" w:ascii="Times New Roman" w:hAnsi="Times New Roman" w:eastAsia="宋体" w:cs="Times New Roman"/>
                <w:b w:val="0"/>
                <w:bCs w:val="0"/>
                <w:color w:val="auto"/>
                <w:sz w:val="24"/>
                <w:szCs w:val="24"/>
                <w:highlight w:val="none"/>
                <w:u w:val="none" w:color="auto"/>
                <w:lang w:val="en-US" w:eastAsia="zh-CN"/>
              </w:rPr>
              <w:t>标准；地下水环境执行《地下水质量标准》（GB/T14848-2017）中Ⅲ类标准；声环境评价采用《声环境质量标准》（GB3096-2008）2类标准。根据项目所在地环境质量现状调查和污染物排放影响分析，项目废水、大气污染物、噪声及固废在经过合理有效的治理措施后，对周边环境影响较小，在可接受范围之内。本项目实施后对区域环境影响较小，符合环境质量底线要求。</w:t>
            </w:r>
          </w:p>
          <w:p w14:paraId="4AF3858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0" w:firstLineChars="0"/>
              <w:jc w:val="both"/>
              <w:textAlignment w:val="auto"/>
              <w:rPr>
                <w:rFonts w:hint="default" w:ascii="Times New Roman" w:hAnsi="Times New Roman" w:eastAsia="黑体" w:cs="Times New Roman"/>
                <w:b w:val="0"/>
                <w:bCs w:val="0"/>
                <w:color w:val="auto"/>
                <w:sz w:val="24"/>
                <w:szCs w:val="24"/>
                <w:highlight w:val="none"/>
                <w:u w:val="none" w:color="auto"/>
                <w:lang w:val="en-US" w:eastAsia="zh-CN"/>
              </w:rPr>
            </w:pPr>
            <w:r>
              <w:rPr>
                <w:rFonts w:hint="eastAsia" w:ascii="Times New Roman" w:hAnsi="Times New Roman" w:eastAsia="黑体" w:cs="Times New Roman"/>
                <w:b w:val="0"/>
                <w:bCs w:val="0"/>
                <w:color w:val="auto"/>
                <w:sz w:val="24"/>
                <w:szCs w:val="24"/>
                <w:highlight w:val="none"/>
                <w:u w:val="none" w:color="auto"/>
                <w:lang w:val="en-US" w:eastAsia="zh-CN"/>
              </w:rPr>
              <w:t>4.3、</w:t>
            </w:r>
            <w:r>
              <w:rPr>
                <w:rFonts w:hint="default" w:ascii="Times New Roman" w:hAnsi="Times New Roman" w:eastAsia="黑体" w:cs="Times New Roman"/>
                <w:b w:val="0"/>
                <w:bCs w:val="0"/>
                <w:color w:val="auto"/>
                <w:sz w:val="24"/>
                <w:szCs w:val="24"/>
                <w:highlight w:val="none"/>
                <w:u w:val="none" w:color="auto"/>
                <w:lang w:val="en-US" w:eastAsia="zh-CN"/>
              </w:rPr>
              <w:t>与资源利用上线相符性分析</w:t>
            </w:r>
          </w:p>
          <w:p w14:paraId="5022C5A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本项目用水由市政供水管网供给，可以满足项目用水需求；能源主要依托当地电网供电；项目占地性质为工业用地，不占用基本农田，土地资源消耗符合要求。本项目生产过程中所采用的生产工艺和设备成熟先进、资源能源消耗水平较低、污染控制措施有效，同时注重了废物的回收再利用，降低了能耗、物耗，减少了污染排放，符合资源利用上线要求。</w:t>
            </w:r>
          </w:p>
          <w:p w14:paraId="58B3FFC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leftChars="0" w:right="0" w:firstLine="0" w:firstLineChars="0"/>
              <w:jc w:val="both"/>
              <w:textAlignment w:val="auto"/>
              <w:rPr>
                <w:rFonts w:hint="default" w:ascii="Times New Roman" w:hAnsi="Times New Roman" w:eastAsia="黑体" w:cs="Times New Roman"/>
                <w:b w:val="0"/>
                <w:bCs w:val="0"/>
                <w:color w:val="auto"/>
                <w:sz w:val="24"/>
                <w:szCs w:val="24"/>
                <w:highlight w:val="none"/>
                <w:u w:val="none" w:color="auto"/>
                <w:lang w:val="en-US" w:eastAsia="zh-CN"/>
              </w:rPr>
            </w:pPr>
            <w:r>
              <w:rPr>
                <w:rFonts w:hint="eastAsia" w:ascii="Times New Roman" w:hAnsi="Times New Roman" w:eastAsia="黑体" w:cs="Times New Roman"/>
                <w:b w:val="0"/>
                <w:bCs w:val="0"/>
                <w:color w:val="auto"/>
                <w:sz w:val="24"/>
                <w:szCs w:val="24"/>
                <w:highlight w:val="none"/>
                <w:u w:val="none" w:color="auto"/>
                <w:lang w:val="en-US" w:eastAsia="zh-CN"/>
              </w:rPr>
              <w:t>4.4、</w:t>
            </w:r>
            <w:r>
              <w:rPr>
                <w:rFonts w:hint="default" w:ascii="Times New Roman" w:hAnsi="Times New Roman" w:eastAsia="黑体" w:cs="Times New Roman"/>
                <w:b w:val="0"/>
                <w:bCs w:val="0"/>
                <w:color w:val="auto"/>
                <w:sz w:val="24"/>
                <w:szCs w:val="24"/>
                <w:highlight w:val="none"/>
                <w:u w:val="none" w:color="auto"/>
                <w:lang w:val="en-US" w:eastAsia="zh-CN"/>
              </w:rPr>
              <w:t>与环境准入负面清单相符性分析</w:t>
            </w:r>
          </w:p>
          <w:p w14:paraId="3E40EED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eastAsia"/>
                <w:szCs w:val="24"/>
                <w:u w:val="none" w:color="auto"/>
              </w:rPr>
              <w:t>“环境准入负面清单”是指基于环境管控单元，统筹考虑生态保护红线、环境质量底线、资源利用上线的管控要求，提出的空间布局、污染物排放、环境风险、资源开发利用等方面禁止和限制的环境准入要求。</w:t>
            </w:r>
          </w:p>
          <w:p w14:paraId="6FE389C2">
            <w:pPr>
              <w:spacing w:line="360" w:lineRule="auto"/>
              <w:ind w:firstLine="480" w:firstLineChars="200"/>
              <w:rPr>
                <w:rFonts w:hint="default" w:ascii="Times New Roman" w:hAnsi="Times New Roman" w:eastAsia="宋体"/>
                <w:szCs w:val="24"/>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项目位于</w:t>
            </w:r>
            <w:r>
              <w:rPr>
                <w:rFonts w:hint="eastAsia" w:eastAsia="宋体" w:cs="Times New Roman"/>
                <w:b w:val="0"/>
                <w:bCs w:val="0"/>
                <w:color w:val="auto"/>
                <w:sz w:val="24"/>
                <w:szCs w:val="24"/>
                <w:highlight w:val="none"/>
                <w:u w:val="none" w:color="auto"/>
                <w:lang w:val="en-US" w:eastAsia="zh-CN"/>
              </w:rPr>
              <w:t>镇平县先进制造业开发区</w:t>
            </w:r>
            <w:r>
              <w:rPr>
                <w:rFonts w:hint="default" w:ascii="Times New Roman" w:hAnsi="Times New Roman"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rPr>
              <w:t>经比对</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南阳市</w:t>
            </w:r>
            <w:r>
              <w:rPr>
                <w:rFonts w:hint="eastAsia"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三线一单</w:t>
            </w:r>
            <w:r>
              <w:rPr>
                <w:rFonts w:hint="eastAsia" w:cs="Times New Roman"/>
                <w:color w:val="auto"/>
                <w:sz w:val="24"/>
                <w:szCs w:val="24"/>
                <w:highlight w:val="none"/>
                <w:u w:val="none" w:color="auto"/>
                <w:lang w:val="en-US" w:eastAsia="zh-CN"/>
              </w:rPr>
              <w:t>”</w:t>
            </w:r>
            <w:r>
              <w:rPr>
                <w:rFonts w:hint="default" w:ascii="Times New Roman" w:hAnsi="Times New Roman" w:eastAsia="宋体" w:cs="Times New Roman"/>
                <w:color w:val="auto"/>
                <w:sz w:val="24"/>
                <w:szCs w:val="24"/>
                <w:highlight w:val="none"/>
                <w:u w:val="none" w:color="auto"/>
                <w:lang w:val="en-US" w:eastAsia="zh-CN"/>
              </w:rPr>
              <w:t>生态环境准入清单（2023年更新）</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及河南省生态环境厅三线一单综合信息应用平台，</w:t>
            </w:r>
            <w:r>
              <w:rPr>
                <w:rFonts w:hint="eastAsia" w:cs="Times New Roman"/>
                <w:color w:val="auto"/>
                <w:sz w:val="24"/>
                <w:szCs w:val="24"/>
                <w:highlight w:val="none"/>
                <w:u w:val="none" w:color="auto"/>
                <w:lang w:val="en-US" w:eastAsia="zh-CN"/>
              </w:rPr>
              <w:t>项目涉及环境管控单元1个，生态空间分区1个，水环境管控分区1个，大气管控分区2个，自然资源管控分区1个，无空间冲突，</w:t>
            </w:r>
            <w:r>
              <w:rPr>
                <w:rFonts w:hint="eastAsia" w:eastAsia="宋体"/>
                <w:szCs w:val="24"/>
                <w:u w:val="none" w:color="auto"/>
                <w:lang w:val="en-US" w:eastAsia="zh-CN"/>
              </w:rPr>
              <w:t>各分区</w:t>
            </w:r>
            <w:r>
              <w:rPr>
                <w:rFonts w:hint="eastAsia" w:eastAsia="宋体"/>
                <w:szCs w:val="24"/>
                <w:u w:val="none" w:color="auto"/>
              </w:rPr>
              <w:t>管控要求见下表</w:t>
            </w:r>
            <w:r>
              <w:rPr>
                <w:rFonts w:hint="default" w:ascii="Times New Roman" w:hAnsi="Times New Roman" w:eastAsia="宋体" w:cs="Times New Roman"/>
                <w:color w:val="auto"/>
                <w:sz w:val="24"/>
                <w:szCs w:val="24"/>
                <w:highlight w:val="none"/>
                <w:u w:val="none" w:color="auto"/>
              </w:rPr>
              <w:t>。</w:t>
            </w:r>
          </w:p>
          <w:p w14:paraId="6149EF55">
            <w:pPr>
              <w:bidi w:val="0"/>
              <w:ind w:left="0" w:leftChars="0" w:firstLine="0" w:firstLineChars="0"/>
              <w:rPr>
                <w:rFonts w:hint="eastAsia"/>
                <w:lang w:val="en-US" w:eastAsia="zh-CN"/>
              </w:rPr>
            </w:pPr>
          </w:p>
          <w:p w14:paraId="3135F761">
            <w:pPr>
              <w:bidi w:val="0"/>
              <w:ind w:left="0" w:leftChars="0" w:firstLine="0" w:firstLineChars="0"/>
              <w:rPr>
                <w:rFonts w:hint="eastAsia"/>
                <w:lang w:val="en-US" w:eastAsia="zh-CN"/>
              </w:rPr>
            </w:pPr>
          </w:p>
          <w:p w14:paraId="6A9D7562">
            <w:pPr>
              <w:spacing w:line="360" w:lineRule="auto"/>
              <w:ind w:left="0" w:leftChars="0" w:firstLine="0" w:firstLineChars="0"/>
              <w:jc w:val="both"/>
              <w:textAlignment w:val="baseline"/>
              <w:rPr>
                <w:rFonts w:hint="default" w:eastAsia="宋体"/>
                <w:color w:val="000000" w:themeColor="text1"/>
                <w:szCs w:val="24"/>
                <w:lang w:val="en-US" w:eastAsia="zh-CN"/>
                <w14:textFill>
                  <w14:solidFill>
                    <w14:schemeClr w14:val="tx1"/>
                  </w14:solidFill>
                </w14:textFill>
              </w:rPr>
            </w:pPr>
          </w:p>
        </w:tc>
      </w:tr>
    </w:tbl>
    <w:p w14:paraId="24553FA2">
      <w:pPr>
        <w:ind w:left="0" w:leftChars="0" w:firstLine="0" w:firstLineChars="0"/>
        <w:rPr>
          <w:color w:val="000000" w:themeColor="text1"/>
          <w14:textFill>
            <w14:solidFill>
              <w14:schemeClr w14:val="tx1"/>
            </w14:solidFill>
          </w14:textFill>
        </w:rPr>
        <w:sectPr>
          <w:footerReference r:id="rId7" w:type="default"/>
          <w:pgSz w:w="11906" w:h="16838"/>
          <w:pgMar w:top="1587" w:right="1587" w:bottom="1587" w:left="1587" w:header="851" w:footer="992" w:gutter="0"/>
          <w:pgBorders>
            <w:top w:val="none" w:sz="0" w:space="0"/>
            <w:left w:val="none" w:sz="0" w:space="0"/>
            <w:bottom w:val="none" w:sz="0" w:space="0"/>
            <w:right w:val="none" w:sz="0" w:space="0"/>
          </w:pgBorders>
          <w:pgNumType w:fmt="decimal" w:start="1"/>
          <w:cols w:space="0" w:num="1"/>
          <w:docGrid w:type="lines" w:linePitch="312" w:charSpace="0"/>
        </w:sectPr>
      </w:pPr>
    </w:p>
    <w:p w14:paraId="1AB1DBB9">
      <w:pPr>
        <w:autoSpaceDE w:val="0"/>
        <w:autoSpaceDN w:val="0"/>
        <w:spacing w:line="360" w:lineRule="auto"/>
        <w:jc w:val="center"/>
        <w:rPr>
          <w:rFonts w:eastAsia="黑体"/>
          <w:bCs/>
          <w:color w:val="000000" w:themeColor="text1"/>
          <w14:textFill>
            <w14:solidFill>
              <w14:schemeClr w14:val="tx1"/>
            </w14:solidFill>
          </w14:textFill>
        </w:rPr>
      </w:pPr>
      <w:r>
        <w:rPr>
          <w:rFonts w:hint="eastAsia" w:ascii="黑体" w:hAnsi="黑体" w:eastAsia="黑体" w:cs="黑体"/>
          <w:bCs/>
          <w:color w:val="000000" w:themeColor="text1"/>
          <w:szCs w:val="24"/>
          <w:highlight w:val="none"/>
          <w14:textFill>
            <w14:solidFill>
              <w14:schemeClr w14:val="tx1"/>
            </w14:solidFill>
          </w14:textFill>
        </w:rPr>
        <w:t>表</w:t>
      </w:r>
      <w:r>
        <w:rPr>
          <w:rFonts w:hint="eastAsia" w:eastAsia="宋体" w:cs="Times New Roman"/>
          <w:bCs/>
          <w:color w:val="000000" w:themeColor="text1"/>
          <w:kern w:val="0"/>
          <w:szCs w:val="24"/>
          <w:highlight w:val="none"/>
          <w:lang w:bidi="ar"/>
          <w14:textFill>
            <w14:solidFill>
              <w14:schemeClr w14:val="tx1"/>
            </w14:solidFill>
          </w14:textFill>
        </w:rPr>
        <w:t>1-</w:t>
      </w:r>
      <w:r>
        <w:rPr>
          <w:rFonts w:hint="eastAsia" w:cs="Times New Roman"/>
          <w:bCs/>
          <w:color w:val="000000" w:themeColor="text1"/>
          <w:kern w:val="0"/>
          <w:szCs w:val="24"/>
          <w:highlight w:val="none"/>
          <w:lang w:val="en-US" w:eastAsia="zh-CN" w:bidi="ar"/>
          <w14:textFill>
            <w14:solidFill>
              <w14:schemeClr w14:val="tx1"/>
            </w14:solidFill>
          </w14:textFill>
        </w:rPr>
        <w:t>14</w:t>
      </w:r>
      <w:r>
        <w:rPr>
          <w:rFonts w:hint="eastAsia" w:ascii="黑体" w:hAnsi="黑体" w:eastAsia="黑体" w:cs="黑体"/>
          <w:bCs/>
          <w:color w:val="000000" w:themeColor="text1"/>
          <w:szCs w:val="24"/>
          <w14:textFill>
            <w14:solidFill>
              <w14:schemeClr w14:val="tx1"/>
            </w14:solidFill>
          </w14:textFill>
        </w:rPr>
        <w:t xml:space="preserve">  项目</w:t>
      </w:r>
      <w:r>
        <w:rPr>
          <w:rFonts w:hint="eastAsia" w:ascii="黑体" w:hAnsi="黑体" w:eastAsia="黑体" w:cs="黑体"/>
          <w:bCs/>
          <w:color w:val="000000" w:themeColor="text1"/>
          <w:szCs w:val="24"/>
          <w:lang w:val="en-US" w:eastAsia="zh-CN"/>
          <w14:textFill>
            <w14:solidFill>
              <w14:schemeClr w14:val="tx1"/>
            </w14:solidFill>
          </w14:textFill>
        </w:rPr>
        <w:t>建设</w:t>
      </w:r>
      <w:r>
        <w:rPr>
          <w:rFonts w:hint="eastAsia" w:ascii="黑体" w:hAnsi="黑体" w:eastAsia="黑体" w:cs="黑体"/>
          <w:bCs/>
          <w:color w:val="000000" w:themeColor="text1"/>
          <w:szCs w:val="24"/>
          <w14:textFill>
            <w14:solidFill>
              <w14:schemeClr w14:val="tx1"/>
            </w14:solidFill>
          </w14:textFill>
        </w:rPr>
        <w:t>与</w:t>
      </w:r>
      <w:r>
        <w:rPr>
          <w:rFonts w:hint="eastAsia" w:ascii="黑体" w:hAnsi="黑体" w:eastAsia="黑体" w:cs="黑体"/>
          <w:bCs/>
          <w:color w:val="000000" w:themeColor="text1"/>
          <w:szCs w:val="24"/>
          <w:lang w:val="en-US" w:eastAsia="zh-CN"/>
          <w14:textFill>
            <w14:solidFill>
              <w14:schemeClr w14:val="tx1"/>
            </w14:solidFill>
          </w14:textFill>
        </w:rPr>
        <w:t>南阳市</w:t>
      </w:r>
      <w:r>
        <w:rPr>
          <w:rFonts w:hint="eastAsia" w:eastAsia="黑体" w:cs="Times New Roman"/>
          <w:bCs/>
          <w:color w:val="000000" w:themeColor="text1"/>
          <w:kern w:val="21"/>
          <w:szCs w:val="24"/>
          <w14:textFill>
            <w14:solidFill>
              <w14:schemeClr w14:val="tx1"/>
            </w14:solidFill>
          </w14:textFill>
        </w:rPr>
        <w:t>“三线一单”生态环境准入清单对比分析情况一览表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74"/>
        <w:gridCol w:w="762"/>
        <w:gridCol w:w="582"/>
        <w:gridCol w:w="928"/>
        <w:gridCol w:w="6458"/>
        <w:gridCol w:w="3647"/>
        <w:gridCol w:w="713"/>
      </w:tblGrid>
      <w:tr w14:paraId="1EBA5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noWrap w:val="0"/>
            <w:vAlign w:val="center"/>
          </w:tcPr>
          <w:p w14:paraId="7173482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环境管控单元编号</w:t>
            </w:r>
          </w:p>
        </w:tc>
        <w:tc>
          <w:tcPr>
            <w:tcW w:w="270" w:type="pct"/>
            <w:noWrap w:val="0"/>
            <w:vAlign w:val="center"/>
          </w:tcPr>
          <w:p w14:paraId="7E3C4CD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环境管控单元名称</w:t>
            </w:r>
          </w:p>
        </w:tc>
        <w:tc>
          <w:tcPr>
            <w:tcW w:w="206" w:type="pct"/>
            <w:noWrap w:val="0"/>
            <w:vAlign w:val="center"/>
          </w:tcPr>
          <w:p w14:paraId="36D80E2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管控单元分类</w:t>
            </w:r>
          </w:p>
        </w:tc>
        <w:tc>
          <w:tcPr>
            <w:tcW w:w="2625" w:type="pct"/>
            <w:gridSpan w:val="2"/>
            <w:noWrap w:val="0"/>
            <w:vAlign w:val="center"/>
          </w:tcPr>
          <w:p w14:paraId="532F369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管控要求</w:t>
            </w:r>
          </w:p>
        </w:tc>
        <w:tc>
          <w:tcPr>
            <w:tcW w:w="1296" w:type="pct"/>
            <w:noWrap w:val="0"/>
            <w:vAlign w:val="center"/>
          </w:tcPr>
          <w:p w14:paraId="3B69E7C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本项目情况</w:t>
            </w:r>
          </w:p>
        </w:tc>
        <w:tc>
          <w:tcPr>
            <w:tcW w:w="253" w:type="pct"/>
            <w:noWrap w:val="0"/>
            <w:vAlign w:val="center"/>
          </w:tcPr>
          <w:p w14:paraId="4252621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相符性</w:t>
            </w:r>
          </w:p>
        </w:tc>
      </w:tr>
      <w:tr w14:paraId="0D093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restart"/>
            <w:noWrap w:val="0"/>
            <w:vAlign w:val="center"/>
          </w:tcPr>
          <w:p w14:paraId="4C8A6C2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ZH41132420001</w:t>
            </w:r>
          </w:p>
        </w:tc>
        <w:tc>
          <w:tcPr>
            <w:tcW w:w="270" w:type="pct"/>
            <w:vMerge w:val="restart"/>
            <w:noWrap w:val="0"/>
            <w:vAlign w:val="center"/>
          </w:tcPr>
          <w:p w14:paraId="740BAAD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镇平县</w:t>
            </w:r>
            <w:r>
              <w:rPr>
                <w:rFonts w:ascii="Times New Roman" w:hAnsi="Times New Roman" w:cs="Times New Roman"/>
                <w:color w:val="000000" w:themeColor="text1"/>
                <w:spacing w:val="-5"/>
                <w:sz w:val="21"/>
                <w:szCs w:val="21"/>
                <w:lang w:eastAsia="zh-CN"/>
                <w14:textFill>
                  <w14:solidFill>
                    <w14:schemeClr w14:val="tx1"/>
                  </w14:solidFill>
                </w14:textFill>
              </w:rPr>
              <w:t>先进制</w:t>
            </w:r>
          </w:p>
          <w:p w14:paraId="280C676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造业开</w:t>
            </w:r>
            <w:r>
              <w:rPr>
                <w:rFonts w:ascii="Times New Roman" w:hAnsi="Times New Roman" w:cs="Times New Roman"/>
                <w:color w:val="000000" w:themeColor="text1"/>
                <w:spacing w:val="-7"/>
                <w:sz w:val="21"/>
                <w:szCs w:val="21"/>
                <w:lang w:eastAsia="zh-CN"/>
                <w14:textFill>
                  <w14:solidFill>
                    <w14:schemeClr w14:val="tx1"/>
                  </w14:solidFill>
                </w14:textFill>
              </w:rPr>
              <w:t>发区</w:t>
            </w:r>
          </w:p>
        </w:tc>
        <w:tc>
          <w:tcPr>
            <w:tcW w:w="206" w:type="pct"/>
            <w:vMerge w:val="restart"/>
            <w:noWrap w:val="0"/>
            <w:vAlign w:val="center"/>
          </w:tcPr>
          <w:p w14:paraId="0BA06E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重点</w:t>
            </w:r>
          </w:p>
        </w:tc>
        <w:tc>
          <w:tcPr>
            <w:tcW w:w="329" w:type="pct"/>
            <w:noWrap w:val="0"/>
            <w:vAlign w:val="center"/>
          </w:tcPr>
          <w:p w14:paraId="0EDCD26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空间布局约束</w:t>
            </w:r>
          </w:p>
        </w:tc>
        <w:tc>
          <w:tcPr>
            <w:tcW w:w="2295" w:type="pct"/>
            <w:noWrap w:val="0"/>
            <w:vAlign w:val="center"/>
          </w:tcPr>
          <w:p w14:paraId="0C7716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1、重点发展非金属制品、高端装备制造、健康医药、绿色食品行业，禁止新建石化、有化学反应的化工、化学合成原料药、煤化工、制浆造纸项目入驻开发区。禁止不符合园区规划或规划环评的项目入驻。</w:t>
            </w:r>
          </w:p>
          <w:p w14:paraId="79C5F3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2、入驻项目应遵循循环经济理念，实施清洁生产，延长产业链。</w:t>
            </w:r>
          </w:p>
          <w:p w14:paraId="70932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3、完善副产品和废物的综合利用产业链，减少废物的产生和排放。</w:t>
            </w:r>
          </w:p>
          <w:p w14:paraId="73B96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4、严格落实规划环评及批复文件要求，规划调整修编时应同步开展规划环评。</w:t>
            </w:r>
          </w:p>
          <w:p w14:paraId="2FD3F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5、新建、改建、扩建</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两高</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项目须符合生态环境保护法律法规和相关法定规划，满足重点污染物排放总量控制、碳排放达峰目标、生态环境准入清单、相关规划环评和相应行业建设项目环境准入条件、环评文件审批原则要求。</w:t>
            </w:r>
          </w:p>
        </w:tc>
        <w:tc>
          <w:tcPr>
            <w:tcW w:w="1296" w:type="pct"/>
            <w:shd w:val="clear" w:color="auto" w:fill="auto"/>
            <w:noWrap w:val="0"/>
            <w:vAlign w:val="center"/>
          </w:tcPr>
          <w:p w14:paraId="1623F588">
            <w:pPr>
              <w:pStyle w:val="35"/>
              <w:numPr>
                <w:ilvl w:val="0"/>
                <w:numId w:val="0"/>
              </w:numPr>
              <w:bidi w:val="0"/>
              <w:ind w:firstLine="0" w:firstLineChars="0"/>
              <w:jc w:val="both"/>
              <w:rPr>
                <w:rFonts w:hint="default"/>
                <w:lang w:val="en-US" w:eastAsia="zh-CN"/>
              </w:rPr>
            </w:pPr>
            <w:r>
              <w:rPr>
                <w:rFonts w:hint="default"/>
                <w:lang w:val="en-US" w:eastAsia="zh-CN"/>
              </w:rPr>
              <w:t>1、本项目属于高端装备制造行业，符合园区入驻要求；</w:t>
            </w:r>
          </w:p>
          <w:p w14:paraId="256217D2">
            <w:pPr>
              <w:pStyle w:val="35"/>
              <w:numPr>
                <w:ilvl w:val="0"/>
                <w:numId w:val="0"/>
              </w:numPr>
              <w:bidi w:val="0"/>
              <w:ind w:firstLine="0" w:firstLineChars="0"/>
              <w:jc w:val="both"/>
              <w:rPr>
                <w:rFonts w:hint="default"/>
                <w:lang w:val="en-US" w:eastAsia="zh-CN"/>
              </w:rPr>
            </w:pPr>
            <w:r>
              <w:rPr>
                <w:rFonts w:hint="default"/>
                <w:lang w:val="en-US" w:eastAsia="zh-CN"/>
              </w:rPr>
              <w:t>2、项目不属于涉重污染型企业；</w:t>
            </w:r>
          </w:p>
          <w:p w14:paraId="16421995">
            <w:pPr>
              <w:pStyle w:val="35"/>
              <w:numPr>
                <w:ilvl w:val="0"/>
                <w:numId w:val="0"/>
              </w:numPr>
              <w:bidi w:val="0"/>
              <w:ind w:firstLine="0" w:firstLineChars="0"/>
              <w:jc w:val="both"/>
              <w:rPr>
                <w:rFonts w:hint="default"/>
                <w:lang w:val="en-US" w:eastAsia="zh-CN"/>
              </w:rPr>
            </w:pPr>
            <w:r>
              <w:rPr>
                <w:rFonts w:hint="default"/>
                <w:lang w:val="en-US" w:eastAsia="zh-CN"/>
              </w:rPr>
              <w:t>3、本项目固体废物严格遵循减量化、资源化、无害化处置原则；</w:t>
            </w:r>
          </w:p>
          <w:p w14:paraId="0B59AC87">
            <w:pPr>
              <w:pStyle w:val="35"/>
              <w:numPr>
                <w:ilvl w:val="0"/>
                <w:numId w:val="0"/>
              </w:numPr>
              <w:bidi w:val="0"/>
              <w:ind w:firstLine="0" w:firstLineChars="0"/>
              <w:jc w:val="both"/>
              <w:rPr>
                <w:rFonts w:hint="default"/>
                <w:lang w:val="en-US" w:eastAsia="zh-CN"/>
              </w:rPr>
            </w:pPr>
            <w:r>
              <w:rPr>
                <w:rFonts w:hint="default"/>
                <w:lang w:val="en-US" w:eastAsia="zh-CN"/>
              </w:rPr>
              <w:t>4、本项目符合规划环评及其批复要求；</w:t>
            </w:r>
          </w:p>
          <w:p w14:paraId="523E020F">
            <w:pPr>
              <w:pStyle w:val="35"/>
              <w:numPr>
                <w:ilvl w:val="0"/>
                <w:numId w:val="0"/>
              </w:numPr>
              <w:bidi w:val="0"/>
              <w:ind w:firstLine="0" w:firstLineChars="0"/>
              <w:jc w:val="both"/>
              <w:rPr>
                <w:rFonts w:hint="default"/>
                <w:lang w:val="en-US" w:eastAsia="zh-CN"/>
              </w:rPr>
            </w:pPr>
            <w:r>
              <w:rPr>
                <w:rFonts w:hint="default"/>
                <w:lang w:val="en-US" w:eastAsia="zh-CN"/>
              </w:rPr>
              <w:t>5、本项目不属于两高项目</w:t>
            </w:r>
            <w:r>
              <w:rPr>
                <w:rFonts w:hint="eastAsia"/>
                <w:lang w:val="en-US" w:eastAsia="zh-CN"/>
              </w:rPr>
              <w:t>。</w:t>
            </w:r>
          </w:p>
        </w:tc>
        <w:tc>
          <w:tcPr>
            <w:tcW w:w="253" w:type="pct"/>
            <w:noWrap w:val="0"/>
            <w:vAlign w:val="center"/>
          </w:tcPr>
          <w:p w14:paraId="7B9A0B7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A6A6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5F77D44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59CCE75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18C1C1C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1E39B14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污染物排放管控</w:t>
            </w:r>
          </w:p>
        </w:tc>
        <w:tc>
          <w:tcPr>
            <w:tcW w:w="2295" w:type="pct"/>
            <w:noWrap w:val="0"/>
            <w:vAlign w:val="center"/>
          </w:tcPr>
          <w:p w14:paraId="640B0F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1、继续推进集中供热、供气，新建项目不得建设燃煤锅炉，关闭集中供热范围内自备燃煤锅炉。</w:t>
            </w:r>
          </w:p>
          <w:p w14:paraId="3D04EC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2、新改扩建设项目主要污染物排放应满足总量减排要求。</w:t>
            </w:r>
          </w:p>
          <w:p w14:paraId="55D3A9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3、新建、改建、扩建涉VOCs排放项目应加强废气收集，完善废气收集治理措施，严格VOCs无组织排放治理。</w:t>
            </w:r>
          </w:p>
          <w:p w14:paraId="35D8D3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4、按照</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清污分流、雨污分流、中水回用</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的要求，完善配套污水管网，确保入区企业外排废水全部经管网收集后进入污水处理厂处理，出水执行《城镇污水处理厂污染物排放标准》（GB18918）一级A标准。</w:t>
            </w:r>
          </w:p>
          <w:p w14:paraId="161F80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5、新建</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两高</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w:t>
            </w:r>
          </w:p>
          <w:p w14:paraId="2959C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6、新建耗煤项目还应严格按规定采取煤炭消费减量替代措施，不得使用高污染燃料作为煤炭减量替代措施。</w:t>
            </w:r>
          </w:p>
          <w:p w14:paraId="7BD29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7、已出台超低排放要求的</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两高</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行业建设项目须满足超低排放要求。</w:t>
            </w:r>
          </w:p>
        </w:tc>
        <w:tc>
          <w:tcPr>
            <w:tcW w:w="1296" w:type="pct"/>
            <w:noWrap w:val="0"/>
            <w:vAlign w:val="center"/>
          </w:tcPr>
          <w:p w14:paraId="2DA05899">
            <w:pPr>
              <w:pStyle w:val="35"/>
              <w:bidi w:val="0"/>
              <w:jc w:val="both"/>
              <w:rPr>
                <w:rFonts w:hint="default"/>
                <w:lang w:val="en-US" w:eastAsia="zh-CN"/>
              </w:rPr>
            </w:pPr>
            <w:r>
              <w:rPr>
                <w:rFonts w:hint="default"/>
                <w:lang w:val="en-US" w:eastAsia="zh-CN"/>
              </w:rPr>
              <w:t>1、本项目不涉及燃煤锅炉；</w:t>
            </w:r>
          </w:p>
          <w:p w14:paraId="12CE1A52">
            <w:pPr>
              <w:pStyle w:val="35"/>
              <w:bidi w:val="0"/>
              <w:jc w:val="both"/>
              <w:rPr>
                <w:rFonts w:hint="default"/>
                <w:lang w:val="en-US" w:eastAsia="zh-CN"/>
              </w:rPr>
            </w:pPr>
            <w:r>
              <w:rPr>
                <w:rFonts w:hint="default"/>
                <w:lang w:val="en-US" w:eastAsia="zh-CN"/>
              </w:rPr>
              <w:t>2、本项目主要污染物排放满足总量控制要求；</w:t>
            </w:r>
          </w:p>
          <w:p w14:paraId="2E1D0DAB">
            <w:pPr>
              <w:pStyle w:val="35"/>
              <w:bidi w:val="0"/>
              <w:jc w:val="both"/>
              <w:rPr>
                <w:rFonts w:hint="default"/>
                <w:lang w:val="en-US" w:eastAsia="zh-CN"/>
              </w:rPr>
            </w:pPr>
            <w:r>
              <w:rPr>
                <w:rFonts w:hint="default"/>
                <w:lang w:val="en-US" w:eastAsia="zh-CN"/>
              </w:rPr>
              <w:t>3、本项目VOCs废气采取应收尽收原则，配套高效治理设施；</w:t>
            </w:r>
          </w:p>
          <w:p w14:paraId="107315A4">
            <w:pPr>
              <w:pStyle w:val="35"/>
              <w:bidi w:val="0"/>
              <w:jc w:val="both"/>
              <w:rPr>
                <w:rFonts w:hint="default"/>
                <w:lang w:val="en-US" w:eastAsia="zh-CN"/>
              </w:rPr>
            </w:pPr>
            <w:r>
              <w:rPr>
                <w:rFonts w:hint="default"/>
                <w:lang w:val="en-US" w:eastAsia="zh-CN"/>
              </w:rPr>
              <w:t>4、本项目生活污水进入园区污水处理厂处理；</w:t>
            </w:r>
          </w:p>
          <w:p w14:paraId="4498E1E6">
            <w:pPr>
              <w:pStyle w:val="35"/>
              <w:bidi w:val="0"/>
              <w:jc w:val="both"/>
              <w:rPr>
                <w:rFonts w:hint="default"/>
                <w:lang w:val="en-US" w:eastAsia="zh-CN"/>
              </w:rPr>
            </w:pPr>
            <w:r>
              <w:rPr>
                <w:rFonts w:hint="default"/>
                <w:lang w:val="en-US" w:eastAsia="zh-CN"/>
              </w:rPr>
              <w:t>5、本项目不属于两高项目；</w:t>
            </w:r>
          </w:p>
          <w:p w14:paraId="0DDF024D">
            <w:pPr>
              <w:pStyle w:val="35"/>
              <w:bidi w:val="0"/>
              <w:jc w:val="both"/>
              <w:rPr>
                <w:rFonts w:hint="default"/>
                <w:lang w:val="en-US" w:eastAsia="zh-CN"/>
              </w:rPr>
            </w:pPr>
            <w:r>
              <w:rPr>
                <w:rFonts w:hint="default"/>
                <w:lang w:val="en-US" w:eastAsia="zh-CN"/>
              </w:rPr>
              <w:t>6、本项目不涉及煤炭消耗；</w:t>
            </w:r>
          </w:p>
          <w:p w14:paraId="4296C568">
            <w:pPr>
              <w:pStyle w:val="35"/>
              <w:bidi w:val="0"/>
              <w:jc w:val="both"/>
              <w:rPr>
                <w:rFonts w:hint="default"/>
                <w:lang w:val="en-US" w:eastAsia="zh-CN"/>
              </w:rPr>
            </w:pPr>
            <w:r>
              <w:rPr>
                <w:rFonts w:hint="default"/>
                <w:lang w:val="en-US" w:eastAsia="zh-CN"/>
              </w:rPr>
              <w:t>7、本项目不涉及</w:t>
            </w:r>
            <w:r>
              <w:rPr>
                <w:rFonts w:hint="eastAsia"/>
                <w:lang w:val="en-US" w:eastAsia="zh-CN"/>
              </w:rPr>
              <w:t>。</w:t>
            </w:r>
          </w:p>
        </w:tc>
        <w:tc>
          <w:tcPr>
            <w:tcW w:w="253" w:type="pct"/>
            <w:noWrap w:val="0"/>
            <w:vAlign w:val="center"/>
          </w:tcPr>
          <w:p w14:paraId="64AEDC5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3C483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7592316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6DD4CBE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7E774E0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324D0B3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环境风险防控</w:t>
            </w:r>
          </w:p>
        </w:tc>
        <w:tc>
          <w:tcPr>
            <w:tcW w:w="2295" w:type="pct"/>
            <w:noWrap w:val="0"/>
            <w:vAlign w:val="center"/>
          </w:tcPr>
          <w:p w14:paraId="4787CA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1、加强先进制造业开发区环境安全管理工作，严格危险化学品管理，减少环境风险。</w:t>
            </w:r>
          </w:p>
          <w:p w14:paraId="53C991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2、建立先进制造业开发区风险防范体系以及风险防范应急预案；基础设施和企业内部生产运营管理中，认真落实环境风险防范措施，杜绝发生污染事故。</w:t>
            </w:r>
          </w:p>
          <w:p w14:paraId="2B833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3、定期对地下水质进行监测，发现问题，及时采取有效防治措施，避免对地下水造成污染。</w:t>
            </w:r>
          </w:p>
        </w:tc>
        <w:tc>
          <w:tcPr>
            <w:tcW w:w="3647" w:type="dxa"/>
            <w:noWrap w:val="0"/>
            <w:vAlign w:val="center"/>
          </w:tcPr>
          <w:p w14:paraId="19C25B6A">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1、本项目不使用危险化学品，环境风险可控；</w:t>
            </w:r>
          </w:p>
          <w:p w14:paraId="2127257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2、本项目已制定详细的环境风险防范措施和应急预案；</w:t>
            </w:r>
          </w:p>
          <w:p w14:paraId="19881DAF">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lang w:val="en-US" w:eastAsia="zh-CN"/>
              </w:rPr>
            </w:pPr>
            <w:r>
              <w:rPr>
                <w:rFonts w:hint="eastAsia" w:ascii="Times New Roman" w:hAnsi="Times New Roman" w:eastAsia="宋体" w:cs="Times New Roman"/>
                <w:b w:val="0"/>
                <w:bCs w:val="0"/>
                <w:color w:val="auto"/>
                <w:sz w:val="21"/>
                <w:szCs w:val="21"/>
                <w:highlight w:val="none"/>
                <w:u w:val="none" w:color="auto"/>
                <w:lang w:val="en-US" w:eastAsia="zh-CN"/>
              </w:rPr>
              <w:t>3、本项目不涉及地下水和土壤污染途径</w:t>
            </w:r>
            <w:r>
              <w:rPr>
                <w:rFonts w:hint="eastAsia" w:cs="Times New Roman"/>
                <w:b w:val="0"/>
                <w:bCs w:val="0"/>
                <w:color w:val="auto"/>
                <w:sz w:val="21"/>
                <w:szCs w:val="21"/>
                <w:highlight w:val="none"/>
                <w:u w:val="none" w:color="auto"/>
                <w:lang w:val="en-US" w:eastAsia="zh-CN"/>
              </w:rPr>
              <w:t>。</w:t>
            </w:r>
          </w:p>
        </w:tc>
        <w:tc>
          <w:tcPr>
            <w:tcW w:w="253" w:type="pct"/>
            <w:noWrap w:val="0"/>
            <w:vAlign w:val="center"/>
          </w:tcPr>
          <w:p w14:paraId="30F8EF0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7E97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5B6E1B6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4FAF9C8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062724B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3E50C20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资源利用效率要求</w:t>
            </w:r>
          </w:p>
        </w:tc>
        <w:tc>
          <w:tcPr>
            <w:tcW w:w="2295" w:type="pct"/>
            <w:noWrap w:val="0"/>
            <w:vAlign w:val="center"/>
          </w:tcPr>
          <w:p w14:paraId="77DFCC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1、区内企业应不断提高资源能源利用效率，新改扩建建设项目的清洁生产水平应达到国内先进水平。</w:t>
            </w:r>
          </w:p>
          <w:p w14:paraId="20B9FC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2、先进制造业开发区应加大中水回用力度，建设再生水回用配套设施，提高再生水利用率。</w:t>
            </w:r>
          </w:p>
        </w:tc>
        <w:tc>
          <w:tcPr>
            <w:tcW w:w="3647" w:type="dxa"/>
            <w:noWrap w:val="0"/>
            <w:vAlign w:val="center"/>
          </w:tcPr>
          <w:p w14:paraId="4731DED2">
            <w:pPr>
              <w:pStyle w:val="37"/>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ascii="Times New Roman" w:hAnsi="Times New Roman" w:cs="Times New Roman"/>
                <w:color w:val="000000" w:themeColor="text1"/>
                <w:spacing w:val="-2"/>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1、</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w:t>
            </w:r>
            <w:r>
              <w:rPr>
                <w:rFonts w:hint="default" w:ascii="Times New Roman" w:hAnsi="Times New Roman" w:cs="Times New Roman"/>
                <w:color w:val="000000" w:themeColor="text1"/>
                <w:spacing w:val="-2"/>
                <w:sz w:val="21"/>
                <w:szCs w:val="21"/>
                <w:lang w:eastAsia="zh-CN"/>
                <w14:textFill>
                  <w14:solidFill>
                    <w14:schemeClr w14:val="tx1"/>
                  </w14:solidFill>
                </w14:textFill>
              </w:rPr>
              <w:t>资源能源利用效率</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较高</w:t>
            </w:r>
            <w:r>
              <w:rPr>
                <w:rFonts w:hint="default" w:ascii="Times New Roman" w:hAnsi="Times New Roman" w:cs="Times New Roman"/>
                <w:color w:val="000000" w:themeColor="text1"/>
                <w:spacing w:val="-2"/>
                <w:sz w:val="21"/>
                <w:szCs w:val="21"/>
                <w:lang w:eastAsia="zh-CN"/>
                <w14:textFill>
                  <w14:solidFill>
                    <w14:schemeClr w14:val="tx1"/>
                  </w14:solidFill>
                </w14:textFill>
              </w:rPr>
              <w:t>，清洁生产水平</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可以</w:t>
            </w:r>
            <w:r>
              <w:rPr>
                <w:rFonts w:hint="default" w:ascii="Times New Roman" w:hAnsi="Times New Roman" w:cs="Times New Roman"/>
                <w:color w:val="000000" w:themeColor="text1"/>
                <w:spacing w:val="-2"/>
                <w:sz w:val="21"/>
                <w:szCs w:val="21"/>
                <w:lang w:eastAsia="zh-CN"/>
                <w14:textFill>
                  <w14:solidFill>
                    <w14:schemeClr w14:val="tx1"/>
                  </w14:solidFill>
                </w14:textFill>
              </w:rPr>
              <w:t>达到国内先进水平</w:t>
            </w:r>
            <w:r>
              <w:rPr>
                <w:rFonts w:hint="eastAsia" w:ascii="Times New Roman" w:hAnsi="Times New Roman" w:cs="Times New Roman"/>
                <w:color w:val="000000" w:themeColor="text1"/>
                <w:spacing w:val="-2"/>
                <w:sz w:val="21"/>
                <w:szCs w:val="21"/>
                <w:lang w:eastAsia="zh-CN"/>
                <w14:textFill>
                  <w14:solidFill>
                    <w14:schemeClr w14:val="tx1"/>
                  </w14:solidFill>
                </w14:textFill>
              </w:rPr>
              <w:t>；</w:t>
            </w:r>
          </w:p>
          <w:p w14:paraId="660ECFA8">
            <w:pPr>
              <w:pStyle w:val="37"/>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default"/>
                <w:lang w:val="en-US" w:eastAsia="zh-CN"/>
              </w:rPr>
            </w:pPr>
            <w:r>
              <w:rPr>
                <w:rFonts w:hint="default" w:ascii="Times New Roman" w:hAnsi="Times New Roman" w:cs="Times New Roman"/>
                <w:color w:val="000000" w:themeColor="text1"/>
                <w:spacing w:val="-2"/>
                <w:sz w:val="21"/>
                <w:szCs w:val="21"/>
                <w14:textFill>
                  <w14:solidFill>
                    <w14:schemeClr w14:val="tx1"/>
                  </w14:solidFill>
                </w14:textFill>
              </w:rPr>
              <w:t>2、</w:t>
            </w:r>
            <w:r>
              <w:rPr>
                <w:rFonts w:hint="default" w:ascii="Times New Roman" w:hAnsi="Times New Roman" w:cs="Times New Roman"/>
                <w:color w:val="000000" w:themeColor="text1"/>
                <w:spacing w:val="-2"/>
                <w:sz w:val="21"/>
                <w:szCs w:val="21"/>
                <w:lang w:eastAsia="zh-CN"/>
                <w14:textFill>
                  <w14:solidFill>
                    <w14:schemeClr w14:val="tx1"/>
                  </w14:solidFill>
                </w14:textFill>
              </w:rPr>
              <w:t>本项目不涉及</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中水回用。</w:t>
            </w:r>
          </w:p>
        </w:tc>
        <w:tc>
          <w:tcPr>
            <w:tcW w:w="253" w:type="pct"/>
            <w:shd w:val="clear" w:color="auto" w:fill="auto"/>
            <w:noWrap w:val="0"/>
            <w:vAlign w:val="center"/>
          </w:tcPr>
          <w:p w14:paraId="3E897D7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2CB9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restart"/>
            <w:noWrap w:val="0"/>
            <w:vAlign w:val="center"/>
          </w:tcPr>
          <w:p w14:paraId="2BE6A2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YS4113242210273</w:t>
            </w:r>
          </w:p>
        </w:tc>
        <w:tc>
          <w:tcPr>
            <w:tcW w:w="270" w:type="pct"/>
            <w:vMerge w:val="restart"/>
            <w:noWrap w:val="0"/>
            <w:vAlign w:val="center"/>
          </w:tcPr>
          <w:p w14:paraId="2E9C9EFE">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镇平县</w:t>
            </w:r>
            <w:r>
              <w:rPr>
                <w:rFonts w:ascii="Times New Roman" w:hAnsi="Times New Roman" w:cs="Times New Roman"/>
                <w:color w:val="000000" w:themeColor="text1"/>
                <w:spacing w:val="-5"/>
                <w:sz w:val="21"/>
                <w:szCs w:val="21"/>
                <w:lang w:eastAsia="zh-CN"/>
                <w14:textFill>
                  <w14:solidFill>
                    <w14:schemeClr w14:val="tx1"/>
                  </w14:solidFill>
                </w14:textFill>
              </w:rPr>
              <w:t>先进制</w:t>
            </w:r>
          </w:p>
          <w:p w14:paraId="4431C378">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造业开</w:t>
            </w:r>
            <w:r>
              <w:rPr>
                <w:rFonts w:ascii="Times New Roman" w:hAnsi="Times New Roman" w:cs="Times New Roman"/>
                <w:color w:val="000000" w:themeColor="text1"/>
                <w:spacing w:val="-7"/>
                <w:sz w:val="21"/>
                <w:szCs w:val="21"/>
                <w:lang w:eastAsia="zh-CN"/>
                <w14:textFill>
                  <w14:solidFill>
                    <w14:schemeClr w14:val="tx1"/>
                  </w14:solidFill>
                </w14:textFill>
              </w:rPr>
              <w:t>发区</w:t>
            </w:r>
          </w:p>
        </w:tc>
        <w:tc>
          <w:tcPr>
            <w:tcW w:w="206" w:type="pct"/>
            <w:vMerge w:val="restart"/>
            <w:noWrap w:val="0"/>
            <w:vAlign w:val="center"/>
          </w:tcPr>
          <w:p w14:paraId="5D018E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重点</w:t>
            </w:r>
          </w:p>
        </w:tc>
        <w:tc>
          <w:tcPr>
            <w:tcW w:w="329" w:type="pct"/>
            <w:noWrap w:val="0"/>
            <w:vAlign w:val="center"/>
          </w:tcPr>
          <w:p w14:paraId="68DBEDA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空间布局约束</w:t>
            </w:r>
          </w:p>
        </w:tc>
        <w:tc>
          <w:tcPr>
            <w:tcW w:w="2295" w:type="pct"/>
            <w:noWrap w:val="0"/>
            <w:vAlign w:val="center"/>
          </w:tcPr>
          <w:p w14:paraId="7059E525">
            <w:pPr>
              <w:pStyle w:val="40"/>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禁止不符合园区规划或规划环评的项目入驻。</w:t>
            </w:r>
          </w:p>
        </w:tc>
        <w:tc>
          <w:tcPr>
            <w:tcW w:w="3647" w:type="dxa"/>
            <w:noWrap w:val="0"/>
            <w:vAlign w:val="center"/>
          </w:tcPr>
          <w:p w14:paraId="3278B35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w:t>
            </w:r>
            <w:r>
              <w:rPr>
                <w:rFonts w:hint="default" w:ascii="Times New Roman" w:hAnsi="Times New Roman" w:cs="Times New Roman"/>
                <w:color w:val="000000" w:themeColor="text1"/>
                <w:spacing w:val="-3"/>
                <w:sz w:val="21"/>
                <w:szCs w:val="21"/>
                <w:lang w:eastAsia="zh-CN"/>
                <w14:textFill>
                  <w14:solidFill>
                    <w14:schemeClr w14:val="tx1"/>
                  </w14:solidFill>
                </w14:textFill>
              </w:rPr>
              <w:t>符合园区规划</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及</w:t>
            </w:r>
            <w:r>
              <w:rPr>
                <w:rFonts w:hint="default" w:ascii="Times New Roman" w:hAnsi="Times New Roman" w:cs="Times New Roman"/>
                <w:color w:val="000000" w:themeColor="text1"/>
                <w:spacing w:val="-3"/>
                <w:sz w:val="21"/>
                <w:szCs w:val="21"/>
                <w:lang w:eastAsia="zh-CN"/>
                <w14:textFill>
                  <w14:solidFill>
                    <w14:schemeClr w14:val="tx1"/>
                  </w14:solidFill>
                </w14:textFill>
              </w:rPr>
              <w:t>规划环评</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要求。</w:t>
            </w:r>
          </w:p>
        </w:tc>
        <w:tc>
          <w:tcPr>
            <w:tcW w:w="253" w:type="pct"/>
            <w:shd w:val="clear" w:color="auto" w:fill="auto"/>
            <w:noWrap w:val="0"/>
            <w:vAlign w:val="center"/>
          </w:tcPr>
          <w:p w14:paraId="4EC1FCA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577DF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270FEF8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226786F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4176A79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7F960AD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污染物排放管控</w:t>
            </w:r>
          </w:p>
        </w:tc>
        <w:tc>
          <w:tcPr>
            <w:tcW w:w="2295" w:type="pct"/>
            <w:noWrap w:val="0"/>
            <w:vAlign w:val="center"/>
          </w:tcPr>
          <w:p w14:paraId="4E4BBAB2">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1、园区内企业废水必须实现全收集、全处理。</w:t>
            </w:r>
          </w:p>
          <w:p w14:paraId="4CB7D18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2、园区要配备完善的污水处理厂、垃圾集中处理等设施。污水集中处理设施要实现管网全配套，并安装自动在线监控装置。</w:t>
            </w:r>
          </w:p>
          <w:p w14:paraId="3AB3C402">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3、污水处理厂排水必须达到一级A排放标准或地方流域水污染物排放标准。</w:t>
            </w:r>
          </w:p>
        </w:tc>
        <w:tc>
          <w:tcPr>
            <w:tcW w:w="3647" w:type="dxa"/>
            <w:noWrap w:val="0"/>
            <w:vAlign w:val="center"/>
          </w:tcPr>
          <w:p w14:paraId="1B545E68">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1、厂区废水可以实现全收集、全处理；</w:t>
            </w:r>
          </w:p>
          <w:p w14:paraId="7374B2D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2、园区污水厂、垃圾集中处理设施已配备完善；</w:t>
            </w:r>
          </w:p>
          <w:p w14:paraId="2BD1430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eastAsiaTheme="minorEastAsia"/>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3、园区污水厂排水可以达到</w:t>
            </w:r>
            <w:r>
              <w:rPr>
                <w:rFonts w:hint="default" w:ascii="Times New Roman" w:hAnsi="Times New Roman" w:cs="Times New Roman"/>
                <w:color w:val="000000" w:themeColor="text1"/>
                <w:spacing w:val="-3"/>
                <w:sz w:val="21"/>
                <w:szCs w:val="21"/>
                <w:lang w:eastAsia="zh-CN"/>
                <w14:textFill>
                  <w14:solidFill>
                    <w14:schemeClr w14:val="tx1"/>
                  </w14:solidFill>
                </w14:textFill>
              </w:rPr>
              <w:t>一级A排放标准</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c>
          <w:tcPr>
            <w:tcW w:w="253" w:type="pct"/>
            <w:noWrap w:val="0"/>
            <w:vAlign w:val="center"/>
          </w:tcPr>
          <w:p w14:paraId="53C84DE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6D976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3C23D5A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26B6ED9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3F9D1EE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11FDC8F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环境风险防控</w:t>
            </w:r>
          </w:p>
        </w:tc>
        <w:tc>
          <w:tcPr>
            <w:tcW w:w="2295" w:type="pct"/>
            <w:noWrap w:val="0"/>
            <w:vAlign w:val="center"/>
          </w:tcPr>
          <w:p w14:paraId="584E5CB5">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1、加强先进制造业开发区环境安全管理工作，严格危险化学品管理，减少环境风险。</w:t>
            </w:r>
          </w:p>
          <w:p w14:paraId="4122B222">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2、建立先进制造业开发区风险防范体系以及风险防范应急预案；基础设施和企业内部生产运营管理中，认真落实环境风险防范措施，杜绝发生污染事故。</w:t>
            </w:r>
          </w:p>
          <w:p w14:paraId="009F19EC">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3、定期对地下水质进行监测，发现问题，及时采取有效防治措施，避免对地下水造成污染。</w:t>
            </w:r>
          </w:p>
        </w:tc>
        <w:tc>
          <w:tcPr>
            <w:tcW w:w="3647" w:type="dxa"/>
            <w:noWrap w:val="0"/>
            <w:vAlign w:val="center"/>
          </w:tcPr>
          <w:p w14:paraId="3D7DBD7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1、本项目不使用危险化学品，环境风险可控；</w:t>
            </w:r>
          </w:p>
          <w:p w14:paraId="4EAEE58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2、本项目已制定详细的环境风险防范措施和应急预案；</w:t>
            </w:r>
          </w:p>
          <w:p w14:paraId="4871F2D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auto"/>
                <w:sz w:val="21"/>
                <w:szCs w:val="21"/>
                <w:highlight w:val="none"/>
                <w:u w:val="none" w:color="auto"/>
                <w:lang w:val="en-US" w:eastAsia="zh-CN"/>
              </w:rPr>
              <w:t>3、本项目不涉及地下水和土壤污染途径</w:t>
            </w:r>
            <w:r>
              <w:rPr>
                <w:rFonts w:hint="eastAsia" w:ascii="Times New Roman" w:hAnsi="Times New Roman" w:cs="Times New Roman"/>
                <w:b w:val="0"/>
                <w:bCs w:val="0"/>
                <w:color w:val="auto"/>
                <w:sz w:val="21"/>
                <w:szCs w:val="21"/>
                <w:highlight w:val="none"/>
                <w:u w:val="none" w:color="auto"/>
                <w:lang w:val="en-US" w:eastAsia="zh-CN"/>
              </w:rPr>
              <w:t>。</w:t>
            </w:r>
          </w:p>
        </w:tc>
        <w:tc>
          <w:tcPr>
            <w:tcW w:w="253" w:type="pct"/>
            <w:noWrap w:val="0"/>
            <w:vAlign w:val="center"/>
          </w:tcPr>
          <w:p w14:paraId="67E2719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202FC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66C87BC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14139D4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4E35828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3010854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资源开发效率要求</w:t>
            </w:r>
          </w:p>
        </w:tc>
        <w:tc>
          <w:tcPr>
            <w:tcW w:w="2295" w:type="pct"/>
            <w:noWrap w:val="0"/>
            <w:vAlign w:val="center"/>
          </w:tcPr>
          <w:p w14:paraId="1363E38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开发区应加大中水回用力度，建设再生水回用配套设施，提高再生水利用率。</w:t>
            </w:r>
          </w:p>
        </w:tc>
        <w:tc>
          <w:tcPr>
            <w:tcW w:w="3647" w:type="dxa"/>
            <w:noWrap w:val="0"/>
            <w:vAlign w:val="center"/>
          </w:tcPr>
          <w:p w14:paraId="18A9257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本项目不涉及</w:t>
            </w:r>
            <w:r>
              <w:rPr>
                <w:rFonts w:hint="eastAsia" w:ascii="Times New Roman" w:hAnsi="Times New Roman" w:cs="Times New Roman"/>
                <w:color w:val="000000" w:themeColor="text1"/>
                <w:spacing w:val="-2"/>
                <w:sz w:val="21"/>
                <w:szCs w:val="21"/>
                <w:lang w:val="en-US" w:eastAsia="zh-CN"/>
                <w14:textFill>
                  <w14:solidFill>
                    <w14:schemeClr w14:val="tx1"/>
                  </w14:solidFill>
                </w14:textFill>
              </w:rPr>
              <w:t>中水回用。</w:t>
            </w:r>
          </w:p>
        </w:tc>
        <w:tc>
          <w:tcPr>
            <w:tcW w:w="253" w:type="pct"/>
            <w:noWrap w:val="0"/>
            <w:vAlign w:val="center"/>
          </w:tcPr>
          <w:p w14:paraId="3F23A6E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4419E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restart"/>
            <w:noWrap w:val="0"/>
            <w:vAlign w:val="center"/>
          </w:tcPr>
          <w:p w14:paraId="4D3E4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YS4113242310001</w:t>
            </w:r>
          </w:p>
        </w:tc>
        <w:tc>
          <w:tcPr>
            <w:tcW w:w="270" w:type="pct"/>
            <w:vMerge w:val="restart"/>
            <w:noWrap w:val="0"/>
            <w:vAlign w:val="center"/>
          </w:tcPr>
          <w:p w14:paraId="766A8B70">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镇平县</w:t>
            </w:r>
            <w:r>
              <w:rPr>
                <w:rFonts w:ascii="Times New Roman" w:hAnsi="Times New Roman" w:cs="Times New Roman"/>
                <w:color w:val="000000" w:themeColor="text1"/>
                <w:spacing w:val="-5"/>
                <w:sz w:val="21"/>
                <w:szCs w:val="21"/>
                <w:lang w:eastAsia="zh-CN"/>
                <w14:textFill>
                  <w14:solidFill>
                    <w14:schemeClr w14:val="tx1"/>
                  </w14:solidFill>
                </w14:textFill>
              </w:rPr>
              <w:t>先进制</w:t>
            </w:r>
          </w:p>
          <w:p w14:paraId="275399C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造业开</w:t>
            </w:r>
            <w:r>
              <w:rPr>
                <w:rFonts w:ascii="Times New Roman" w:hAnsi="Times New Roman" w:cs="Times New Roman"/>
                <w:color w:val="000000" w:themeColor="text1"/>
                <w:spacing w:val="-7"/>
                <w:sz w:val="21"/>
                <w:szCs w:val="21"/>
                <w:lang w:eastAsia="zh-CN"/>
                <w14:textFill>
                  <w14:solidFill>
                    <w14:schemeClr w14:val="tx1"/>
                  </w14:solidFill>
                </w14:textFill>
              </w:rPr>
              <w:t>发区</w:t>
            </w:r>
          </w:p>
        </w:tc>
        <w:tc>
          <w:tcPr>
            <w:tcW w:w="206" w:type="pct"/>
            <w:vMerge w:val="restart"/>
            <w:noWrap w:val="0"/>
            <w:vAlign w:val="center"/>
          </w:tcPr>
          <w:p w14:paraId="284465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重点</w:t>
            </w:r>
          </w:p>
        </w:tc>
        <w:tc>
          <w:tcPr>
            <w:tcW w:w="329" w:type="pct"/>
            <w:noWrap w:val="0"/>
            <w:vAlign w:val="center"/>
          </w:tcPr>
          <w:p w14:paraId="7DEABD0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空间布局约束</w:t>
            </w:r>
          </w:p>
        </w:tc>
        <w:tc>
          <w:tcPr>
            <w:tcW w:w="2295" w:type="pct"/>
            <w:noWrap w:val="0"/>
            <w:vAlign w:val="center"/>
          </w:tcPr>
          <w:p w14:paraId="621FB5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1、重点发展非金属制品、高端装备制造、健康医药、绿色食品行业，禁止新建石化、有化学反应的化工、化学合成原料药、煤化工、制浆造纸项目入驻开发区。禁止不符合园区规划或规划环评的项目入驻。</w:t>
            </w:r>
          </w:p>
          <w:p w14:paraId="0D0712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2</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新建、改建、扩建</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两高</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项目须符合生态环境保护法律法规和相关法定规划，满足重点污染物排放总量控制、碳排放达峰目标、相关规划环评和相应行业建设项目环境准入条件、环评文件审批原则要求。</w:t>
            </w:r>
          </w:p>
        </w:tc>
        <w:tc>
          <w:tcPr>
            <w:tcW w:w="3647" w:type="dxa"/>
            <w:noWrap w:val="0"/>
            <w:vAlign w:val="center"/>
          </w:tcPr>
          <w:p w14:paraId="1148534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1、本项目属于</w:t>
            </w:r>
            <w:r>
              <w:rPr>
                <w:rFonts w:hint="eastAsia" w:ascii="Times New Roman" w:hAnsi="Times New Roman" w:cs="Times New Roman"/>
                <w:color w:val="000000" w:themeColor="text1"/>
                <w:sz w:val="21"/>
                <w:szCs w:val="21"/>
                <w:lang w:val="en-US" w:eastAsia="zh-CN"/>
                <w14:textFill>
                  <w14:solidFill>
                    <w14:schemeClr w14:val="tx1"/>
                  </w14:solidFill>
                </w14:textFill>
              </w:rPr>
              <w:t>高端装备制造行业</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符合园区入驻要求</w:t>
            </w:r>
            <w:r>
              <w:rPr>
                <w:rFonts w:hint="default" w:ascii="Times New Roman" w:hAnsi="Times New Roman" w:cs="Times New Roman"/>
                <w:color w:val="000000" w:themeColor="text1"/>
                <w:sz w:val="21"/>
                <w:szCs w:val="21"/>
                <w14:textFill>
                  <w14:solidFill>
                    <w14:schemeClr w14:val="tx1"/>
                  </w14:solidFill>
                </w14:textFill>
              </w:rPr>
              <w:t>；</w:t>
            </w:r>
          </w:p>
          <w:p w14:paraId="15FB2DB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2、本项目不属于两高项目</w:t>
            </w:r>
            <w:r>
              <w:rPr>
                <w:rFonts w:hint="eastAsia" w:cs="Times New Roman"/>
                <w:color w:val="000000" w:themeColor="text1"/>
                <w:sz w:val="21"/>
                <w:szCs w:val="21"/>
                <w:lang w:eastAsia="zh-CN"/>
                <w14:textFill>
                  <w14:solidFill>
                    <w14:schemeClr w14:val="tx1"/>
                  </w14:solidFill>
                </w14:textFill>
              </w:rPr>
              <w:t>。</w:t>
            </w:r>
          </w:p>
        </w:tc>
        <w:tc>
          <w:tcPr>
            <w:tcW w:w="253" w:type="pct"/>
            <w:noWrap w:val="0"/>
            <w:vAlign w:val="center"/>
          </w:tcPr>
          <w:p w14:paraId="3007855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2691D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6B06A93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1A38131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3308303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2C6796B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污染物排放管控</w:t>
            </w:r>
          </w:p>
        </w:tc>
        <w:tc>
          <w:tcPr>
            <w:tcW w:w="2295" w:type="pct"/>
            <w:noWrap w:val="0"/>
            <w:vAlign w:val="center"/>
          </w:tcPr>
          <w:p w14:paraId="7D64C30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w:t>
            </w:r>
          </w:p>
        </w:tc>
        <w:tc>
          <w:tcPr>
            <w:tcW w:w="3647" w:type="dxa"/>
            <w:noWrap w:val="0"/>
            <w:vAlign w:val="center"/>
          </w:tcPr>
          <w:p w14:paraId="636A5AC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sz w:val="21"/>
                <w:szCs w:val="21"/>
                <w:highlight w:val="none"/>
                <w:lang w:val="en-US" w:eastAsia="zh-CN"/>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c>
          <w:tcPr>
            <w:tcW w:w="253" w:type="pct"/>
            <w:noWrap w:val="0"/>
            <w:vAlign w:val="center"/>
          </w:tcPr>
          <w:p w14:paraId="7E0ECBB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29D57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2147EB4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007F2C8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5914CAA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7B62024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环境风险防控</w:t>
            </w:r>
          </w:p>
        </w:tc>
        <w:tc>
          <w:tcPr>
            <w:tcW w:w="2295" w:type="pct"/>
            <w:noWrap w:val="0"/>
            <w:vAlign w:val="center"/>
          </w:tcPr>
          <w:p w14:paraId="739D7A64">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1、严格落实规划环评及其批复文件制定的环境风险防范措施。</w:t>
            </w:r>
          </w:p>
          <w:p w14:paraId="3AE551AD">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2、园区应制定环境风险应急预案，成立应急组织机构，定期开展应急演练，提高区域环境风险防范能力。</w:t>
            </w:r>
          </w:p>
        </w:tc>
        <w:tc>
          <w:tcPr>
            <w:tcW w:w="3647" w:type="dxa"/>
            <w:noWrap w:val="0"/>
            <w:vAlign w:val="center"/>
          </w:tcPr>
          <w:p w14:paraId="7147D64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本项目已制定详细的环境风险防范措施和应急预案</w:t>
            </w:r>
            <w:r>
              <w:rPr>
                <w:rFonts w:hint="eastAsia" w:ascii="Times New Roman" w:hAnsi="Times New Roman" w:cs="Times New Roman"/>
                <w:color w:val="000000" w:themeColor="text1"/>
                <w:spacing w:val="-2"/>
                <w:sz w:val="21"/>
                <w:szCs w:val="21"/>
                <w:lang w:eastAsia="zh-CN"/>
                <w14:textFill>
                  <w14:solidFill>
                    <w14:schemeClr w14:val="tx1"/>
                  </w14:solidFill>
                </w14:textFill>
              </w:rPr>
              <w:t>。</w:t>
            </w:r>
          </w:p>
        </w:tc>
        <w:tc>
          <w:tcPr>
            <w:tcW w:w="253" w:type="pct"/>
            <w:noWrap w:val="0"/>
            <w:vAlign w:val="center"/>
          </w:tcPr>
          <w:p w14:paraId="654709A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6AA40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0601200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6A735B1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43132B9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06AA5CF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资源开发效率要求</w:t>
            </w:r>
          </w:p>
        </w:tc>
        <w:tc>
          <w:tcPr>
            <w:tcW w:w="2295" w:type="pct"/>
            <w:noWrap w:val="0"/>
            <w:vAlign w:val="center"/>
          </w:tcPr>
          <w:p w14:paraId="73FA8AE2">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在禁燃区内，禁止销售、燃用高污染燃料；禁止新建、扩建燃用高污染燃料的设施，已建成的，应当在各省辖市、县（市）人民政府规定的期限内改用天然气、页岩气、液化石油气、电或者其他清洁能源；大力改善煤电机组供电煤耗水平。</w:t>
            </w:r>
          </w:p>
        </w:tc>
        <w:tc>
          <w:tcPr>
            <w:tcW w:w="3647" w:type="dxa"/>
            <w:noWrap w:val="0"/>
            <w:vAlign w:val="center"/>
          </w:tcPr>
          <w:p w14:paraId="35DA8921">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本项目不使用高污染燃料。</w:t>
            </w:r>
          </w:p>
        </w:tc>
        <w:tc>
          <w:tcPr>
            <w:tcW w:w="253" w:type="pct"/>
            <w:noWrap w:val="0"/>
            <w:vAlign w:val="center"/>
          </w:tcPr>
          <w:p w14:paraId="451C4FA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6566E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restart"/>
            <w:noWrap w:val="0"/>
            <w:vAlign w:val="center"/>
          </w:tcPr>
          <w:p w14:paraId="7E42737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YS4113242340001</w:t>
            </w:r>
          </w:p>
        </w:tc>
        <w:tc>
          <w:tcPr>
            <w:tcW w:w="270" w:type="pct"/>
            <w:vMerge w:val="restart"/>
            <w:noWrap w:val="0"/>
            <w:vAlign w:val="center"/>
          </w:tcPr>
          <w:p w14:paraId="1678062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restart"/>
            <w:noWrap w:val="0"/>
            <w:vAlign w:val="center"/>
          </w:tcPr>
          <w:p w14:paraId="20BFB54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重点</w:t>
            </w:r>
          </w:p>
        </w:tc>
        <w:tc>
          <w:tcPr>
            <w:tcW w:w="329" w:type="pct"/>
            <w:noWrap w:val="0"/>
            <w:vAlign w:val="center"/>
          </w:tcPr>
          <w:p w14:paraId="26A7BC7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空间布局约束</w:t>
            </w:r>
          </w:p>
        </w:tc>
        <w:tc>
          <w:tcPr>
            <w:tcW w:w="2295" w:type="pct"/>
            <w:noWrap w:val="0"/>
            <w:vAlign w:val="center"/>
          </w:tcPr>
          <w:p w14:paraId="60D315F6">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 xml:space="preserve">1、在各省辖市城市建成区内，禁止新建每小时二十蒸吨以下的燃烧煤 </w:t>
            </w:r>
          </w:p>
          <w:p w14:paraId="5C6FAE83">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炭、重油、渣油蹦及直接燃用生物质的锅炉，其他地区禁止新建每小时十蒸吨以下的燃烧煤炭、重油、渣油以及直接燃用生物质的锅炉。</w:t>
            </w:r>
          </w:p>
          <w:p w14:paraId="0D7063C6">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p w14:paraId="725A99FA">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3、加快城市建成区水泥企业搬迁改造或关闭退出，对明确实施退城但逾期未退的水泥企业予以停产。到2025年，城市建成区内重污染企业分类完成就地改造、退城入园、转型转产或关闭退出任务。</w:t>
            </w:r>
          </w:p>
        </w:tc>
        <w:tc>
          <w:tcPr>
            <w:tcW w:w="3647" w:type="dxa"/>
            <w:noWrap w:val="0"/>
            <w:vAlign w:val="center"/>
          </w:tcPr>
          <w:p w14:paraId="324A72A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1、本项目不涉及锅炉；</w:t>
            </w:r>
          </w:p>
          <w:p w14:paraId="2919BC3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2、本项目不涉及恶臭气体排放；</w:t>
            </w:r>
          </w:p>
          <w:p w14:paraId="7BEEB36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3、本项目不涉及。</w:t>
            </w:r>
          </w:p>
        </w:tc>
        <w:tc>
          <w:tcPr>
            <w:tcW w:w="253" w:type="pct"/>
            <w:noWrap w:val="0"/>
            <w:vAlign w:val="center"/>
          </w:tcPr>
          <w:p w14:paraId="6A17C97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11C1F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7C83B67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04619B0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3E7EBEB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01DCBD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color w:val="000000" w:themeColor="text1"/>
                <w:sz w:val="21"/>
                <w:szCs w:val="21"/>
                <w14:textFill>
                  <w14:solidFill>
                    <w14:schemeClr w14:val="tx1"/>
                  </w14:solidFill>
                </w14:textFill>
              </w:rPr>
              <w:t>污染物排放管控</w:t>
            </w:r>
          </w:p>
        </w:tc>
        <w:tc>
          <w:tcPr>
            <w:tcW w:w="2295" w:type="pct"/>
            <w:noWrap w:val="0"/>
            <w:vAlign w:val="center"/>
          </w:tcPr>
          <w:p w14:paraId="4C8C8C2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pacing w:val="-1"/>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1、大力推</w:t>
            </w:r>
            <w:r>
              <w:rPr>
                <w:rFonts w:ascii="Times New Roman" w:hAnsi="Times New Roman" w:cs="Times New Roman"/>
                <w:color w:val="000000" w:themeColor="text1"/>
                <w:spacing w:val="4"/>
                <w:sz w:val="21"/>
                <w:szCs w:val="21"/>
                <w:lang w:eastAsia="zh-CN"/>
                <w14:textFill>
                  <w14:solidFill>
                    <w14:schemeClr w14:val="tx1"/>
                  </w14:solidFill>
                </w14:textFill>
              </w:rPr>
              <w:t>进钢铁、</w:t>
            </w:r>
            <w:r>
              <w:rPr>
                <w:rFonts w:ascii="Times New Roman" w:hAnsi="Times New Roman" w:cs="Times New Roman"/>
                <w:color w:val="000000" w:themeColor="text1"/>
                <w:spacing w:val="-2"/>
                <w:sz w:val="21"/>
                <w:szCs w:val="21"/>
                <w:lang w:eastAsia="zh-CN"/>
                <w14:textFill>
                  <w14:solidFill>
                    <w14:schemeClr w14:val="tx1"/>
                  </w14:solidFill>
                </w14:textFill>
              </w:rPr>
              <w:t>焦化等重点行业产业结构调整和转型升级，加</w:t>
            </w:r>
            <w:r>
              <w:rPr>
                <w:rFonts w:ascii="Times New Roman" w:hAnsi="Times New Roman" w:cs="Times New Roman"/>
                <w:color w:val="000000" w:themeColor="text1"/>
                <w:spacing w:val="4"/>
                <w:sz w:val="21"/>
                <w:szCs w:val="21"/>
                <w:lang w:eastAsia="zh-CN"/>
                <w14:textFill>
                  <w14:solidFill>
                    <w14:schemeClr w14:val="tx1"/>
                  </w14:solidFill>
                </w14:textFill>
              </w:rPr>
              <w:t>快钢铁、</w:t>
            </w:r>
            <w:r>
              <w:rPr>
                <w:rFonts w:ascii="Times New Roman" w:hAnsi="Times New Roman" w:cs="Times New Roman"/>
                <w:color w:val="000000" w:themeColor="text1"/>
                <w:spacing w:val="-2"/>
                <w:sz w:val="21"/>
                <w:szCs w:val="21"/>
                <w:lang w:eastAsia="zh-CN"/>
                <w14:textFill>
                  <w14:solidFill>
                    <w14:schemeClr w14:val="tx1"/>
                  </w14:solidFill>
                </w14:textFill>
              </w:rPr>
              <w:t>水泥、焦化行业及锅炉超低</w:t>
            </w:r>
            <w:r>
              <w:rPr>
                <w:rFonts w:ascii="Times New Roman" w:hAnsi="Times New Roman" w:cs="Times New Roman"/>
                <w:color w:val="000000" w:themeColor="text1"/>
                <w:spacing w:val="-4"/>
                <w:sz w:val="21"/>
                <w:szCs w:val="21"/>
                <w:lang w:eastAsia="zh-CN"/>
                <w14:textFill>
                  <w14:solidFill>
                    <w14:schemeClr w14:val="tx1"/>
                  </w14:solidFill>
                </w14:textFill>
              </w:rPr>
              <w:t>排放改</w:t>
            </w:r>
            <w:r>
              <w:rPr>
                <w:rFonts w:ascii="Times New Roman" w:hAnsi="Times New Roman" w:cs="Times New Roman"/>
                <w:color w:val="000000" w:themeColor="text1"/>
                <w:spacing w:val="-3"/>
                <w:sz w:val="21"/>
                <w:szCs w:val="21"/>
                <w:lang w:eastAsia="zh-CN"/>
                <w14:textFill>
                  <w14:solidFill>
                    <w14:schemeClr w14:val="tx1"/>
                  </w14:solidFill>
                </w14:textFill>
              </w:rPr>
              <w:t>造。深化有色金属</w:t>
            </w:r>
            <w:r>
              <w:rPr>
                <w:rFonts w:ascii="Times New Roman" w:hAnsi="Times New Roman" w:cs="Times New Roman"/>
                <w:color w:val="000000" w:themeColor="text1"/>
                <w:spacing w:val="-1"/>
                <w:sz w:val="21"/>
                <w:szCs w:val="21"/>
                <w:lang w:eastAsia="zh-CN"/>
                <w14:textFill>
                  <w14:solidFill>
                    <w14:schemeClr w14:val="tx1"/>
                  </w14:solidFill>
                </w14:textFill>
              </w:rPr>
              <w:t>冶炼、铸</w:t>
            </w:r>
            <w:r>
              <w:rPr>
                <w:rFonts w:ascii="Times New Roman" w:hAnsi="Times New Roman" w:cs="Times New Roman"/>
                <w:color w:val="000000" w:themeColor="text1"/>
                <w:sz w:val="21"/>
                <w:szCs w:val="21"/>
                <w:lang w:eastAsia="zh-CN"/>
                <w14:textFill>
                  <w14:solidFill>
                    <w14:schemeClr w14:val="tx1"/>
                  </w14:solidFill>
                </w14:textFill>
              </w:rPr>
              <w:t>造、碳素、耐</w:t>
            </w:r>
            <w:r>
              <w:rPr>
                <w:rFonts w:ascii="Times New Roman" w:hAnsi="Times New Roman" w:cs="Times New Roman"/>
                <w:color w:val="000000" w:themeColor="text1"/>
                <w:spacing w:val="-3"/>
                <w:sz w:val="21"/>
                <w:szCs w:val="21"/>
                <w:lang w:eastAsia="zh-CN"/>
                <w14:textFill>
                  <w14:solidFill>
                    <w14:schemeClr w14:val="tx1"/>
                  </w14:solidFill>
                </w14:textFill>
              </w:rPr>
              <w:t>材、烧结类砖瓦等</w:t>
            </w:r>
            <w:r>
              <w:rPr>
                <w:rFonts w:ascii="Times New Roman" w:hAnsi="Times New Roman" w:cs="Times New Roman"/>
                <w:color w:val="000000" w:themeColor="text1"/>
                <w:spacing w:val="-4"/>
                <w:sz w:val="21"/>
                <w:szCs w:val="21"/>
                <w:lang w:eastAsia="zh-CN"/>
                <w14:textFill>
                  <w14:solidFill>
                    <w14:schemeClr w14:val="tx1"/>
                  </w14:solidFill>
                </w14:textFill>
              </w:rPr>
              <w:t>行业工业炉窑综合</w:t>
            </w:r>
            <w:r>
              <w:rPr>
                <w:rFonts w:ascii="Times New Roman" w:hAnsi="Times New Roman" w:cs="Times New Roman"/>
                <w:color w:val="000000" w:themeColor="text1"/>
                <w:spacing w:val="-3"/>
                <w:sz w:val="21"/>
                <w:szCs w:val="21"/>
                <w:lang w:eastAsia="zh-CN"/>
                <w14:textFill>
                  <w14:solidFill>
                    <w14:schemeClr w14:val="tx1"/>
                  </w14:solidFill>
                </w14:textFill>
              </w:rPr>
              <w:t>整治及垃圾焚烧发</w:t>
            </w:r>
            <w:r>
              <w:rPr>
                <w:rFonts w:ascii="Times New Roman" w:hAnsi="Times New Roman" w:cs="Times New Roman"/>
                <w:color w:val="000000" w:themeColor="text1"/>
                <w:spacing w:val="-10"/>
                <w:sz w:val="21"/>
                <w:szCs w:val="21"/>
                <w:lang w:eastAsia="zh-CN"/>
                <w14:textFill>
                  <w14:solidFill>
                    <w14:schemeClr w14:val="tx1"/>
                  </w14:solidFill>
                </w14:textFill>
              </w:rPr>
              <w:t>电、生物</w:t>
            </w:r>
            <w:r>
              <w:rPr>
                <w:rFonts w:ascii="Times New Roman" w:hAnsi="Times New Roman" w:cs="Times New Roman"/>
                <w:color w:val="000000" w:themeColor="text1"/>
                <w:spacing w:val="-3"/>
                <w:sz w:val="21"/>
                <w:szCs w:val="21"/>
                <w:lang w:eastAsia="zh-CN"/>
                <w14:textFill>
                  <w14:solidFill>
                    <w14:schemeClr w14:val="tx1"/>
                  </w14:solidFill>
                </w14:textFill>
              </w:rPr>
              <w:t>质发电烟气深度治</w:t>
            </w:r>
            <w:r>
              <w:rPr>
                <w:rFonts w:ascii="Times New Roman" w:hAnsi="Times New Roman" w:cs="Times New Roman"/>
                <w:color w:val="000000" w:themeColor="text1"/>
                <w:spacing w:val="-1"/>
                <w:sz w:val="21"/>
                <w:szCs w:val="21"/>
                <w:lang w:eastAsia="zh-CN"/>
                <w14:textFill>
                  <w14:solidFill>
                    <w14:schemeClr w14:val="tx1"/>
                  </w14:solidFill>
                </w14:textFill>
              </w:rPr>
              <w:t>理。</w:t>
            </w:r>
          </w:p>
          <w:p w14:paraId="1731F80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1"/>
                <w:sz w:val="21"/>
                <w:szCs w:val="21"/>
                <w:lang w:eastAsia="zh-CN"/>
                <w14:textFill>
                  <w14:solidFill>
                    <w14:schemeClr w14:val="tx1"/>
                  </w14:solidFill>
                </w14:textFill>
              </w:rPr>
              <w:t>2、推</w:t>
            </w:r>
            <w:r>
              <w:rPr>
                <w:rFonts w:ascii="Times New Roman" w:hAnsi="Times New Roman" w:cs="Times New Roman"/>
                <w:color w:val="000000" w:themeColor="text1"/>
                <w:spacing w:val="-3"/>
                <w:sz w:val="21"/>
                <w:szCs w:val="21"/>
                <w:lang w:eastAsia="zh-CN"/>
                <w14:textFill>
                  <w14:solidFill>
                    <w14:schemeClr w14:val="tx1"/>
                  </w14:solidFill>
                </w14:textFill>
              </w:rPr>
              <w:t>动氢燃料</w:t>
            </w:r>
            <w:r>
              <w:rPr>
                <w:rFonts w:ascii="Times New Roman" w:hAnsi="Times New Roman" w:cs="Times New Roman"/>
                <w:color w:val="000000" w:themeColor="text1"/>
                <w:spacing w:val="-10"/>
                <w:sz w:val="21"/>
                <w:szCs w:val="21"/>
                <w:lang w:eastAsia="zh-CN"/>
                <w14:textFill>
                  <w14:solidFill>
                    <w14:schemeClr w14:val="tx1"/>
                  </w14:solidFill>
                </w14:textFill>
              </w:rPr>
              <w:t>电池汽车</w:t>
            </w:r>
            <w:r>
              <w:rPr>
                <w:rFonts w:ascii="Times New Roman" w:hAnsi="Times New Roman" w:cs="Times New Roman"/>
                <w:color w:val="000000" w:themeColor="text1"/>
                <w:spacing w:val="-4"/>
                <w:sz w:val="21"/>
                <w:szCs w:val="21"/>
                <w:lang w:eastAsia="zh-CN"/>
                <w14:textFill>
                  <w14:solidFill>
                    <w14:schemeClr w14:val="tx1"/>
                  </w14:solidFill>
                </w14:textFill>
              </w:rPr>
              <w:t>示范应</w:t>
            </w:r>
            <w:r>
              <w:rPr>
                <w:rFonts w:ascii="Times New Roman" w:hAnsi="Times New Roman" w:cs="Times New Roman"/>
                <w:color w:val="000000" w:themeColor="text1"/>
                <w:spacing w:val="-3"/>
                <w:sz w:val="21"/>
                <w:szCs w:val="21"/>
                <w:lang w:eastAsia="zh-CN"/>
                <w14:textFill>
                  <w14:solidFill>
                    <w14:schemeClr w14:val="tx1"/>
                  </w14:solidFill>
                </w14:textFill>
              </w:rPr>
              <w:t>用，推广新能源汽车和非道路移动机械。推进</w:t>
            </w:r>
            <w:r>
              <w:rPr>
                <w:rFonts w:ascii="Times New Roman" w:hAnsi="Times New Roman" w:cs="Times New Roman"/>
                <w:color w:val="000000" w:themeColor="text1"/>
                <w:spacing w:val="-5"/>
                <w:sz w:val="21"/>
                <w:szCs w:val="21"/>
                <w:lang w:eastAsia="zh-CN"/>
                <w14:textFill>
                  <w14:solidFill>
                    <w14:schemeClr w14:val="tx1"/>
                  </w14:solidFill>
                </w14:textFill>
              </w:rPr>
              <w:t>公共领域</w:t>
            </w:r>
            <w:r>
              <w:rPr>
                <w:rFonts w:ascii="Times New Roman" w:hAnsi="Times New Roman" w:cs="Times New Roman"/>
                <w:color w:val="000000" w:themeColor="text1"/>
                <w:spacing w:val="-3"/>
                <w:sz w:val="21"/>
                <w:szCs w:val="21"/>
                <w:lang w:eastAsia="zh-CN"/>
                <w14:textFill>
                  <w14:solidFill>
                    <w14:schemeClr w14:val="tx1"/>
                  </w14:solidFill>
                </w14:textFill>
              </w:rPr>
              <w:t>车辆新能</w:t>
            </w:r>
            <w:r>
              <w:rPr>
                <w:rFonts w:ascii="Times New Roman" w:hAnsi="Times New Roman" w:cs="Times New Roman"/>
                <w:color w:val="000000" w:themeColor="text1"/>
                <w:spacing w:val="1"/>
                <w:sz w:val="21"/>
                <w:szCs w:val="21"/>
                <w:lang w:eastAsia="zh-CN"/>
                <w14:textFill>
                  <w14:solidFill>
                    <w14:schemeClr w14:val="tx1"/>
                  </w14:solidFill>
                </w14:textFill>
              </w:rPr>
              <w:t>源化。实</w:t>
            </w:r>
            <w:r>
              <w:rPr>
                <w:rFonts w:ascii="Times New Roman" w:hAnsi="Times New Roman" w:cs="Times New Roman"/>
                <w:color w:val="000000" w:themeColor="text1"/>
                <w:spacing w:val="-3"/>
                <w:sz w:val="21"/>
                <w:szCs w:val="21"/>
                <w:lang w:eastAsia="zh-CN"/>
                <w14:textFill>
                  <w14:solidFill>
                    <w14:schemeClr w14:val="tx1"/>
                  </w14:solidFill>
                </w14:textFill>
              </w:rPr>
              <w:t>施清洁柴</w:t>
            </w:r>
            <w:r>
              <w:rPr>
                <w:rFonts w:ascii="Times New Roman" w:hAnsi="Times New Roman" w:cs="Times New Roman"/>
                <w:color w:val="000000" w:themeColor="text1"/>
                <w:spacing w:val="-7"/>
                <w:sz w:val="21"/>
                <w:szCs w:val="21"/>
                <w:lang w:eastAsia="zh-CN"/>
                <w14:textFill>
                  <w14:solidFill>
                    <w14:schemeClr w14:val="tx1"/>
                  </w14:solidFill>
                </w14:textFill>
              </w:rPr>
              <w:t>油车</w:t>
            </w:r>
            <w:r>
              <w:rPr>
                <w:rFonts w:ascii="Times New Roman" w:hAnsi="Times New Roman" w:cs="Times New Roman"/>
                <w:color w:val="000000" w:themeColor="text1"/>
                <w:spacing w:val="-2"/>
                <w:sz w:val="21"/>
                <w:szCs w:val="21"/>
                <w:lang w:eastAsia="zh-CN"/>
                <w14:textFill>
                  <w14:solidFill>
                    <w14:schemeClr w14:val="tx1"/>
                  </w14:solidFill>
                </w14:textFill>
              </w:rPr>
              <w:t>（机）行</w:t>
            </w:r>
            <w:r>
              <w:rPr>
                <w:rFonts w:ascii="Times New Roman" w:hAnsi="Times New Roman" w:cs="Times New Roman"/>
                <w:color w:val="000000" w:themeColor="text1"/>
                <w:spacing w:val="-3"/>
                <w:sz w:val="21"/>
                <w:szCs w:val="21"/>
                <w:lang w:eastAsia="zh-CN"/>
                <w14:textFill>
                  <w14:solidFill>
                    <w14:schemeClr w14:val="tx1"/>
                  </w14:solidFill>
                </w14:textFill>
              </w:rPr>
              <w:t>动，基本淘汰国三及以下排放标准汽车，基本</w:t>
            </w:r>
            <w:r>
              <w:rPr>
                <w:rFonts w:ascii="Times New Roman" w:hAnsi="Times New Roman" w:cs="Times New Roman"/>
                <w:color w:val="000000" w:themeColor="text1"/>
                <w:spacing w:val="-4"/>
                <w:sz w:val="21"/>
                <w:szCs w:val="21"/>
                <w:lang w:eastAsia="zh-CN"/>
                <w14:textFill>
                  <w14:solidFill>
                    <w14:schemeClr w14:val="tx1"/>
                  </w14:solidFill>
                </w14:textFill>
              </w:rPr>
              <w:t>消除未登</w:t>
            </w:r>
            <w:r>
              <w:rPr>
                <w:rFonts w:ascii="Times New Roman" w:hAnsi="Times New Roman" w:cs="Times New Roman"/>
                <w:color w:val="000000" w:themeColor="text1"/>
                <w:spacing w:val="-3"/>
                <w:sz w:val="21"/>
                <w:szCs w:val="21"/>
                <w:lang w:eastAsia="zh-CN"/>
                <w14:textFill>
                  <w14:solidFill>
                    <w14:schemeClr w14:val="tx1"/>
                  </w14:solidFill>
                </w14:textFill>
              </w:rPr>
              <w:t>记或冒黑烟工程机</w:t>
            </w:r>
            <w:r>
              <w:rPr>
                <w:rFonts w:ascii="Times New Roman" w:hAnsi="Times New Roman" w:cs="Times New Roman"/>
                <w:color w:val="000000" w:themeColor="text1"/>
                <w:sz w:val="21"/>
                <w:szCs w:val="21"/>
                <w:lang w:eastAsia="zh-CN"/>
                <w14:textFill>
                  <w14:solidFill>
                    <w14:schemeClr w14:val="tx1"/>
                  </w14:solidFill>
                </w14:textFill>
              </w:rPr>
              <w:t>械。</w:t>
            </w:r>
          </w:p>
          <w:p w14:paraId="14C6687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ascii="Times New Roman" w:hAnsi="Times New Roman" w:cs="Times New Roman"/>
                <w:color w:val="000000" w:themeColor="text1"/>
                <w:sz w:val="21"/>
                <w:szCs w:val="21"/>
                <w:lang w:eastAsia="zh-CN"/>
                <w14:textFill>
                  <w14:solidFill>
                    <w14:schemeClr w14:val="tx1"/>
                  </w14:solidFill>
                </w14:textFill>
              </w:rPr>
              <w:t>3、加</w:t>
            </w:r>
            <w:r>
              <w:rPr>
                <w:rFonts w:ascii="Times New Roman" w:hAnsi="Times New Roman" w:cs="Times New Roman"/>
                <w:color w:val="000000" w:themeColor="text1"/>
                <w:spacing w:val="-4"/>
                <w:sz w:val="21"/>
                <w:szCs w:val="21"/>
                <w:lang w:eastAsia="zh-CN"/>
                <w14:textFill>
                  <w14:solidFill>
                    <w14:schemeClr w14:val="tx1"/>
                  </w14:solidFill>
                </w14:textFill>
              </w:rPr>
              <w:t>强道路扬</w:t>
            </w:r>
            <w:r>
              <w:rPr>
                <w:rFonts w:ascii="Times New Roman" w:hAnsi="Times New Roman" w:cs="Times New Roman"/>
                <w:color w:val="000000" w:themeColor="text1"/>
                <w:spacing w:val="-3"/>
                <w:sz w:val="21"/>
                <w:szCs w:val="21"/>
                <w:lang w:eastAsia="zh-CN"/>
                <w14:textFill>
                  <w14:solidFill>
                    <w14:schemeClr w14:val="tx1"/>
                  </w14:solidFill>
                </w14:textFill>
              </w:rPr>
              <w:t>尘综合整</w:t>
            </w:r>
            <w:r>
              <w:rPr>
                <w:rFonts w:ascii="Times New Roman" w:hAnsi="Times New Roman" w:cs="Times New Roman"/>
                <w:color w:val="000000" w:themeColor="text1"/>
                <w:spacing w:val="-4"/>
                <w:sz w:val="21"/>
                <w:szCs w:val="21"/>
                <w:lang w:eastAsia="zh-CN"/>
                <w14:textFill>
                  <w14:solidFill>
                    <w14:schemeClr w14:val="tx1"/>
                  </w14:solidFill>
                </w14:textFill>
              </w:rPr>
              <w:t>治，大力</w:t>
            </w:r>
            <w:r>
              <w:rPr>
                <w:rFonts w:ascii="Times New Roman" w:hAnsi="Times New Roman" w:cs="Times New Roman"/>
                <w:color w:val="000000" w:themeColor="text1"/>
                <w:spacing w:val="-3"/>
                <w:sz w:val="21"/>
                <w:szCs w:val="21"/>
                <w:lang w:eastAsia="zh-CN"/>
                <w14:textFill>
                  <w14:solidFill>
                    <w14:schemeClr w14:val="tx1"/>
                  </w14:solidFill>
                </w14:textFill>
              </w:rPr>
              <w:t>推进道路机械化清</w:t>
            </w:r>
            <w:r>
              <w:rPr>
                <w:rFonts w:ascii="Times New Roman" w:hAnsi="Times New Roman" w:cs="Times New Roman"/>
                <w:color w:val="000000" w:themeColor="text1"/>
                <w:spacing w:val="-4"/>
                <w:sz w:val="21"/>
                <w:szCs w:val="21"/>
                <w:lang w:eastAsia="zh-CN"/>
                <w14:textFill>
                  <w14:solidFill>
                    <w14:schemeClr w14:val="tx1"/>
                  </w14:solidFill>
                </w14:textFill>
              </w:rPr>
              <w:t>扫保洁作</w:t>
            </w:r>
            <w:r>
              <w:rPr>
                <w:rFonts w:ascii="Times New Roman" w:hAnsi="Times New Roman" w:cs="Times New Roman"/>
                <w:color w:val="000000" w:themeColor="text1"/>
                <w:spacing w:val="2"/>
                <w:sz w:val="21"/>
                <w:szCs w:val="21"/>
                <w:lang w:eastAsia="zh-CN"/>
                <w14:textFill>
                  <w14:solidFill>
                    <w14:schemeClr w14:val="tx1"/>
                  </w14:solidFill>
                </w14:textFill>
              </w:rPr>
              <w:t>业，到</w:t>
            </w:r>
            <w:r>
              <w:rPr>
                <w:rFonts w:ascii="Times New Roman" w:hAnsi="Times New Roman" w:cs="Times New Roman"/>
                <w:color w:val="000000" w:themeColor="text1"/>
                <w:spacing w:val="-9"/>
                <w:sz w:val="21"/>
                <w:szCs w:val="21"/>
                <w:lang w:eastAsia="zh-CN"/>
                <w14:textFill>
                  <w14:solidFill>
                    <w14:schemeClr w14:val="tx1"/>
                  </w14:solidFill>
                </w14:textFill>
              </w:rPr>
              <w:t>2025</w:t>
            </w:r>
            <w:r>
              <w:rPr>
                <w:rFonts w:ascii="Times New Roman" w:hAnsi="Times New Roman" w:cs="Times New Roman"/>
                <w:color w:val="000000" w:themeColor="text1"/>
                <w:spacing w:val="-49"/>
                <w:sz w:val="21"/>
                <w:szCs w:val="21"/>
                <w:lang w:eastAsia="zh-CN"/>
                <w14:textFill>
                  <w14:solidFill>
                    <w14:schemeClr w14:val="tx1"/>
                  </w14:solidFill>
                </w14:textFill>
              </w:rPr>
              <w:t xml:space="preserve"> </w:t>
            </w:r>
            <w:r>
              <w:rPr>
                <w:rFonts w:ascii="Times New Roman" w:hAnsi="Times New Roman" w:cs="Times New Roman"/>
                <w:color w:val="000000" w:themeColor="text1"/>
                <w:spacing w:val="-9"/>
                <w:sz w:val="21"/>
                <w:szCs w:val="21"/>
                <w:lang w:eastAsia="zh-CN"/>
                <w14:textFill>
                  <w14:solidFill>
                    <w14:schemeClr w14:val="tx1"/>
                  </w14:solidFill>
                </w14:textFill>
              </w:rPr>
              <w:t>年，</w:t>
            </w:r>
            <w:r>
              <w:rPr>
                <w:rFonts w:ascii="Times New Roman" w:hAnsi="Times New Roman" w:cs="Times New Roman"/>
                <w:color w:val="000000" w:themeColor="text1"/>
                <w:spacing w:val="-4"/>
                <w:sz w:val="21"/>
                <w:szCs w:val="21"/>
                <w:lang w:eastAsia="zh-CN"/>
                <w14:textFill>
                  <w14:solidFill>
                    <w14:schemeClr w14:val="tx1"/>
                  </w14:solidFill>
                </w14:textFill>
              </w:rPr>
              <w:t>各设区市</w:t>
            </w:r>
            <w:r>
              <w:rPr>
                <w:rFonts w:ascii="Times New Roman" w:hAnsi="Times New Roman" w:cs="Times New Roman"/>
                <w:color w:val="000000" w:themeColor="text1"/>
                <w:spacing w:val="2"/>
                <w:sz w:val="21"/>
                <w:szCs w:val="21"/>
                <w:lang w:eastAsia="zh-CN"/>
                <w14:textFill>
                  <w14:solidFill>
                    <w14:schemeClr w14:val="tx1"/>
                  </w14:solidFill>
                </w14:textFill>
              </w:rPr>
              <w:t xml:space="preserve"> </w:t>
            </w:r>
            <w:r>
              <w:rPr>
                <w:rFonts w:ascii="Times New Roman" w:hAnsi="Times New Roman" w:cs="Times New Roman"/>
                <w:color w:val="000000" w:themeColor="text1"/>
                <w:spacing w:val="-4"/>
                <w:sz w:val="21"/>
                <w:szCs w:val="21"/>
                <w:lang w:eastAsia="zh-CN"/>
                <w14:textFill>
                  <w14:solidFill>
                    <w14:schemeClr w14:val="tx1"/>
                  </w14:solidFill>
                </w14:textFill>
              </w:rPr>
              <w:t>建成区道</w:t>
            </w:r>
            <w:r>
              <w:rPr>
                <w:rFonts w:ascii="Times New Roman" w:hAnsi="Times New Roman" w:cs="Times New Roman"/>
                <w:color w:val="000000" w:themeColor="text1"/>
                <w:spacing w:val="-3"/>
                <w:sz w:val="21"/>
                <w:szCs w:val="21"/>
                <w:lang w:eastAsia="zh-CN"/>
                <w14:textFill>
                  <w14:solidFill>
                    <w14:schemeClr w14:val="tx1"/>
                  </w14:solidFill>
                </w14:textFill>
              </w:rPr>
              <w:t>路机械化清扫率达</w:t>
            </w:r>
            <w:r>
              <w:rPr>
                <w:rFonts w:ascii="Times New Roman" w:hAnsi="Times New Roman" w:cs="Times New Roman"/>
                <w:color w:val="000000" w:themeColor="text1"/>
                <w:spacing w:val="-6"/>
                <w:sz w:val="21"/>
                <w:szCs w:val="21"/>
                <w:lang w:eastAsia="zh-CN"/>
                <w14:textFill>
                  <w14:solidFill>
                    <w14:schemeClr w14:val="tx1"/>
                  </w14:solidFill>
                </w14:textFill>
              </w:rPr>
              <w:t>到</w:t>
            </w:r>
            <w:r>
              <w:rPr>
                <w:rFonts w:ascii="Times New Roman" w:hAnsi="Times New Roman" w:cs="Times New Roman"/>
                <w:color w:val="000000" w:themeColor="text1"/>
                <w:spacing w:val="-47"/>
                <w:sz w:val="21"/>
                <w:szCs w:val="21"/>
                <w:lang w:eastAsia="zh-CN"/>
                <w14:textFill>
                  <w14:solidFill>
                    <w14:schemeClr w14:val="tx1"/>
                  </w14:solidFill>
                </w14:textFill>
              </w:rPr>
              <w:t xml:space="preserve"> </w:t>
            </w:r>
            <w:r>
              <w:rPr>
                <w:rFonts w:ascii="Times New Roman" w:hAnsi="Times New Roman" w:cs="Times New Roman"/>
                <w:color w:val="000000" w:themeColor="text1"/>
                <w:spacing w:val="-6"/>
                <w:sz w:val="21"/>
                <w:szCs w:val="21"/>
                <w:lang w:eastAsia="zh-CN"/>
                <w14:textFill>
                  <w14:solidFill>
                    <w14:schemeClr w14:val="tx1"/>
                  </w14:solidFill>
                </w14:textFill>
              </w:rPr>
              <w:t>95%以</w:t>
            </w:r>
            <w:r>
              <w:rPr>
                <w:rFonts w:ascii="Times New Roman" w:hAnsi="Times New Roman" w:cs="Times New Roman"/>
                <w:color w:val="000000" w:themeColor="text1"/>
                <w:spacing w:val="-3"/>
                <w:sz w:val="21"/>
                <w:szCs w:val="21"/>
                <w:lang w:eastAsia="zh-CN"/>
                <w14:textFill>
                  <w14:solidFill>
                    <w14:schemeClr w14:val="tx1"/>
                  </w14:solidFill>
                </w14:textFill>
              </w:rPr>
              <w:t>上，县城</w:t>
            </w:r>
            <w:r>
              <w:rPr>
                <w:rFonts w:ascii="Times New Roman" w:hAnsi="Times New Roman" w:cs="Times New Roman"/>
                <w:color w:val="000000" w:themeColor="text1"/>
                <w:spacing w:val="-4"/>
                <w:sz w:val="21"/>
                <w:szCs w:val="21"/>
                <w:lang w:eastAsia="zh-CN"/>
                <w14:textFill>
                  <w14:solidFill>
                    <w14:schemeClr w14:val="tx1"/>
                  </w14:solidFill>
                </w14:textFill>
              </w:rPr>
              <w:t>达到</w:t>
            </w:r>
            <w:r>
              <w:rPr>
                <w:rFonts w:ascii="Times New Roman" w:hAnsi="Times New Roman" w:cs="Times New Roman"/>
                <w:color w:val="000000" w:themeColor="text1"/>
                <w:spacing w:val="-50"/>
                <w:sz w:val="21"/>
                <w:szCs w:val="21"/>
                <w:lang w:eastAsia="zh-CN"/>
                <w14:textFill>
                  <w14:solidFill>
                    <w14:schemeClr w14:val="tx1"/>
                  </w14:solidFill>
                </w14:textFill>
              </w:rPr>
              <w:t xml:space="preserve"> </w:t>
            </w:r>
            <w:r>
              <w:rPr>
                <w:rFonts w:ascii="Times New Roman" w:hAnsi="Times New Roman" w:cs="Times New Roman"/>
                <w:color w:val="000000" w:themeColor="text1"/>
                <w:spacing w:val="-4"/>
                <w:sz w:val="21"/>
                <w:szCs w:val="21"/>
                <w:lang w:eastAsia="zh-CN"/>
                <w14:textFill>
                  <w14:solidFill>
                    <w14:schemeClr w14:val="tx1"/>
                  </w14:solidFill>
                </w14:textFill>
              </w:rPr>
              <w:t>90%</w:t>
            </w:r>
            <w:r>
              <w:rPr>
                <w:rFonts w:ascii="Times New Roman" w:hAnsi="Times New Roman" w:cs="Times New Roman"/>
                <w:color w:val="000000" w:themeColor="text1"/>
                <w:spacing w:val="-7"/>
                <w:sz w:val="21"/>
                <w:szCs w:val="21"/>
                <w:lang w:eastAsia="zh-CN"/>
                <w14:textFill>
                  <w14:solidFill>
                    <w14:schemeClr w14:val="tx1"/>
                  </w14:solidFill>
                </w14:textFill>
              </w:rPr>
              <w:t>以上。各</w:t>
            </w:r>
            <w:r>
              <w:rPr>
                <w:rFonts w:ascii="Times New Roman" w:hAnsi="Times New Roman" w:cs="Times New Roman"/>
                <w:color w:val="000000" w:themeColor="text1"/>
                <w:spacing w:val="-4"/>
                <w:sz w:val="21"/>
                <w:szCs w:val="21"/>
                <w:lang w:eastAsia="zh-CN"/>
                <w14:textFill>
                  <w14:solidFill>
                    <w14:schemeClr w14:val="tx1"/>
                  </w14:solidFill>
                </w14:textFill>
              </w:rPr>
              <w:t>市平均降尘量到2025</w:t>
            </w:r>
            <w:r>
              <w:rPr>
                <w:rFonts w:ascii="Times New Roman" w:hAnsi="Times New Roman" w:cs="Times New Roman"/>
                <w:color w:val="000000" w:themeColor="text1"/>
                <w:spacing w:val="-50"/>
                <w:sz w:val="21"/>
                <w:szCs w:val="21"/>
                <w:lang w:eastAsia="zh-CN"/>
                <w14:textFill>
                  <w14:solidFill>
                    <w14:schemeClr w14:val="tx1"/>
                  </w14:solidFill>
                </w14:textFill>
              </w:rPr>
              <w:t xml:space="preserve"> </w:t>
            </w:r>
            <w:r>
              <w:rPr>
                <w:rFonts w:ascii="Times New Roman" w:hAnsi="Times New Roman" w:cs="Times New Roman"/>
                <w:color w:val="000000" w:themeColor="text1"/>
                <w:spacing w:val="-4"/>
                <w:sz w:val="21"/>
                <w:szCs w:val="21"/>
                <w:lang w:eastAsia="zh-CN"/>
                <w14:textFill>
                  <w14:solidFill>
                    <w14:schemeClr w14:val="tx1"/>
                  </w14:solidFill>
                </w14:textFill>
              </w:rPr>
              <w:t>年不</w:t>
            </w:r>
            <w:r>
              <w:rPr>
                <w:rFonts w:ascii="Times New Roman" w:hAnsi="Times New Roman" w:cs="Times New Roman"/>
                <w:color w:val="000000" w:themeColor="text1"/>
                <w:spacing w:val="-7"/>
                <w:sz w:val="21"/>
                <w:szCs w:val="21"/>
                <w:lang w:eastAsia="zh-CN"/>
                <w14:textFill>
                  <w14:solidFill>
                    <w14:schemeClr w14:val="tx1"/>
                  </w14:solidFill>
                </w14:textFill>
              </w:rPr>
              <w:t>得高于</w:t>
            </w:r>
            <w:r>
              <w:rPr>
                <w:rFonts w:ascii="Times New Roman" w:hAnsi="Times New Roman" w:cs="Times New Roman"/>
                <w:color w:val="000000" w:themeColor="text1"/>
                <w:spacing w:val="-45"/>
                <w:sz w:val="21"/>
                <w:szCs w:val="21"/>
                <w:lang w:eastAsia="zh-CN"/>
                <w14:textFill>
                  <w14:solidFill>
                    <w14:schemeClr w14:val="tx1"/>
                  </w14:solidFill>
                </w14:textFill>
              </w:rPr>
              <w:t xml:space="preserve"> </w:t>
            </w:r>
            <w:r>
              <w:rPr>
                <w:rFonts w:ascii="Times New Roman" w:hAnsi="Times New Roman" w:cs="Times New Roman"/>
                <w:color w:val="000000" w:themeColor="text1"/>
                <w:spacing w:val="-7"/>
                <w:sz w:val="21"/>
                <w:szCs w:val="21"/>
                <w:lang w:eastAsia="zh-CN"/>
                <w14:textFill>
                  <w14:solidFill>
                    <w14:schemeClr w14:val="tx1"/>
                  </w14:solidFill>
                </w14:textFill>
              </w:rPr>
              <w:t xml:space="preserve">7 </w:t>
            </w:r>
            <w:r>
              <w:rPr>
                <w:rFonts w:ascii="Times New Roman" w:hAnsi="Times New Roman" w:cs="Times New Roman"/>
                <w:color w:val="000000" w:themeColor="text1"/>
                <w:spacing w:val="-5"/>
                <w:sz w:val="21"/>
                <w:szCs w:val="21"/>
                <w:lang w:eastAsia="zh-CN"/>
                <w14:textFill>
                  <w14:solidFill>
                    <w14:schemeClr w14:val="tx1"/>
                  </w14:solidFill>
                </w14:textFill>
              </w:rPr>
              <w:t>吨/月·平</w:t>
            </w:r>
            <w:r>
              <w:rPr>
                <w:rFonts w:ascii="Times New Roman" w:hAnsi="Times New Roman" w:cs="Times New Roman"/>
                <w:color w:val="000000" w:themeColor="text1"/>
                <w:spacing w:val="9"/>
                <w:sz w:val="21"/>
                <w:szCs w:val="21"/>
                <w:lang w:eastAsia="zh-CN"/>
                <w14:textFill>
                  <w14:solidFill>
                    <w14:schemeClr w14:val="tx1"/>
                  </w14:solidFill>
                </w14:textFill>
              </w:rPr>
              <w:t>方公里。</w:t>
            </w:r>
          </w:p>
        </w:tc>
        <w:tc>
          <w:tcPr>
            <w:tcW w:w="3647" w:type="dxa"/>
            <w:noWrap w:val="0"/>
            <w:vAlign w:val="center"/>
          </w:tcPr>
          <w:p w14:paraId="05A5803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3"/>
                <w:sz w:val="21"/>
                <w:szCs w:val="21"/>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1、本项目不属于</w:t>
            </w:r>
            <w:r>
              <w:rPr>
                <w:rFonts w:hint="default" w:ascii="Times New Roman" w:hAnsi="Times New Roman" w:cs="Times New Roman"/>
                <w:color w:val="000000" w:themeColor="text1"/>
                <w:spacing w:val="-3"/>
                <w:sz w:val="21"/>
                <w:szCs w:val="21"/>
                <w:lang w:eastAsia="zh-CN"/>
                <w14:textFill>
                  <w14:solidFill>
                    <w14:schemeClr w14:val="tx1"/>
                  </w14:solidFill>
                </w14:textFill>
              </w:rPr>
              <w:t>钢铁、焦化等重点行业</w:t>
            </w:r>
            <w:r>
              <w:rPr>
                <w:rFonts w:hint="eastAsia" w:ascii="Times New Roman" w:hAnsi="Times New Roman" w:cs="Times New Roman"/>
                <w:color w:val="000000" w:themeColor="text1"/>
                <w:spacing w:val="-3"/>
                <w:sz w:val="21"/>
                <w:szCs w:val="21"/>
                <w:lang w:eastAsia="zh-CN"/>
                <w14:textFill>
                  <w14:solidFill>
                    <w14:schemeClr w14:val="tx1"/>
                  </w14:solidFill>
                </w14:textFill>
              </w:rPr>
              <w:t>；</w:t>
            </w:r>
          </w:p>
          <w:p w14:paraId="6D1EE13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2、本项目不使用</w:t>
            </w:r>
            <w:r>
              <w:rPr>
                <w:rFonts w:hint="default" w:ascii="Times New Roman" w:hAnsi="Times New Roman" w:cs="Times New Roman"/>
                <w:color w:val="000000" w:themeColor="text1"/>
                <w:spacing w:val="-3"/>
                <w:sz w:val="21"/>
                <w:szCs w:val="21"/>
                <w:lang w:eastAsia="zh-CN"/>
                <w14:textFill>
                  <w14:solidFill>
                    <w14:schemeClr w14:val="tx1"/>
                  </w14:solidFill>
                </w14:textFill>
              </w:rPr>
              <w:t>国三及以下排放标准</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的车辆；</w:t>
            </w:r>
          </w:p>
          <w:p w14:paraId="3BC09BA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3、厂区定期洒水降尘。</w:t>
            </w:r>
          </w:p>
        </w:tc>
        <w:tc>
          <w:tcPr>
            <w:tcW w:w="253" w:type="pct"/>
            <w:noWrap w:val="0"/>
            <w:vAlign w:val="center"/>
          </w:tcPr>
          <w:p w14:paraId="088BC7B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72B21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76EB352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33C807C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7649137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7CC919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bCs/>
                <w:color w:val="000000" w:themeColor="text1"/>
                <w:sz w:val="21"/>
                <w:szCs w:val="21"/>
                <w14:textFill>
                  <w14:solidFill>
                    <w14:schemeClr w14:val="tx1"/>
                  </w14:solidFill>
                </w14:textFill>
              </w:rPr>
              <w:t>环境风险防控</w:t>
            </w:r>
          </w:p>
        </w:tc>
        <w:tc>
          <w:tcPr>
            <w:tcW w:w="2295" w:type="pct"/>
            <w:noWrap w:val="0"/>
            <w:vAlign w:val="center"/>
          </w:tcPr>
          <w:p w14:paraId="2018CF2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pacing w:val="-11"/>
                <w:sz w:val="21"/>
                <w:szCs w:val="21"/>
                <w:lang w:eastAsia="zh-CN"/>
                <w14:textFill>
                  <w14:solidFill>
                    <w14:schemeClr w14:val="tx1"/>
                  </w14:solidFill>
                </w14:textFill>
              </w:rPr>
            </w:pPr>
            <w:r>
              <w:rPr>
                <w:rFonts w:ascii="Times New Roman" w:hAnsi="Times New Roman" w:cs="Times New Roman"/>
                <w:color w:val="000000" w:themeColor="text1"/>
                <w:spacing w:val="-11"/>
                <w:sz w:val="21"/>
                <w:szCs w:val="21"/>
                <w:lang w:eastAsia="zh-CN"/>
                <w14:textFill>
                  <w14:solidFill>
                    <w14:schemeClr w14:val="tx1"/>
                  </w14:solidFill>
                </w14:textFill>
              </w:rPr>
              <w:t>1、</w:t>
            </w:r>
            <w:r>
              <w:rPr>
                <w:rFonts w:ascii="Times New Roman" w:hAnsi="Times New Roman" w:cs="Times New Roman"/>
                <w:color w:val="000000" w:themeColor="text1"/>
                <w:spacing w:val="-6"/>
                <w:sz w:val="21"/>
                <w:szCs w:val="21"/>
                <w:lang w:eastAsia="zh-CN"/>
                <w14:textFill>
                  <w14:solidFill>
                    <w14:schemeClr w14:val="tx1"/>
                  </w14:solidFill>
                </w14:textFill>
              </w:rPr>
              <w:t>实施重</w:t>
            </w:r>
            <w:r>
              <w:rPr>
                <w:rFonts w:ascii="Times New Roman" w:hAnsi="Times New Roman" w:cs="Times New Roman"/>
                <w:color w:val="000000" w:themeColor="text1"/>
                <w:spacing w:val="-3"/>
                <w:sz w:val="21"/>
                <w:szCs w:val="21"/>
                <w:lang w:eastAsia="zh-CN"/>
                <w14:textFill>
                  <w14:solidFill>
                    <w14:schemeClr w14:val="tx1"/>
                  </w14:solidFill>
                </w14:textFill>
              </w:rPr>
              <w:t>污染企业</w:t>
            </w:r>
            <w:r>
              <w:rPr>
                <w:rFonts w:ascii="Times New Roman" w:hAnsi="Times New Roman" w:cs="Times New Roman"/>
                <w:color w:val="000000" w:themeColor="text1"/>
                <w:spacing w:val="-4"/>
                <w:sz w:val="21"/>
                <w:szCs w:val="21"/>
                <w:lang w:eastAsia="zh-CN"/>
                <w14:textFill>
                  <w14:solidFill>
                    <w14:schemeClr w14:val="tx1"/>
                  </w14:solidFill>
                </w14:textFill>
              </w:rPr>
              <w:t>退城搬</w:t>
            </w:r>
            <w:r>
              <w:rPr>
                <w:rFonts w:ascii="Times New Roman" w:hAnsi="Times New Roman" w:cs="Times New Roman"/>
                <w:color w:val="000000" w:themeColor="text1"/>
                <w:spacing w:val="-3"/>
                <w:sz w:val="21"/>
                <w:szCs w:val="21"/>
                <w:lang w:eastAsia="zh-CN"/>
                <w14:textFill>
                  <w14:solidFill>
                    <w14:schemeClr w14:val="tx1"/>
                  </w14:solidFill>
                </w14:textFill>
              </w:rPr>
              <w:t>迁，加快城市建成区、人群密集区、重点流域的重污染企业和危险化学品等环境风险大的企业搬迁改造、关停退出，推动实施一</w:t>
            </w:r>
            <w:r>
              <w:rPr>
                <w:rFonts w:ascii="Times New Roman" w:hAnsi="Times New Roman" w:cs="Times New Roman"/>
                <w:color w:val="000000" w:themeColor="text1"/>
                <w:spacing w:val="16"/>
                <w:sz w:val="21"/>
                <w:szCs w:val="21"/>
                <w:lang w:eastAsia="zh-CN"/>
                <w14:textFill>
                  <w14:solidFill>
                    <w14:schemeClr w14:val="tx1"/>
                  </w14:solidFill>
                </w14:textFill>
              </w:rPr>
              <w:t>批水泥、</w:t>
            </w:r>
            <w:r>
              <w:rPr>
                <w:rFonts w:ascii="Times New Roman" w:hAnsi="Times New Roman" w:cs="Times New Roman"/>
                <w:color w:val="000000" w:themeColor="text1"/>
                <w:spacing w:val="11"/>
                <w:sz w:val="21"/>
                <w:szCs w:val="21"/>
                <w:lang w:eastAsia="zh-CN"/>
                <w14:textFill>
                  <w14:solidFill>
                    <w14:schemeClr w14:val="tx1"/>
                  </w14:solidFill>
                </w14:textFill>
              </w:rPr>
              <w:t>玻璃、焦化、化工等重污染企业退城</w:t>
            </w:r>
            <w:r>
              <w:rPr>
                <w:rFonts w:ascii="Times New Roman" w:hAnsi="Times New Roman" w:cs="Times New Roman"/>
                <w:color w:val="000000" w:themeColor="text1"/>
                <w:spacing w:val="-11"/>
                <w:sz w:val="21"/>
                <w:szCs w:val="21"/>
                <w:lang w:eastAsia="zh-CN"/>
                <w14:textFill>
                  <w14:solidFill>
                    <w14:schemeClr w14:val="tx1"/>
                  </w14:solidFill>
                </w14:textFill>
              </w:rPr>
              <w:t>工程。</w:t>
            </w:r>
          </w:p>
          <w:p w14:paraId="3355B96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ascii="Times New Roman" w:hAnsi="Times New Roman" w:cs="Times New Roman"/>
                <w:color w:val="000000" w:themeColor="text1"/>
                <w:spacing w:val="-11"/>
                <w:sz w:val="21"/>
                <w:szCs w:val="21"/>
                <w:lang w:eastAsia="zh-CN"/>
                <w14:textFill>
                  <w14:solidFill>
                    <w14:schemeClr w14:val="tx1"/>
                  </w14:solidFill>
                </w14:textFill>
              </w:rPr>
              <w:t>2、</w:t>
            </w:r>
            <w:r>
              <w:rPr>
                <w:rFonts w:ascii="Times New Roman" w:hAnsi="Times New Roman" w:cs="Times New Roman"/>
                <w:color w:val="000000" w:themeColor="text1"/>
                <w:spacing w:val="1"/>
                <w:sz w:val="21"/>
                <w:szCs w:val="21"/>
                <w:lang w:eastAsia="zh-CN"/>
                <w14:textFill>
                  <w14:solidFill>
                    <w14:schemeClr w14:val="tx1"/>
                  </w14:solidFill>
                </w14:textFill>
              </w:rPr>
              <w:t xml:space="preserve"> </w:t>
            </w:r>
            <w:r>
              <w:rPr>
                <w:rFonts w:ascii="Times New Roman" w:hAnsi="Times New Roman" w:cs="Times New Roman"/>
                <w:color w:val="000000" w:themeColor="text1"/>
                <w:spacing w:val="11"/>
                <w:sz w:val="21"/>
                <w:szCs w:val="21"/>
                <w:lang w:eastAsia="zh-CN"/>
                <w14:textFill>
                  <w14:solidFill>
                    <w14:schemeClr w14:val="tx1"/>
                  </w14:solidFill>
                </w14:textFill>
              </w:rPr>
              <w:t>提升城乡极端气候事件监测预警、防灾减灾综合评估和风险管控能力，保障城乡建设和基础</w:t>
            </w:r>
            <w:r>
              <w:rPr>
                <w:rFonts w:ascii="Times New Roman" w:hAnsi="Times New Roman" w:cs="Times New Roman"/>
                <w:color w:val="000000" w:themeColor="text1"/>
                <w:spacing w:val="-5"/>
                <w:sz w:val="21"/>
                <w:szCs w:val="21"/>
                <w:lang w:eastAsia="zh-CN"/>
                <w14:textFill>
                  <w14:solidFill>
                    <w14:schemeClr w14:val="tx1"/>
                  </w14:solidFill>
                </w14:textFill>
              </w:rPr>
              <w:t>设施安</w:t>
            </w:r>
            <w:r>
              <w:rPr>
                <w:rFonts w:ascii="Times New Roman" w:hAnsi="Times New Roman" w:cs="Times New Roman"/>
                <w:color w:val="000000" w:themeColor="text1"/>
                <w:spacing w:val="-3"/>
                <w:sz w:val="21"/>
                <w:szCs w:val="21"/>
                <w:lang w:eastAsia="zh-CN"/>
                <w14:textFill>
                  <w14:solidFill>
                    <w14:schemeClr w14:val="tx1"/>
                  </w14:solidFill>
                </w14:textFill>
              </w:rPr>
              <w:t>全。适时开展气候变化影响</w:t>
            </w:r>
            <w:r>
              <w:rPr>
                <w:rFonts w:ascii="Times New Roman" w:hAnsi="Times New Roman" w:cs="Times New Roman"/>
                <w:color w:val="000000" w:themeColor="text1"/>
                <w:spacing w:val="-4"/>
                <w:sz w:val="21"/>
                <w:szCs w:val="21"/>
                <w:lang w:eastAsia="zh-CN"/>
                <w14:textFill>
                  <w14:solidFill>
                    <w14:schemeClr w14:val="tx1"/>
                  </w14:solidFill>
                </w14:textFill>
              </w:rPr>
              <w:t>风险评</w:t>
            </w:r>
            <w:r>
              <w:rPr>
                <w:rFonts w:ascii="Times New Roman" w:hAnsi="Times New Roman" w:cs="Times New Roman"/>
                <w:color w:val="000000" w:themeColor="text1"/>
                <w:spacing w:val="-3"/>
                <w:sz w:val="21"/>
                <w:szCs w:val="21"/>
                <w:lang w:eastAsia="zh-CN"/>
                <w14:textFill>
                  <w14:solidFill>
                    <w14:schemeClr w14:val="tx1"/>
                  </w14:solidFill>
                </w14:textFill>
              </w:rPr>
              <w:t>估，实施适应气候</w:t>
            </w:r>
            <w:r>
              <w:rPr>
                <w:rFonts w:ascii="Times New Roman" w:hAnsi="Times New Roman" w:cs="Times New Roman"/>
                <w:color w:val="000000" w:themeColor="text1"/>
                <w:spacing w:val="-4"/>
                <w:sz w:val="21"/>
                <w:szCs w:val="21"/>
                <w:lang w:eastAsia="zh-CN"/>
                <w14:textFill>
                  <w14:solidFill>
                    <w14:schemeClr w14:val="tx1"/>
                  </w14:solidFill>
                </w14:textFill>
              </w:rPr>
              <w:t>变化行</w:t>
            </w:r>
            <w:r>
              <w:rPr>
                <w:rFonts w:ascii="Times New Roman" w:hAnsi="Times New Roman" w:cs="Times New Roman"/>
                <w:color w:val="000000" w:themeColor="text1"/>
                <w:spacing w:val="-6"/>
                <w:sz w:val="21"/>
                <w:szCs w:val="21"/>
                <w:lang w:eastAsia="zh-CN"/>
                <w14:textFill>
                  <w14:solidFill>
                    <w14:schemeClr w14:val="tx1"/>
                  </w14:solidFill>
                </w14:textFill>
              </w:rPr>
              <w:t>动。</w:t>
            </w:r>
          </w:p>
        </w:tc>
        <w:tc>
          <w:tcPr>
            <w:tcW w:w="3647" w:type="dxa"/>
            <w:noWrap w:val="0"/>
            <w:vAlign w:val="center"/>
          </w:tcPr>
          <w:p w14:paraId="3259BA17">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本项目不涉及。</w:t>
            </w:r>
          </w:p>
        </w:tc>
        <w:tc>
          <w:tcPr>
            <w:tcW w:w="253" w:type="pct"/>
            <w:noWrap w:val="0"/>
            <w:vAlign w:val="center"/>
          </w:tcPr>
          <w:p w14:paraId="4B282DF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0398F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126D586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49F35B2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00B74EF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329" w:type="pct"/>
            <w:noWrap w:val="0"/>
            <w:vAlign w:val="center"/>
          </w:tcPr>
          <w:p w14:paraId="63130B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color w:val="000000" w:themeColor="text1"/>
                <w:spacing w:val="-5"/>
                <w:sz w:val="21"/>
                <w:szCs w:val="21"/>
                <w14:textFill>
                  <w14:solidFill>
                    <w14:schemeClr w14:val="tx1"/>
                  </w14:solidFill>
                </w14:textFill>
              </w:rPr>
              <w:t>资源开发</w:t>
            </w:r>
            <w:r>
              <w:rPr>
                <w:color w:val="000000" w:themeColor="text1"/>
                <w:spacing w:val="-4"/>
                <w:sz w:val="21"/>
                <w:szCs w:val="21"/>
                <w14:textFill>
                  <w14:solidFill>
                    <w14:schemeClr w14:val="tx1"/>
                  </w14:solidFill>
                </w14:textFill>
              </w:rPr>
              <w:t>效率要求</w:t>
            </w:r>
          </w:p>
        </w:tc>
        <w:tc>
          <w:tcPr>
            <w:tcW w:w="2295" w:type="pct"/>
            <w:noWrap w:val="0"/>
            <w:vAlign w:val="center"/>
          </w:tcPr>
          <w:p w14:paraId="5A983EB7">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z w:val="21"/>
                <w:szCs w:val="21"/>
                <w:lang w:eastAsia="zh-CN"/>
                <w14:textFill>
                  <w14:solidFill>
                    <w14:schemeClr w14:val="tx1"/>
                  </w14:solidFill>
                </w14:textFill>
              </w:rPr>
              <w:t>1、</w:t>
            </w:r>
            <w:r>
              <w:rPr>
                <w:rFonts w:ascii="Times New Roman" w:hAnsi="Times New Roman" w:cs="Times New Roman"/>
                <w:color w:val="000000" w:themeColor="text1"/>
                <w:spacing w:val="-6"/>
                <w:sz w:val="21"/>
                <w:szCs w:val="21"/>
                <w:lang w:eastAsia="zh-CN"/>
                <w14:textFill>
                  <w14:solidFill>
                    <w14:schemeClr w14:val="tx1"/>
                  </w14:solidFill>
                </w14:textFill>
              </w:rPr>
              <w:t>在禁燃</w:t>
            </w:r>
            <w:r>
              <w:rPr>
                <w:rFonts w:ascii="Times New Roman" w:hAnsi="Times New Roman" w:cs="Times New Roman"/>
                <w:color w:val="000000" w:themeColor="text1"/>
                <w:spacing w:val="-3"/>
                <w:sz w:val="21"/>
                <w:szCs w:val="21"/>
                <w:lang w:eastAsia="zh-CN"/>
                <w14:textFill>
                  <w14:solidFill>
                    <w14:schemeClr w14:val="tx1"/>
                  </w14:solidFill>
                </w14:textFill>
              </w:rPr>
              <w:t>区内，禁</w:t>
            </w:r>
            <w:r>
              <w:rPr>
                <w:rFonts w:ascii="Times New Roman" w:hAnsi="Times New Roman" w:cs="Times New Roman"/>
                <w:color w:val="000000" w:themeColor="text1"/>
                <w:spacing w:val="3"/>
                <w:sz w:val="21"/>
                <w:szCs w:val="21"/>
                <w:lang w:eastAsia="zh-CN"/>
                <w14:textFill>
                  <w14:solidFill>
                    <w14:schemeClr w14:val="tx1"/>
                  </w14:solidFill>
                </w14:textFill>
              </w:rPr>
              <w:t>止销售、</w:t>
            </w:r>
            <w:r>
              <w:rPr>
                <w:rFonts w:ascii="Times New Roman" w:hAnsi="Times New Roman" w:cs="Times New Roman"/>
                <w:color w:val="000000" w:themeColor="text1"/>
                <w:spacing w:val="-3"/>
                <w:sz w:val="21"/>
                <w:szCs w:val="21"/>
                <w:lang w:eastAsia="zh-CN"/>
                <w14:textFill>
                  <w14:solidFill>
                    <w14:schemeClr w14:val="tx1"/>
                  </w14:solidFill>
                </w14:textFill>
              </w:rPr>
              <w:t>燃用高污染燃料；</w:t>
            </w:r>
            <w:r>
              <w:rPr>
                <w:rFonts w:ascii="Times New Roman" w:hAnsi="Times New Roman" w:cs="Times New Roman"/>
                <w:color w:val="000000" w:themeColor="text1"/>
                <w:spacing w:val="-4"/>
                <w:sz w:val="21"/>
                <w:szCs w:val="21"/>
                <w:lang w:eastAsia="zh-CN"/>
                <w14:textFill>
                  <w14:solidFill>
                    <w14:schemeClr w14:val="tx1"/>
                  </w14:solidFill>
                </w14:textFill>
              </w:rPr>
              <w:t>禁止新</w:t>
            </w:r>
            <w:r>
              <w:rPr>
                <w:rFonts w:ascii="Times New Roman" w:hAnsi="Times New Roman" w:cs="Times New Roman"/>
                <w:color w:val="000000" w:themeColor="text1"/>
                <w:spacing w:val="-3"/>
                <w:sz w:val="21"/>
                <w:szCs w:val="21"/>
                <w:lang w:eastAsia="zh-CN"/>
                <w14:textFill>
                  <w14:solidFill>
                    <w14:schemeClr w14:val="tx1"/>
                  </w14:solidFill>
                </w14:textFill>
              </w:rPr>
              <w:t>建、扩建燃用高污染燃料的设施，已建成的，应当在各省辖市、</w:t>
            </w:r>
            <w:r>
              <w:rPr>
                <w:rFonts w:ascii="Times New Roman" w:hAnsi="Times New Roman" w:cs="Times New Roman"/>
                <w:color w:val="000000" w:themeColor="text1"/>
                <w:spacing w:val="-7"/>
                <w:sz w:val="21"/>
                <w:szCs w:val="21"/>
                <w:lang w:eastAsia="zh-CN"/>
                <w14:textFill>
                  <w14:solidFill>
                    <w14:schemeClr w14:val="tx1"/>
                  </w14:solidFill>
                </w14:textFill>
              </w:rPr>
              <w:t>县（市）</w:t>
            </w:r>
            <w:r>
              <w:rPr>
                <w:rFonts w:ascii="Times New Roman" w:hAnsi="Times New Roman" w:cs="Times New Roman"/>
                <w:color w:val="000000" w:themeColor="text1"/>
                <w:spacing w:val="-3"/>
                <w:sz w:val="21"/>
                <w:szCs w:val="21"/>
                <w:lang w:eastAsia="zh-CN"/>
                <w14:textFill>
                  <w14:solidFill>
                    <w14:schemeClr w14:val="tx1"/>
                  </w14:solidFill>
                </w14:textFill>
              </w:rPr>
              <w:t>人民政府规定的期</w:t>
            </w:r>
            <w:r>
              <w:rPr>
                <w:rFonts w:ascii="Times New Roman" w:hAnsi="Times New Roman" w:cs="Times New Roman"/>
                <w:color w:val="000000" w:themeColor="text1"/>
                <w:spacing w:val="-7"/>
                <w:sz w:val="21"/>
                <w:szCs w:val="21"/>
                <w:lang w:eastAsia="zh-CN"/>
                <w14:textFill>
                  <w14:solidFill>
                    <w14:schemeClr w14:val="tx1"/>
                  </w14:solidFill>
                </w14:textFill>
              </w:rPr>
              <w:t>限内改用</w:t>
            </w:r>
            <w:r>
              <w:rPr>
                <w:rFonts w:ascii="Times New Roman" w:hAnsi="Times New Roman" w:cs="Times New Roman"/>
                <w:color w:val="000000" w:themeColor="text1"/>
                <w:spacing w:val="18"/>
                <w:sz w:val="21"/>
                <w:szCs w:val="21"/>
                <w:lang w:eastAsia="zh-CN"/>
                <w14:textFill>
                  <w14:solidFill>
                    <w14:schemeClr w14:val="tx1"/>
                  </w14:solidFill>
                </w14:textFill>
              </w:rPr>
              <w:t>天然气、页岩气、</w:t>
            </w:r>
            <w:r>
              <w:rPr>
                <w:rFonts w:ascii="Times New Roman" w:hAnsi="Times New Roman" w:cs="Times New Roman"/>
                <w:color w:val="000000" w:themeColor="text1"/>
                <w:spacing w:val="11"/>
                <w:sz w:val="21"/>
                <w:szCs w:val="21"/>
                <w:lang w:eastAsia="zh-CN"/>
                <w14:textFill>
                  <w14:solidFill>
                    <w14:schemeClr w14:val="tx1"/>
                  </w14:solidFill>
                </w14:textFill>
              </w:rPr>
              <w:t>液化石油气、电或者其他清</w:t>
            </w:r>
            <w:r>
              <w:rPr>
                <w:rFonts w:ascii="Times New Roman" w:hAnsi="Times New Roman" w:cs="Times New Roman"/>
                <w:color w:val="000000" w:themeColor="text1"/>
                <w:spacing w:val="20"/>
                <w:sz w:val="21"/>
                <w:szCs w:val="21"/>
                <w:lang w:eastAsia="zh-CN"/>
                <w14:textFill>
                  <w14:solidFill>
                    <w14:schemeClr w14:val="tx1"/>
                  </w14:solidFill>
                </w14:textFill>
              </w:rPr>
              <w:t>洁能源。</w:t>
            </w:r>
          </w:p>
          <w:p w14:paraId="6A8518B7">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2、基本实现城区集</w:t>
            </w:r>
            <w:r>
              <w:rPr>
                <w:rFonts w:ascii="Times New Roman" w:hAnsi="Times New Roman" w:cs="Times New Roman"/>
                <w:color w:val="000000" w:themeColor="text1"/>
                <w:spacing w:val="-8"/>
                <w:sz w:val="21"/>
                <w:szCs w:val="21"/>
                <w:lang w:eastAsia="zh-CN"/>
                <w14:textFill>
                  <w14:solidFill>
                    <w14:schemeClr w14:val="tx1"/>
                  </w14:solidFill>
                </w14:textFill>
              </w:rPr>
              <w:t>中供暖全</w:t>
            </w:r>
            <w:r>
              <w:rPr>
                <w:rFonts w:ascii="Times New Roman" w:hAnsi="Times New Roman" w:cs="Times New Roman"/>
                <w:color w:val="000000" w:themeColor="text1"/>
                <w:spacing w:val="29"/>
                <w:sz w:val="21"/>
                <w:szCs w:val="21"/>
                <w:lang w:eastAsia="zh-CN"/>
                <w14:textFill>
                  <w14:solidFill>
                    <w14:schemeClr w14:val="tx1"/>
                  </w14:solidFill>
                </w14:textFill>
              </w:rPr>
              <w:t>覆盖。</w:t>
            </w:r>
          </w:p>
        </w:tc>
        <w:tc>
          <w:tcPr>
            <w:tcW w:w="3647" w:type="dxa"/>
            <w:noWrap w:val="0"/>
            <w:vAlign w:val="center"/>
          </w:tcPr>
          <w:p w14:paraId="248BA2D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1、本项目不使用高污染燃料；</w:t>
            </w:r>
          </w:p>
          <w:p w14:paraId="2C283FC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2、本项目不涉及。</w:t>
            </w:r>
          </w:p>
        </w:tc>
        <w:tc>
          <w:tcPr>
            <w:tcW w:w="253" w:type="pct"/>
            <w:noWrap w:val="0"/>
            <w:vAlign w:val="center"/>
          </w:tcPr>
          <w:p w14:paraId="6168B30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0EFAE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restart"/>
            <w:noWrap w:val="0"/>
            <w:vAlign w:val="center"/>
          </w:tcPr>
          <w:p w14:paraId="6A9F6DB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YS4113242540001</w:t>
            </w:r>
          </w:p>
        </w:tc>
        <w:tc>
          <w:tcPr>
            <w:tcW w:w="270" w:type="pct"/>
            <w:vMerge w:val="restart"/>
            <w:noWrap w:val="0"/>
            <w:vAlign w:val="center"/>
          </w:tcPr>
          <w:p w14:paraId="517A8D2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河南省南阳市镇平县高污染燃料禁燃区</w:t>
            </w:r>
          </w:p>
        </w:tc>
        <w:tc>
          <w:tcPr>
            <w:tcW w:w="206" w:type="pct"/>
            <w:vMerge w:val="restart"/>
            <w:noWrap w:val="0"/>
            <w:vAlign w:val="center"/>
          </w:tcPr>
          <w:p w14:paraId="5FE6B47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重点</w:t>
            </w:r>
          </w:p>
        </w:tc>
        <w:tc>
          <w:tcPr>
            <w:tcW w:w="928" w:type="dxa"/>
            <w:noWrap w:val="0"/>
            <w:vAlign w:val="center"/>
          </w:tcPr>
          <w:p w14:paraId="0BB66E8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空间布局约束</w:t>
            </w:r>
          </w:p>
        </w:tc>
        <w:tc>
          <w:tcPr>
            <w:tcW w:w="2295" w:type="pct"/>
            <w:noWrap w:val="0"/>
            <w:vAlign w:val="center"/>
          </w:tcPr>
          <w:p w14:paraId="511E3C93">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pacing w:val="-3"/>
                <w:sz w:val="21"/>
                <w:szCs w:val="21"/>
                <w:lang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东至东十二里河，南至新312国道，西至西十二里河，北至宁西铁路以及县产业集聚区范围内</w:t>
            </w:r>
          </w:p>
        </w:tc>
        <w:tc>
          <w:tcPr>
            <w:tcW w:w="3647" w:type="dxa"/>
            <w:noWrap w:val="0"/>
            <w:vAlign w:val="center"/>
          </w:tcPr>
          <w:p w14:paraId="22899DE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本项目不使用高污染燃料。</w:t>
            </w:r>
          </w:p>
        </w:tc>
        <w:tc>
          <w:tcPr>
            <w:tcW w:w="253" w:type="pct"/>
            <w:noWrap w:val="0"/>
            <w:vAlign w:val="center"/>
          </w:tcPr>
          <w:p w14:paraId="43BA056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r w14:paraId="2B45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11D2EFB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031434E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42E520A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928" w:type="dxa"/>
            <w:noWrap w:val="0"/>
            <w:vAlign w:val="center"/>
          </w:tcPr>
          <w:p w14:paraId="3AEDF7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pacing w:val="-5"/>
                <w:sz w:val="21"/>
                <w:szCs w:val="21"/>
                <w14:textFill>
                  <w14:solidFill>
                    <w14:schemeClr w14:val="tx1"/>
                  </w14:solidFill>
                </w14:textFill>
              </w:rPr>
            </w:pPr>
            <w:r>
              <w:rPr>
                <w:color w:val="000000" w:themeColor="text1"/>
                <w:sz w:val="21"/>
                <w:szCs w:val="21"/>
                <w14:textFill>
                  <w14:solidFill>
                    <w14:schemeClr w14:val="tx1"/>
                  </w14:solidFill>
                </w14:textFill>
              </w:rPr>
              <w:t>污染物排放管控</w:t>
            </w:r>
          </w:p>
        </w:tc>
        <w:tc>
          <w:tcPr>
            <w:tcW w:w="2295" w:type="pct"/>
            <w:noWrap w:val="0"/>
            <w:vAlign w:val="center"/>
          </w:tcPr>
          <w:p w14:paraId="4893D3E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w:t>
            </w:r>
          </w:p>
        </w:tc>
        <w:tc>
          <w:tcPr>
            <w:tcW w:w="3647" w:type="dxa"/>
            <w:noWrap w:val="0"/>
            <w:vAlign w:val="center"/>
          </w:tcPr>
          <w:p w14:paraId="6B1369D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c>
          <w:tcPr>
            <w:tcW w:w="713" w:type="dxa"/>
            <w:noWrap w:val="0"/>
            <w:vAlign w:val="center"/>
          </w:tcPr>
          <w:p w14:paraId="2B95019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r>
      <w:tr w14:paraId="57AE6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4D0EE55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5F94C6E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0A057AD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928" w:type="dxa"/>
            <w:noWrap w:val="0"/>
            <w:vAlign w:val="center"/>
          </w:tcPr>
          <w:p w14:paraId="4F80B1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pacing w:val="-5"/>
                <w:sz w:val="21"/>
                <w:szCs w:val="21"/>
                <w14:textFill>
                  <w14:solidFill>
                    <w14:schemeClr w14:val="tx1"/>
                  </w14:solidFill>
                </w14:textFill>
              </w:rPr>
            </w:pPr>
            <w:r>
              <w:rPr>
                <w:bCs/>
                <w:color w:val="000000" w:themeColor="text1"/>
                <w:sz w:val="21"/>
                <w:szCs w:val="21"/>
                <w14:textFill>
                  <w14:solidFill>
                    <w14:schemeClr w14:val="tx1"/>
                  </w14:solidFill>
                </w14:textFill>
              </w:rPr>
              <w:t>环境风险防控</w:t>
            </w:r>
          </w:p>
        </w:tc>
        <w:tc>
          <w:tcPr>
            <w:tcW w:w="2295" w:type="pct"/>
            <w:noWrap w:val="0"/>
            <w:vAlign w:val="center"/>
          </w:tcPr>
          <w:p w14:paraId="0BBD265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pacing w:val="-3"/>
                <w:sz w:val="21"/>
                <w:szCs w:val="21"/>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w:t>
            </w:r>
          </w:p>
        </w:tc>
        <w:tc>
          <w:tcPr>
            <w:tcW w:w="3647" w:type="dxa"/>
            <w:noWrap w:val="0"/>
            <w:vAlign w:val="center"/>
          </w:tcPr>
          <w:p w14:paraId="21DF3F8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c>
          <w:tcPr>
            <w:tcW w:w="713" w:type="dxa"/>
            <w:noWrap w:val="0"/>
            <w:vAlign w:val="center"/>
          </w:tcPr>
          <w:p w14:paraId="435F46D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w:t>
            </w:r>
          </w:p>
        </w:tc>
      </w:tr>
      <w:tr w14:paraId="46D77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346" w:type="pct"/>
            <w:vMerge w:val="continue"/>
            <w:noWrap w:val="0"/>
            <w:vAlign w:val="center"/>
          </w:tcPr>
          <w:p w14:paraId="641BDB4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70" w:type="pct"/>
            <w:vMerge w:val="continue"/>
            <w:noWrap w:val="0"/>
            <w:vAlign w:val="center"/>
          </w:tcPr>
          <w:p w14:paraId="7810C45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206" w:type="pct"/>
            <w:vMerge w:val="continue"/>
            <w:noWrap w:val="0"/>
            <w:vAlign w:val="center"/>
          </w:tcPr>
          <w:p w14:paraId="5278CB4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928" w:type="dxa"/>
            <w:noWrap w:val="0"/>
            <w:vAlign w:val="center"/>
          </w:tcPr>
          <w:p w14:paraId="3D3DD8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pacing w:val="-5"/>
                <w:sz w:val="21"/>
                <w:szCs w:val="21"/>
                <w14:textFill>
                  <w14:solidFill>
                    <w14:schemeClr w14:val="tx1"/>
                  </w14:solidFill>
                </w14:textFill>
              </w:rPr>
            </w:pPr>
            <w:r>
              <w:rPr>
                <w:color w:val="000000" w:themeColor="text1"/>
                <w:spacing w:val="-5"/>
                <w:sz w:val="21"/>
                <w:szCs w:val="21"/>
                <w14:textFill>
                  <w14:solidFill>
                    <w14:schemeClr w14:val="tx1"/>
                  </w14:solidFill>
                </w14:textFill>
              </w:rPr>
              <w:t>资源开发</w:t>
            </w:r>
            <w:r>
              <w:rPr>
                <w:color w:val="000000" w:themeColor="text1"/>
                <w:spacing w:val="-4"/>
                <w:sz w:val="21"/>
                <w:szCs w:val="21"/>
                <w14:textFill>
                  <w14:solidFill>
                    <w14:schemeClr w14:val="tx1"/>
                  </w14:solidFill>
                </w14:textFill>
              </w:rPr>
              <w:t>效率要求</w:t>
            </w:r>
          </w:p>
        </w:tc>
        <w:tc>
          <w:tcPr>
            <w:tcW w:w="2295" w:type="pct"/>
            <w:noWrap w:val="0"/>
            <w:vAlign w:val="center"/>
          </w:tcPr>
          <w:p w14:paraId="687FE6C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ascii="Times New Roman" w:hAnsi="Times New Roman" w:cs="Times New Roman"/>
                <w:color w:val="000000" w:themeColor="text1"/>
                <w:spacing w:val="-3"/>
                <w:sz w:val="21"/>
                <w:szCs w:val="21"/>
                <w:lang w:eastAsia="zh-CN"/>
                <w14:textFill>
                  <w14:solidFill>
                    <w14:schemeClr w14:val="tx1"/>
                  </w14:solidFill>
                </w14:textFill>
              </w:rPr>
            </w:pPr>
            <w:r>
              <w:rPr>
                <w:rFonts w:hint="eastAsia" w:ascii="Times New Roman" w:hAnsi="Times New Roman" w:cs="Times New Roman"/>
                <w:color w:val="000000" w:themeColor="text1"/>
                <w:spacing w:val="-3"/>
                <w:sz w:val="21"/>
                <w:szCs w:val="21"/>
                <w:lang w:val="en-US" w:eastAsia="zh-CN"/>
                <w14:textFill>
                  <w14:solidFill>
                    <w14:schemeClr w14:val="tx1"/>
                  </w14:solidFill>
                </w14:textFill>
              </w:rPr>
              <w:t>禁止销售、使用煤等高污染燃料，现有使用高污染燃料的单位和个人，应当按照市、县（市）人民政府规定的期限改用清洁能源或拆除使用高污染燃料的设施。</w:t>
            </w:r>
          </w:p>
        </w:tc>
        <w:tc>
          <w:tcPr>
            <w:tcW w:w="3647" w:type="dxa"/>
            <w:noWrap w:val="0"/>
            <w:vAlign w:val="center"/>
          </w:tcPr>
          <w:p w14:paraId="63938A5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本项目不使用高污染燃料。</w:t>
            </w:r>
          </w:p>
        </w:tc>
        <w:tc>
          <w:tcPr>
            <w:tcW w:w="253" w:type="pct"/>
            <w:noWrap w:val="0"/>
            <w:vAlign w:val="center"/>
          </w:tcPr>
          <w:p w14:paraId="1C8A833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相符</w:t>
            </w:r>
          </w:p>
        </w:tc>
      </w:tr>
    </w:tbl>
    <w:p w14:paraId="0D30EE59">
      <w:pPr>
        <w:spacing w:line="360" w:lineRule="auto"/>
        <w:ind w:firstLine="480" w:firstLineChars="200"/>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bCs/>
          <w:color w:val="000000" w:themeColor="text1"/>
          <w:szCs w:val="24"/>
          <w:lang w:val="en-US" w:eastAsia="zh-CN"/>
          <w14:textFill>
            <w14:solidFill>
              <w14:schemeClr w14:val="tx1"/>
            </w14:solidFill>
          </w14:textFill>
        </w:rPr>
        <w:t>综合上述分析，</w:t>
      </w:r>
      <w:r>
        <w:rPr>
          <w:rFonts w:hint="eastAsia" w:ascii="宋体" w:hAnsi="宋体" w:eastAsia="宋体" w:cs="宋体"/>
          <w:bCs/>
          <w:color w:val="000000" w:themeColor="text1"/>
          <w:szCs w:val="24"/>
          <w14:textFill>
            <w14:solidFill>
              <w14:schemeClr w14:val="tx1"/>
            </w14:solidFill>
          </w14:textFill>
        </w:rPr>
        <w:t>项目</w:t>
      </w:r>
      <w:r>
        <w:rPr>
          <w:rFonts w:hint="eastAsia" w:ascii="宋体" w:hAnsi="宋体" w:eastAsia="宋体" w:cs="宋体"/>
          <w:bCs/>
          <w:color w:val="000000" w:themeColor="text1"/>
          <w:szCs w:val="24"/>
          <w:lang w:val="en-US" w:eastAsia="zh-CN"/>
          <w14:textFill>
            <w14:solidFill>
              <w14:schemeClr w14:val="tx1"/>
            </w14:solidFill>
          </w14:textFill>
        </w:rPr>
        <w:t>建设满足南阳市</w:t>
      </w:r>
      <w:r>
        <w:rPr>
          <w:rFonts w:hint="eastAsia" w:ascii="宋体" w:hAnsi="宋体" w:eastAsia="宋体" w:cs="宋体"/>
          <w:bCs/>
          <w:color w:val="000000" w:themeColor="text1"/>
          <w:kern w:val="21"/>
          <w:szCs w:val="24"/>
          <w14:textFill>
            <w14:solidFill>
              <w14:schemeClr w14:val="tx1"/>
            </w14:solidFill>
          </w14:textFill>
        </w:rPr>
        <w:t>“三线一单”生态环境准入清单</w:t>
      </w:r>
      <w:r>
        <w:rPr>
          <w:rFonts w:hint="eastAsia" w:ascii="宋体" w:hAnsi="宋体" w:eastAsia="宋体" w:cs="宋体"/>
          <w:bCs/>
          <w:color w:val="000000" w:themeColor="text1"/>
          <w:kern w:val="21"/>
          <w:szCs w:val="24"/>
          <w:lang w:val="en-US" w:eastAsia="zh-CN"/>
          <w14:textFill>
            <w14:solidFill>
              <w14:schemeClr w14:val="tx1"/>
            </w14:solidFill>
          </w14:textFill>
        </w:rPr>
        <w:t>相关管控要求。</w:t>
      </w:r>
    </w:p>
    <w:p w14:paraId="1D628D91">
      <w:pPr>
        <w:ind w:left="0" w:leftChars="0" w:firstLine="0" w:firstLineChars="0"/>
        <w:sectPr>
          <w:pgSz w:w="16838" w:h="11906" w:orient="landscape"/>
          <w:pgMar w:top="1440" w:right="1440" w:bottom="1440" w:left="1440" w:header="851" w:footer="992" w:gutter="0"/>
          <w:cols w:space="0" w:num="1"/>
          <w:rtlGutter w:val="0"/>
          <w:docGrid w:type="lines" w:linePitch="312" w:charSpace="0"/>
        </w:sectPr>
      </w:pPr>
    </w:p>
    <w:p w14:paraId="2E471B3A">
      <w:pPr>
        <w:pStyle w:val="2"/>
        <w:spacing w:before="31" w:after="6"/>
        <w:jc w:val="center"/>
        <w:rPr>
          <w:color w:val="000000" w:themeColor="text1"/>
          <w14:textFill>
            <w14:solidFill>
              <w14:schemeClr w14:val="tx1"/>
            </w14:solidFill>
          </w14:textFill>
        </w:rPr>
      </w:pPr>
      <w:bookmarkStart w:id="13" w:name="_Toc13377"/>
      <w:bookmarkStart w:id="14" w:name="_Toc14465"/>
      <w:bookmarkStart w:id="15" w:name="_Toc11170"/>
      <w:r>
        <w:rPr>
          <w:rFonts w:hint="eastAsia"/>
          <w:color w:val="000000" w:themeColor="text1"/>
          <w14:textFill>
            <w14:solidFill>
              <w14:schemeClr w14:val="tx1"/>
            </w14:solidFill>
          </w14:textFill>
        </w:rPr>
        <w:t>二、建设项目工程分析</w:t>
      </w:r>
      <w:bookmarkEnd w:id="13"/>
      <w:bookmarkEnd w:id="14"/>
      <w:bookmarkEnd w:id="15"/>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456"/>
        <w:gridCol w:w="8786"/>
      </w:tblGrid>
      <w:tr w14:paraId="706FF06D">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6" w:type="pct"/>
            <w:vAlign w:val="center"/>
          </w:tcPr>
          <w:p w14:paraId="7CF611CE">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14:textFill>
                  <w14:solidFill>
                    <w14:schemeClr w14:val="tx1"/>
                  </w14:solidFill>
                </w14:textFill>
              </w:rPr>
            </w:pPr>
            <w:r>
              <w:rPr>
                <w:rFonts w:hint="eastAsia" w:ascii="黑体" w:hAnsi="黑体" w:eastAsia="黑体" w:cs="黑体"/>
                <w:b w:val="0"/>
                <w:bCs w:val="0"/>
                <w:color w:val="000000" w:themeColor="text1"/>
                <w:sz w:val="24"/>
                <w:szCs w:val="24"/>
                <w14:textFill>
                  <w14:solidFill>
                    <w14:schemeClr w14:val="tx1"/>
                  </w14:solidFill>
                </w14:textFill>
              </w:rPr>
              <w:t>建设内容</w:t>
            </w:r>
          </w:p>
        </w:tc>
        <w:tc>
          <w:tcPr>
            <w:tcW w:w="4753" w:type="pct"/>
          </w:tcPr>
          <w:p w14:paraId="592D2E7B">
            <w:pPr>
              <w:spacing w:line="360" w:lineRule="auto"/>
              <w:ind w:left="0" w:leftChars="0" w:firstLine="0" w:firstLineChars="0"/>
              <w:rPr>
                <w:rFonts w:hint="default" w:ascii="Times New Roman" w:hAnsi="Times New Roman" w:eastAsia="黑体" w:cs="Times New Roman"/>
                <w:b w:val="0"/>
                <w:bCs/>
                <w:color w:val="000000" w:themeColor="text1"/>
                <w:lang w:val="en-US" w:eastAsia="zh-CN"/>
                <w14:textFill>
                  <w14:solidFill>
                    <w14:schemeClr w14:val="tx1"/>
                  </w14:solidFill>
                </w14:textFill>
              </w:rPr>
            </w:pPr>
            <w:r>
              <w:rPr>
                <w:rFonts w:hint="default" w:ascii="Times New Roman" w:hAnsi="Times New Roman" w:eastAsia="黑体" w:cs="Times New Roman"/>
                <w:b w:val="0"/>
                <w:bCs/>
                <w:color w:val="000000" w:themeColor="text1"/>
                <w14:textFill>
                  <w14:solidFill>
                    <w14:schemeClr w14:val="tx1"/>
                  </w14:solidFill>
                </w14:textFill>
              </w:rPr>
              <w:t>1、项目由来</w:t>
            </w:r>
            <w:r>
              <w:rPr>
                <w:rFonts w:hint="default" w:ascii="Times New Roman" w:hAnsi="Times New Roman" w:eastAsia="黑体" w:cs="Times New Roman"/>
                <w:b w:val="0"/>
                <w:bCs/>
                <w:color w:val="000000" w:themeColor="text1"/>
                <w:lang w:val="en-US" w:eastAsia="zh-CN"/>
                <w14:textFill>
                  <w14:solidFill>
                    <w14:schemeClr w14:val="tx1"/>
                  </w14:solidFill>
                </w14:textFill>
              </w:rPr>
              <w:t>及环评类别判定</w:t>
            </w:r>
          </w:p>
          <w:p w14:paraId="0289604B">
            <w:pPr>
              <w:spacing w:line="360" w:lineRule="auto"/>
              <w:ind w:firstLine="480" w:firstLineChars="200"/>
              <w:rPr>
                <w:color w:val="000000"/>
                <w:sz w:val="24"/>
                <w:highlight w:val="none"/>
              </w:rPr>
            </w:pPr>
            <w:r>
              <w:rPr>
                <w:rFonts w:hint="eastAsia"/>
                <w:color w:val="000000" w:themeColor="text1"/>
                <w:szCs w:val="24"/>
                <w:lang w:val="en-US" w:eastAsia="zh-CN"/>
                <w14:textFill>
                  <w14:solidFill>
                    <w14:schemeClr w14:val="tx1"/>
                  </w14:solidFill>
                </w14:textFill>
              </w:rPr>
              <w:t>南阳恒卓机械制造有限公司</w:t>
            </w:r>
            <w:r>
              <w:rPr>
                <w:color w:val="000000"/>
                <w:sz w:val="24"/>
                <w:highlight w:val="none"/>
              </w:rPr>
              <w:t>拟投资</w:t>
            </w:r>
            <w:r>
              <w:rPr>
                <w:rFonts w:hint="eastAsia"/>
                <w:color w:val="000000"/>
                <w:sz w:val="24"/>
                <w:highlight w:val="none"/>
                <w:lang w:val="en-US" w:eastAsia="zh-CN"/>
              </w:rPr>
              <w:t>53</w:t>
            </w:r>
            <w:r>
              <w:rPr>
                <w:color w:val="000000"/>
                <w:sz w:val="24"/>
                <w:highlight w:val="none"/>
              </w:rPr>
              <w:t>00万元于</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玉神路与建设路交叉口北200米8号（即镇平县恒基混凝土有限公司院内）</w:t>
            </w:r>
            <w:r>
              <w:rPr>
                <w:color w:val="000000"/>
                <w:sz w:val="24"/>
                <w:highlight w:val="none"/>
              </w:rPr>
              <w:t>租赁</w:t>
            </w:r>
            <w:r>
              <w:rPr>
                <w:rFonts w:hint="eastAsia"/>
                <w:color w:val="000000"/>
                <w:sz w:val="24"/>
                <w:highlight w:val="none"/>
                <w:lang w:val="en-US" w:eastAsia="zh-CN"/>
              </w:rPr>
              <w:t>生产车间及其附属设施</w:t>
            </w:r>
            <w:r>
              <w:rPr>
                <w:color w:val="000000"/>
                <w:sz w:val="24"/>
                <w:highlight w:val="none"/>
              </w:rPr>
              <w:t>共计</w:t>
            </w:r>
            <w:r>
              <w:rPr>
                <w:rFonts w:hint="eastAsia"/>
                <w:color w:val="000000"/>
                <w:sz w:val="24"/>
                <w:highlight w:val="none"/>
                <w:lang w:val="en-US" w:eastAsia="zh-CN"/>
              </w:rPr>
              <w:t>建筑</w:t>
            </w:r>
            <w:r>
              <w:rPr>
                <w:color w:val="000000"/>
                <w:sz w:val="24"/>
                <w:highlight w:val="none"/>
              </w:rPr>
              <w:t>面积</w:t>
            </w:r>
            <w:r>
              <w:rPr>
                <w:rFonts w:hint="eastAsia"/>
                <w:color w:val="000000"/>
                <w:sz w:val="24"/>
                <w:highlight w:val="none"/>
              </w:rPr>
              <w:t>7</w:t>
            </w:r>
            <w:r>
              <w:rPr>
                <w:color w:val="000000"/>
                <w:sz w:val="24"/>
                <w:highlight w:val="none"/>
              </w:rPr>
              <w:t>000m</w:t>
            </w:r>
            <w:r>
              <w:rPr>
                <w:color w:val="000000"/>
                <w:sz w:val="24"/>
                <w:highlight w:val="none"/>
                <w:vertAlign w:val="superscript"/>
              </w:rPr>
              <w:t>2</w:t>
            </w:r>
            <w:r>
              <w:rPr>
                <w:color w:val="000000"/>
                <w:sz w:val="24"/>
                <w:highlight w:val="none"/>
              </w:rPr>
              <w:t>，以外购的</w:t>
            </w:r>
            <w:r>
              <w:rPr>
                <w:rFonts w:hint="eastAsia"/>
                <w:color w:val="000000"/>
                <w:sz w:val="24"/>
                <w:highlight w:val="none"/>
                <w:lang w:val="en-US" w:eastAsia="zh-CN"/>
              </w:rPr>
              <w:t>生铁、废钢等</w:t>
            </w:r>
            <w:r>
              <w:rPr>
                <w:color w:val="000000"/>
                <w:sz w:val="24"/>
                <w:highlight w:val="none"/>
              </w:rPr>
              <w:t>为主要原材料，建设</w:t>
            </w:r>
            <w:r>
              <w:rPr>
                <w:rFonts w:hint="eastAsia"/>
                <w:color w:val="000000"/>
                <w:sz w:val="24"/>
                <w:highlight w:val="none"/>
                <w:lang w:val="en-US" w:eastAsia="zh-CN"/>
              </w:rPr>
              <w:t>树脂砂</w:t>
            </w:r>
            <w:r>
              <w:rPr>
                <w:color w:val="000000"/>
                <w:sz w:val="24"/>
                <w:highlight w:val="none"/>
              </w:rPr>
              <w:t>生产线；采用</w:t>
            </w:r>
            <w:r>
              <w:rPr>
                <w:rFonts w:hint="eastAsia"/>
                <w:color w:val="000000"/>
                <w:sz w:val="24"/>
                <w:highlight w:val="none"/>
                <w:lang w:val="en-US" w:eastAsia="zh-CN"/>
              </w:rPr>
              <w:t>原料—熔炼—造型—浇注—落砂—工件清理—热处理—抛丸—成品</w:t>
            </w:r>
            <w:r>
              <w:rPr>
                <w:color w:val="000000"/>
                <w:sz w:val="24"/>
                <w:highlight w:val="none"/>
              </w:rPr>
              <w:t>的生产工艺，建成投产后可达年产</w:t>
            </w:r>
            <w:r>
              <w:rPr>
                <w:rFonts w:hint="eastAsia"/>
                <w:color w:val="000000"/>
                <w:sz w:val="24"/>
                <w:highlight w:val="none"/>
                <w:lang w:val="en-US" w:eastAsia="zh-CN"/>
              </w:rPr>
              <w:t>12</w:t>
            </w:r>
            <w:r>
              <w:rPr>
                <w:color w:val="000000"/>
                <w:sz w:val="24"/>
                <w:highlight w:val="none"/>
              </w:rPr>
              <w:t>000吨铸件的生产能力。</w:t>
            </w:r>
          </w:p>
          <w:p w14:paraId="2C24B644">
            <w:pPr>
              <w:autoSpaceDE w:val="0"/>
              <w:autoSpaceDN w:val="0"/>
              <w:spacing w:line="360" w:lineRule="auto"/>
              <w:ind w:firstLine="480" w:firstLineChars="200"/>
              <w:rPr>
                <w:rFonts w:hint="default" w:eastAsiaTheme="minorEastAsia"/>
                <w:lang w:val="en-US" w:eastAsia="zh-CN"/>
              </w:rPr>
            </w:pPr>
            <w:r>
              <w:rPr>
                <w:rFonts w:hint="eastAsia" w:cs="Times New Roman"/>
                <w:b w:val="0"/>
                <w:bCs w:val="0"/>
                <w:color w:val="auto"/>
                <w:sz w:val="24"/>
                <w:szCs w:val="24"/>
                <w:highlight w:val="none"/>
                <w:u w:val="none" w:color="auto"/>
                <w:lang w:val="en-US" w:eastAsia="zh-CN"/>
              </w:rPr>
              <w:t>根据</w:t>
            </w:r>
            <w:r>
              <w:rPr>
                <w:rFonts w:hint="default" w:ascii="Times New Roman" w:hAnsi="Times New Roman" w:eastAsia="宋体" w:cs="Times New Roman"/>
                <w:b w:val="0"/>
                <w:bCs w:val="0"/>
                <w:color w:val="auto"/>
                <w:sz w:val="24"/>
                <w:szCs w:val="24"/>
                <w:highlight w:val="none"/>
                <w:u w:val="none" w:color="auto"/>
                <w:lang w:val="en-US" w:eastAsia="zh-CN"/>
              </w:rPr>
              <w:t>《中华人民共和国环境保护法》</w:t>
            </w:r>
            <w:r>
              <w:rPr>
                <w:rFonts w:hint="eastAsia"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val="0"/>
                <w:color w:val="auto"/>
                <w:sz w:val="24"/>
                <w:szCs w:val="24"/>
                <w:highlight w:val="none"/>
                <w:u w:val="none" w:color="auto"/>
                <w:lang w:val="en-US" w:eastAsia="zh-CN"/>
              </w:rPr>
              <w:t>《中华人民共和国环境影响评价法》</w:t>
            </w:r>
            <w:r>
              <w:rPr>
                <w:rFonts w:hint="eastAsia"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val="0"/>
                <w:color w:val="auto"/>
                <w:sz w:val="24"/>
                <w:szCs w:val="24"/>
                <w:highlight w:val="none"/>
                <w:u w:val="none" w:color="auto"/>
                <w:lang w:val="en-US" w:eastAsia="zh-CN"/>
              </w:rPr>
              <w:t>《建设项目环境保护管理条例》（国务院第682号令）的规定，该项目需进行环境影响评价工作。经</w:t>
            </w:r>
            <w:r>
              <w:rPr>
                <w:rFonts w:hint="eastAsia" w:cs="Times New Roman"/>
                <w:b w:val="0"/>
                <w:bCs w:val="0"/>
                <w:color w:val="auto"/>
                <w:sz w:val="24"/>
                <w:szCs w:val="24"/>
                <w:highlight w:val="none"/>
                <w:u w:val="none" w:color="auto"/>
                <w:lang w:val="en-US" w:eastAsia="zh-CN"/>
              </w:rPr>
              <w:t>比对</w:t>
            </w:r>
            <w:r>
              <w:rPr>
                <w:rFonts w:hint="default" w:ascii="Times New Roman" w:hAnsi="Times New Roman" w:eastAsia="宋体" w:cs="Times New Roman"/>
                <w:b w:val="0"/>
                <w:bCs w:val="0"/>
                <w:color w:val="auto"/>
                <w:sz w:val="24"/>
                <w:szCs w:val="24"/>
                <w:highlight w:val="none"/>
                <w:u w:val="none" w:color="auto"/>
                <w:lang w:val="en-US" w:eastAsia="zh-CN"/>
              </w:rPr>
              <w:t>《国民经济行业分类》（GB/T4754-2017）及其修改单</w:t>
            </w:r>
            <w:r>
              <w:rPr>
                <w:rFonts w:hint="eastAsia" w:cs="Times New Roman"/>
                <w:b w:val="0"/>
                <w:bCs w:val="0"/>
                <w:color w:val="auto"/>
                <w:sz w:val="24"/>
                <w:szCs w:val="24"/>
                <w:highlight w:val="none"/>
                <w:u w:val="none" w:color="auto"/>
                <w:lang w:val="en-US" w:eastAsia="zh-CN"/>
              </w:rPr>
              <w:t>，</w:t>
            </w:r>
            <w:r>
              <w:rPr>
                <w:rFonts w:hint="eastAsia" w:cs="Times New Roman" w:hAnsiTheme="minorEastAsia"/>
                <w:szCs w:val="24"/>
                <w:lang w:val="en-US" w:eastAsia="zh-CN"/>
              </w:rPr>
              <w:t>本项目为“C3391 黑色金属铸造”行业，对照</w:t>
            </w:r>
            <w:r>
              <w:rPr>
                <w:rFonts w:hAnsi="宋体" w:eastAsia="宋体" w:cs="Times New Roman"/>
              </w:rPr>
              <w:t>《建设项目环境影响评价分类管理名录</w:t>
            </w:r>
            <w:r>
              <w:rPr>
                <w:rFonts w:hint="eastAsia" w:hAnsi="宋体" w:eastAsia="宋体" w:cs="Times New Roman"/>
              </w:rPr>
              <w:t>（2021年版）</w:t>
            </w:r>
            <w:r>
              <w:rPr>
                <w:rFonts w:hAnsi="宋体" w:eastAsia="宋体" w:cs="Times New Roman"/>
              </w:rPr>
              <w:t>》</w:t>
            </w:r>
            <w:r>
              <w:rPr>
                <w:rFonts w:hint="eastAsia" w:hAnsi="宋体" w:eastAsia="宋体" w:cs="Times New Roman"/>
              </w:rPr>
              <w:t>，</w:t>
            </w:r>
            <w:r>
              <w:rPr>
                <w:rFonts w:hint="eastAsia" w:hAnsi="宋体" w:eastAsia="宋体" w:cs="Times New Roman"/>
                <w:lang w:val="en-US" w:eastAsia="zh-CN"/>
              </w:rPr>
              <w:t>本项目</w:t>
            </w:r>
            <w:r>
              <w:rPr>
                <w:rFonts w:hint="eastAsia"/>
              </w:rPr>
              <w:t>属于</w:t>
            </w:r>
            <w:r>
              <w:rPr>
                <w:rFonts w:hint="eastAsia" w:cs="Times New Roman"/>
                <w:szCs w:val="24"/>
                <w:lang w:eastAsia="zh-CN"/>
              </w:rPr>
              <w:t>“</w:t>
            </w:r>
            <w:r>
              <w:rPr>
                <w:rFonts w:hint="eastAsia" w:cs="Times New Roman"/>
                <w:szCs w:val="24"/>
                <w:lang w:val="en-US" w:eastAsia="zh-CN"/>
              </w:rPr>
              <w:t>三十</w:t>
            </w:r>
            <w:r>
              <w:rPr>
                <w:rFonts w:hint="eastAsia" w:cs="Times New Roman"/>
                <w:szCs w:val="24"/>
              </w:rPr>
              <w:t>、</w:t>
            </w:r>
            <w:r>
              <w:rPr>
                <w:rFonts w:hint="eastAsia" w:cs="Times New Roman"/>
                <w:szCs w:val="24"/>
                <w:lang w:val="en-US" w:eastAsia="zh-CN"/>
              </w:rPr>
              <w:t>金属制品业</w:t>
            </w:r>
            <w:r>
              <w:rPr>
                <w:rFonts w:hint="eastAsia" w:cs="Times New Roman"/>
                <w:szCs w:val="24"/>
                <w:lang w:eastAsia="zh-CN"/>
              </w:rPr>
              <w:t>”</w:t>
            </w:r>
            <w:r>
              <w:rPr>
                <w:rFonts w:hint="eastAsia" w:cs="Times New Roman"/>
                <w:szCs w:val="24"/>
                <w:lang w:val="en-US" w:eastAsia="zh-CN"/>
              </w:rPr>
              <w:t>中的“68</w:t>
            </w:r>
            <w:r>
              <w:rPr>
                <w:rFonts w:hint="eastAsia" w:cs="Times New Roman"/>
                <w:szCs w:val="24"/>
              </w:rPr>
              <w:t>、</w:t>
            </w:r>
            <w:r>
              <w:rPr>
                <w:rFonts w:hint="eastAsia" w:cs="Times New Roman"/>
                <w:szCs w:val="24"/>
                <w:lang w:val="en-US" w:eastAsia="zh-CN"/>
              </w:rPr>
              <w:t>铸造及其他金属制品制造339”的“其他”</w:t>
            </w:r>
            <w:r>
              <w:rPr>
                <w:rFonts w:hint="eastAsia"/>
                <w:color w:val="auto"/>
                <w:sz w:val="24"/>
                <w:u w:val="none"/>
                <w:lang w:val="en-US" w:eastAsia="zh-CN"/>
              </w:rPr>
              <w:t>类别</w:t>
            </w:r>
            <w:r>
              <w:rPr>
                <w:rFonts w:hint="eastAsia"/>
              </w:rPr>
              <w:t>，</w:t>
            </w:r>
            <w:r>
              <w:rPr>
                <w:rFonts w:hint="eastAsia"/>
                <w:lang w:val="en-US" w:eastAsia="zh-CN"/>
              </w:rPr>
              <w:t>应编制环境影响报告表。本项目环评类别判定依据见表2-1。</w:t>
            </w:r>
          </w:p>
          <w:p w14:paraId="4046F48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黑体" w:cs="Times New Roman"/>
                <w:bCs/>
                <w:color w:val="000000" w:themeColor="text1"/>
                <w14:textFill>
                  <w14:solidFill>
                    <w14:schemeClr w14:val="tx1"/>
                  </w14:solidFill>
                </w14:textFill>
              </w:rPr>
            </w:pPr>
            <w:r>
              <w:rPr>
                <w:rFonts w:hAnsi="黑体" w:eastAsia="黑体" w:cs="Times New Roman"/>
                <w:bCs/>
                <w:color w:val="000000" w:themeColor="text1"/>
                <w14:textFill>
                  <w14:solidFill>
                    <w14:schemeClr w14:val="tx1"/>
                  </w14:solidFill>
                </w14:textFill>
              </w:rPr>
              <w:t>表</w:t>
            </w:r>
            <w:r>
              <w:rPr>
                <w:rFonts w:hint="eastAsia" w:hAnsi="黑体" w:eastAsia="黑体" w:cs="Times New Roman"/>
                <w:bCs/>
                <w:color w:val="000000" w:themeColor="text1"/>
                <w14:textFill>
                  <w14:solidFill>
                    <w14:schemeClr w14:val="tx1"/>
                  </w14:solidFill>
                </w14:textFill>
              </w:rPr>
              <w:t>2-</w:t>
            </w:r>
            <w:r>
              <w:rPr>
                <w:rFonts w:eastAsia="黑体" w:cs="Times New Roman"/>
                <w:bCs/>
                <w:color w:val="000000" w:themeColor="text1"/>
                <w14:textFill>
                  <w14:solidFill>
                    <w14:schemeClr w14:val="tx1"/>
                  </w14:solidFill>
                </w14:textFill>
              </w:rPr>
              <w:t xml:space="preserve">1  </w:t>
            </w:r>
            <w:r>
              <w:rPr>
                <w:rFonts w:hAnsi="黑体" w:eastAsia="黑体" w:cs="Times New Roman"/>
                <w:bCs/>
                <w:color w:val="000000" w:themeColor="text1"/>
                <w14:textFill>
                  <w14:solidFill>
                    <w14:schemeClr w14:val="tx1"/>
                  </w14:solidFill>
                </w14:textFill>
              </w:rPr>
              <w:t>项目</w:t>
            </w:r>
            <w:r>
              <w:rPr>
                <w:rFonts w:hint="eastAsia" w:hAnsi="黑体" w:eastAsia="黑体" w:cs="Times New Roman"/>
                <w:bCs/>
                <w:color w:val="000000" w:themeColor="text1"/>
                <w:lang w:val="en-US" w:eastAsia="zh-CN"/>
                <w14:textFill>
                  <w14:solidFill>
                    <w14:schemeClr w14:val="tx1"/>
                  </w14:solidFill>
                </w14:textFill>
              </w:rPr>
              <w:t>环评类别判定依据</w:t>
            </w:r>
            <w:r>
              <w:rPr>
                <w:rFonts w:hAnsi="黑体" w:eastAsia="黑体" w:cs="Times New Roman"/>
                <w:bCs/>
                <w:color w:val="000000" w:themeColor="text1"/>
                <w14:textFill>
                  <w14:solidFill>
                    <w14:schemeClr w14:val="tx1"/>
                  </w14:solidFill>
                </w14:textFill>
              </w:rPr>
              <w:t>一览表</w:t>
            </w:r>
          </w:p>
          <w:tbl>
            <w:tblPr>
              <w:tblStyle w:val="2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28" w:type="dxa"/>
                <w:bottom w:w="0" w:type="dxa"/>
                <w:right w:w="28" w:type="dxa"/>
              </w:tblCellMar>
            </w:tblPr>
            <w:tblGrid>
              <w:gridCol w:w="1905"/>
              <w:gridCol w:w="2270"/>
              <w:gridCol w:w="1359"/>
              <w:gridCol w:w="897"/>
              <w:gridCol w:w="2129"/>
            </w:tblGrid>
            <w:tr w14:paraId="7C4FC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1113" w:type="pct"/>
                  <w:tcBorders>
                    <w:tl2br w:val="single" w:color="000000" w:sz="4" w:space="0"/>
                  </w:tcBorders>
                  <w:vAlign w:val="center"/>
                </w:tcPr>
                <w:p w14:paraId="613CE6C7">
                  <w:pPr>
                    <w:pStyle w:val="35"/>
                    <w:bidi w:val="0"/>
                    <w:jc w:val="righ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环评类别</w:t>
                  </w:r>
                </w:p>
                <w:p w14:paraId="24CEA16A">
                  <w:pPr>
                    <w:pStyle w:val="35"/>
                    <w:bidi w:val="0"/>
                    <w:jc w:val="lef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项目类别</w:t>
                  </w:r>
                </w:p>
              </w:tc>
              <w:tc>
                <w:tcPr>
                  <w:tcW w:w="1326" w:type="pct"/>
                  <w:tcBorders>
                    <w:tl2br w:val="nil"/>
                    <w:tr2bl w:val="nil"/>
                  </w:tcBorders>
                  <w:vAlign w:val="center"/>
                </w:tcPr>
                <w:p w14:paraId="405864EE">
                  <w:pPr>
                    <w:pStyle w:val="3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报告书</w:t>
                  </w:r>
                </w:p>
              </w:tc>
              <w:tc>
                <w:tcPr>
                  <w:tcW w:w="794" w:type="pct"/>
                  <w:tcBorders>
                    <w:tl2br w:val="nil"/>
                    <w:tr2bl w:val="nil"/>
                  </w:tcBorders>
                  <w:vAlign w:val="center"/>
                </w:tcPr>
                <w:p w14:paraId="2CB4EC76">
                  <w:pPr>
                    <w:pStyle w:val="3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报告表</w:t>
                  </w:r>
                </w:p>
              </w:tc>
              <w:tc>
                <w:tcPr>
                  <w:tcW w:w="524" w:type="pct"/>
                  <w:tcBorders>
                    <w:tl2br w:val="nil"/>
                    <w:tr2bl w:val="nil"/>
                  </w:tcBorders>
                  <w:vAlign w:val="center"/>
                </w:tcPr>
                <w:p w14:paraId="3AB99C04">
                  <w:pPr>
                    <w:pStyle w:val="3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登记表</w:t>
                  </w:r>
                </w:p>
              </w:tc>
              <w:tc>
                <w:tcPr>
                  <w:tcW w:w="1240" w:type="pct"/>
                  <w:tcBorders>
                    <w:tl2br w:val="nil"/>
                    <w:tr2bl w:val="nil"/>
                  </w:tcBorders>
                  <w:vAlign w:val="center"/>
                </w:tcPr>
                <w:p w14:paraId="4F07E53A">
                  <w:pPr>
                    <w:pStyle w:val="3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本项目比对情况</w:t>
                  </w:r>
                </w:p>
              </w:tc>
            </w:tr>
            <w:tr w14:paraId="69982A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5000" w:type="pct"/>
                  <w:gridSpan w:val="5"/>
                  <w:tcBorders>
                    <w:tl2br w:val="nil"/>
                    <w:tr2bl w:val="nil"/>
                  </w:tcBorders>
                  <w:vAlign w:val="center"/>
                </w:tcPr>
                <w:p w14:paraId="3E1DA86C">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lang w:val="en-US" w:eastAsia="zh-CN"/>
                      <w14:textFill>
                        <w14:solidFill>
                          <w14:schemeClr w14:val="tx1"/>
                        </w14:solidFill>
                      </w14:textFill>
                    </w:rPr>
                  </w:pPr>
                  <w:r>
                    <w:rPr>
                      <w:rFonts w:hint="eastAsia"/>
                      <w:sz w:val="21"/>
                      <w:lang w:val="en-US" w:eastAsia="zh-CN"/>
                    </w:rPr>
                    <w:t>三十、金属制品业 33</w:t>
                  </w:r>
                </w:p>
              </w:tc>
            </w:tr>
            <w:tr w14:paraId="236E7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1113" w:type="pct"/>
                  <w:tcBorders>
                    <w:tl2br w:val="nil"/>
                    <w:tr2bl w:val="nil"/>
                  </w:tcBorders>
                  <w:vAlign w:val="center"/>
                </w:tcPr>
                <w:p w14:paraId="346C51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lang w:val="en-US" w:eastAsia="zh-CN"/>
                      <w14:textFill>
                        <w14:solidFill>
                          <w14:schemeClr w14:val="tx1"/>
                        </w14:solidFill>
                      </w14:textFill>
                    </w:rPr>
                  </w:pPr>
                  <w:r>
                    <w:rPr>
                      <w:rFonts w:hint="eastAsia"/>
                      <w:sz w:val="21"/>
                      <w:lang w:val="en-US" w:eastAsia="zh-CN"/>
                    </w:rPr>
                    <w:t>68.铸造及其他金属制品制造339</w:t>
                  </w:r>
                </w:p>
              </w:tc>
              <w:tc>
                <w:tcPr>
                  <w:tcW w:w="1326" w:type="pct"/>
                  <w:tcBorders>
                    <w:tl2br w:val="nil"/>
                    <w:tr2bl w:val="nil"/>
                  </w:tcBorders>
                  <w:vAlign w:val="center"/>
                </w:tcPr>
                <w:p w14:paraId="63402C1C">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color w:val="000000" w:themeColor="text1"/>
                      <w:lang w:val="en-US" w:eastAsia="zh-CN"/>
                      <w14:textFill>
                        <w14:solidFill>
                          <w14:schemeClr w14:val="tx1"/>
                        </w14:solidFill>
                      </w14:textFill>
                    </w:rPr>
                  </w:pPr>
                  <w:r>
                    <w:rPr>
                      <w:rFonts w:hint="eastAsia" w:eastAsiaTheme="minorEastAsia"/>
                      <w:sz w:val="21"/>
                      <w:lang w:val="en-US" w:eastAsia="zh-CN"/>
                    </w:rPr>
                    <w:t>黑色金属铸造年产10万吨及以上的；有色金属铸造年产10万吨及以上的</w:t>
                  </w:r>
                </w:p>
              </w:tc>
              <w:tc>
                <w:tcPr>
                  <w:tcW w:w="794" w:type="pct"/>
                  <w:tcBorders>
                    <w:tl2br w:val="nil"/>
                    <w:tr2bl w:val="nil"/>
                  </w:tcBorders>
                  <w:vAlign w:val="center"/>
                </w:tcPr>
                <w:p w14:paraId="6B1A8C05">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lang w:val="en-US" w:eastAsia="zh-CN"/>
                      <w14:textFill>
                        <w14:solidFill>
                          <w14:schemeClr w14:val="tx1"/>
                        </w14:solidFill>
                      </w14:textFill>
                    </w:rPr>
                  </w:pPr>
                  <w:r>
                    <w:rPr>
                      <w:rFonts w:hint="default" w:eastAsiaTheme="minorEastAsia"/>
                      <w:sz w:val="21"/>
                      <w:lang w:val="en-US" w:eastAsia="zh-CN"/>
                    </w:rPr>
                    <w:t>其他（仅分割、焊接、组装的除外）</w:t>
                  </w:r>
                </w:p>
              </w:tc>
              <w:tc>
                <w:tcPr>
                  <w:tcW w:w="524" w:type="pct"/>
                  <w:tcBorders>
                    <w:tl2br w:val="nil"/>
                    <w:tr2bl w:val="nil"/>
                  </w:tcBorders>
                  <w:vAlign w:val="center"/>
                </w:tcPr>
                <w:p w14:paraId="3B5C35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lang w:val="en-US" w:eastAsia="zh-CN"/>
                      <w14:textFill>
                        <w14:solidFill>
                          <w14:schemeClr w14:val="tx1"/>
                        </w14:solidFill>
                      </w14:textFill>
                    </w:rPr>
                  </w:pPr>
                  <w:r>
                    <w:rPr>
                      <w:rFonts w:hint="eastAsia"/>
                      <w:sz w:val="21"/>
                      <w:lang w:val="en-US" w:eastAsia="zh-CN"/>
                    </w:rPr>
                    <w:t>/</w:t>
                  </w:r>
                </w:p>
              </w:tc>
              <w:tc>
                <w:tcPr>
                  <w:tcW w:w="1240" w:type="pct"/>
                  <w:tcBorders>
                    <w:tl2br w:val="nil"/>
                    <w:tr2bl w:val="nil"/>
                  </w:tcBorders>
                  <w:vAlign w:val="center"/>
                </w:tcPr>
                <w:p w14:paraId="098D60D7">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lang w:val="en-US" w:eastAsia="zh-CN"/>
                      <w14:textFill>
                        <w14:solidFill>
                          <w14:schemeClr w14:val="tx1"/>
                        </w14:solidFill>
                      </w14:textFill>
                    </w:rPr>
                  </w:pPr>
                  <w:r>
                    <w:rPr>
                      <w:rFonts w:hint="eastAsia"/>
                      <w:sz w:val="21"/>
                      <w:lang w:val="en-US" w:eastAsia="zh-CN"/>
                    </w:rPr>
                    <w:t>本项目铸造产能1.2万吨/年，属于其他类别，应编制报告表</w:t>
                  </w:r>
                </w:p>
              </w:tc>
            </w:tr>
          </w:tbl>
          <w:p w14:paraId="46B09893">
            <w:pPr>
              <w:spacing w:line="360" w:lineRule="auto"/>
              <w:ind w:firstLine="480" w:firstLineChars="200"/>
              <w:rPr>
                <w:rFonts w:hint="eastAsia" w:hAnsiTheme="minorEastAsia"/>
                <w:bCs/>
                <w:color w:val="000000" w:themeColor="text1"/>
                <w:kern w:val="0"/>
                <w14:textFill>
                  <w14:solidFill>
                    <w14:schemeClr w14:val="tx1"/>
                  </w14:solidFill>
                </w14:textFill>
              </w:rPr>
            </w:pPr>
            <w:r>
              <w:rPr>
                <w:rFonts w:hint="default" w:ascii="Times New Roman" w:hAnsi="Times New Roman" w:eastAsia="宋体" w:cs="Times New Roman"/>
                <w:b w:val="0"/>
                <w:bCs w:val="0"/>
                <w:color w:val="auto"/>
                <w:sz w:val="24"/>
                <w:szCs w:val="24"/>
                <w:highlight w:val="none"/>
                <w:u w:val="none" w:color="auto"/>
                <w:lang w:val="en-US" w:eastAsia="zh-CN"/>
              </w:rPr>
              <w:t>受</w:t>
            </w:r>
            <w:r>
              <w:rPr>
                <w:rFonts w:hint="eastAsia" w:cs="Times New Roman"/>
                <w:b w:val="0"/>
                <w:bCs w:val="0"/>
                <w:color w:val="auto"/>
                <w:sz w:val="24"/>
                <w:szCs w:val="24"/>
                <w:highlight w:val="none"/>
                <w:u w:val="none" w:color="auto"/>
                <w:lang w:val="en-US" w:eastAsia="zh-CN"/>
              </w:rPr>
              <w:t>建设单位</w:t>
            </w:r>
            <w:r>
              <w:rPr>
                <w:rFonts w:hint="default" w:ascii="Times New Roman" w:hAnsi="Times New Roman" w:eastAsia="宋体" w:cs="Times New Roman"/>
                <w:b w:val="0"/>
                <w:bCs w:val="0"/>
                <w:color w:val="auto"/>
                <w:sz w:val="24"/>
                <w:szCs w:val="24"/>
                <w:highlight w:val="none"/>
                <w:u w:val="none" w:color="auto"/>
                <w:lang w:val="en-US" w:eastAsia="zh-CN"/>
              </w:rPr>
              <w:t>委托，我</w:t>
            </w:r>
            <w:r>
              <w:rPr>
                <w:rFonts w:hint="eastAsia" w:ascii="Times New Roman" w:hAnsi="Times New Roman" w:eastAsia="宋体" w:cs="Times New Roman"/>
                <w:b w:val="0"/>
                <w:bCs w:val="0"/>
                <w:color w:val="auto"/>
                <w:sz w:val="24"/>
                <w:szCs w:val="24"/>
                <w:highlight w:val="none"/>
                <w:u w:val="none" w:color="auto"/>
                <w:lang w:val="en-US" w:eastAsia="zh-CN"/>
              </w:rPr>
              <w:t>公司</w:t>
            </w:r>
            <w:r>
              <w:rPr>
                <w:rFonts w:hint="default" w:ascii="Times New Roman" w:hAnsi="Times New Roman" w:eastAsia="宋体" w:cs="Times New Roman"/>
                <w:b w:val="0"/>
                <w:bCs w:val="0"/>
                <w:color w:val="auto"/>
                <w:sz w:val="24"/>
                <w:szCs w:val="24"/>
                <w:highlight w:val="none"/>
                <w:u w:val="none" w:color="auto"/>
                <w:lang w:val="en-US" w:eastAsia="zh-CN"/>
              </w:rPr>
              <w:t>承担</w:t>
            </w:r>
            <w:r>
              <w:rPr>
                <w:rFonts w:hint="eastAsia" w:ascii="Times New Roman" w:hAnsi="Times New Roman" w:eastAsia="宋体" w:cs="Times New Roman"/>
                <w:b w:val="0"/>
                <w:bCs w:val="0"/>
                <w:color w:val="auto"/>
                <w:sz w:val="24"/>
                <w:szCs w:val="24"/>
                <w:highlight w:val="none"/>
                <w:u w:val="none" w:color="auto"/>
                <w:lang w:val="en-US" w:eastAsia="zh-CN"/>
              </w:rPr>
              <w:t>了该</w:t>
            </w:r>
            <w:r>
              <w:rPr>
                <w:rFonts w:hint="default" w:ascii="Times New Roman" w:hAnsi="Times New Roman" w:eastAsia="宋体" w:cs="Times New Roman"/>
                <w:b w:val="0"/>
                <w:bCs w:val="0"/>
                <w:color w:val="auto"/>
                <w:sz w:val="24"/>
                <w:szCs w:val="24"/>
                <w:highlight w:val="none"/>
                <w:u w:val="none" w:color="auto"/>
                <w:lang w:val="en-US" w:eastAsia="zh-CN"/>
              </w:rPr>
              <w:t>项目的环</w:t>
            </w:r>
            <w:r>
              <w:rPr>
                <w:rFonts w:hint="default" w:ascii="Times New Roman" w:hAnsi="Times New Roman" w:eastAsia="宋体" w:cs="Times New Roman"/>
                <w:color w:val="auto"/>
                <w:sz w:val="24"/>
                <w:szCs w:val="24"/>
                <w:highlight w:val="none"/>
                <w:u w:val="none" w:color="auto"/>
                <w:lang w:val="en-US" w:eastAsia="zh-CN"/>
              </w:rPr>
              <w:t>境影响评价工作。接受委托后</w:t>
            </w:r>
            <w:r>
              <w:rPr>
                <w:rFonts w:hint="eastAsia" w:cs="Times New Roman"/>
                <w:color w:val="auto"/>
                <w:sz w:val="24"/>
                <w:szCs w:val="24"/>
                <w:highlight w:val="none"/>
                <w:u w:val="none" w:color="auto"/>
                <w:lang w:val="en-US" w:eastAsia="zh-CN"/>
              </w:rPr>
              <w:t>，我公司立即开展了详细的现场踏勘和资料收集工作，在对区域环境现状和本工程可能造成的环境影响进行分析后，依照环境影响评价技术导则的相关要求编制完成了项目环境影响报告表</w:t>
            </w:r>
            <w:r>
              <w:rPr>
                <w:rFonts w:hint="default" w:ascii="Times New Roman" w:hAnsi="Times New Roman" w:eastAsia="宋体" w:cs="Times New Roman"/>
                <w:color w:val="auto"/>
                <w:sz w:val="24"/>
                <w:szCs w:val="24"/>
                <w:highlight w:val="none"/>
                <w:u w:val="none" w:color="auto"/>
              </w:rPr>
              <w:t>。</w:t>
            </w:r>
          </w:p>
          <w:p w14:paraId="59EC654E">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2、建设内容及规模</w:t>
            </w:r>
          </w:p>
          <w:p w14:paraId="1D472BE3">
            <w:pPr>
              <w:spacing w:line="360" w:lineRule="auto"/>
              <w:ind w:firstLine="480" w:firstLineChars="200"/>
              <w:rPr>
                <w:rFonts w:eastAsia="宋体" w:cs="Times New Roman"/>
                <w:sz w:val="24"/>
                <w:szCs w:val="32"/>
              </w:rPr>
            </w:pPr>
            <w:r>
              <w:rPr>
                <w:rFonts w:eastAsia="宋体" w:cs="Times New Roman"/>
                <w:sz w:val="24"/>
                <w:szCs w:val="32"/>
              </w:rPr>
              <w:t>（1）工程基本情况</w:t>
            </w:r>
          </w:p>
          <w:p w14:paraId="193D360B">
            <w:pPr>
              <w:spacing w:line="360" w:lineRule="auto"/>
              <w:jc w:val="center"/>
              <w:rPr>
                <w:rFonts w:eastAsia="黑体" w:cs="Times New Roman"/>
                <w:bCs/>
                <w:sz w:val="24"/>
                <w:szCs w:val="32"/>
              </w:rPr>
            </w:pPr>
            <w:r>
              <w:rPr>
                <w:rFonts w:hAnsi="黑体" w:eastAsia="黑体" w:cs="Times New Roman"/>
                <w:bCs/>
                <w:sz w:val="24"/>
                <w:szCs w:val="32"/>
              </w:rPr>
              <w:t>表</w:t>
            </w:r>
            <w:r>
              <w:rPr>
                <w:rFonts w:hint="eastAsia" w:hAnsi="黑体" w:eastAsia="黑体" w:cs="Times New Roman"/>
                <w:bCs/>
                <w:sz w:val="24"/>
                <w:szCs w:val="32"/>
              </w:rPr>
              <w:t>2-</w:t>
            </w:r>
            <w:r>
              <w:rPr>
                <w:rFonts w:hint="eastAsia" w:eastAsia="黑体" w:cs="Times New Roman"/>
                <w:bCs/>
                <w:sz w:val="24"/>
                <w:szCs w:val="32"/>
              </w:rPr>
              <w:t>2</w:t>
            </w:r>
            <w:r>
              <w:rPr>
                <w:rFonts w:eastAsia="黑体" w:cs="Times New Roman"/>
                <w:bCs/>
                <w:sz w:val="24"/>
                <w:szCs w:val="32"/>
              </w:rPr>
              <w:t xml:space="preserve">  </w:t>
            </w:r>
            <w:r>
              <w:rPr>
                <w:rFonts w:hAnsi="黑体" w:eastAsia="黑体" w:cs="Times New Roman"/>
                <w:bCs/>
                <w:sz w:val="24"/>
                <w:szCs w:val="32"/>
              </w:rPr>
              <w:t>项目基本情况一览表</w:t>
            </w:r>
          </w:p>
          <w:tbl>
            <w:tblPr>
              <w:tblStyle w:val="2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989"/>
              <w:gridCol w:w="3409"/>
              <w:gridCol w:w="3354"/>
              <w:gridCol w:w="805"/>
            </w:tblGrid>
            <w:tr w14:paraId="063EF2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0666C7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hAnsi="宋体"/>
                      <w:sz w:val="21"/>
                    </w:rPr>
                    <w:t>类别</w:t>
                  </w:r>
                </w:p>
              </w:tc>
              <w:tc>
                <w:tcPr>
                  <w:tcW w:w="1991" w:type="pct"/>
                  <w:tcBorders>
                    <w:tl2br w:val="nil"/>
                    <w:tr2bl w:val="nil"/>
                  </w:tcBorders>
                  <w:noWrap w:val="0"/>
                  <w:vAlign w:val="center"/>
                </w:tcPr>
                <w:p w14:paraId="72D601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hAnsi="宋体"/>
                      <w:sz w:val="21"/>
                    </w:rPr>
                    <w:t>备案</w:t>
                  </w:r>
                  <w:r>
                    <w:rPr>
                      <w:rFonts w:hAnsi="宋体"/>
                      <w:sz w:val="21"/>
                    </w:rPr>
                    <w:t>内容</w:t>
                  </w:r>
                </w:p>
              </w:tc>
              <w:tc>
                <w:tcPr>
                  <w:tcW w:w="1959" w:type="pct"/>
                  <w:tcBorders>
                    <w:tl2br w:val="nil"/>
                    <w:tr2bl w:val="nil"/>
                  </w:tcBorders>
                  <w:noWrap w:val="0"/>
                  <w:vAlign w:val="center"/>
                </w:tcPr>
                <w:p w14:paraId="3CFB4D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Ansi="宋体"/>
                      <w:sz w:val="21"/>
                    </w:rPr>
                  </w:pPr>
                  <w:r>
                    <w:rPr>
                      <w:rFonts w:hint="eastAsia" w:hAnsi="宋体"/>
                      <w:sz w:val="21"/>
                    </w:rPr>
                    <w:t>实际建设内容</w:t>
                  </w:r>
                </w:p>
              </w:tc>
              <w:tc>
                <w:tcPr>
                  <w:tcW w:w="470" w:type="pct"/>
                  <w:tcBorders>
                    <w:tl2br w:val="nil"/>
                    <w:tr2bl w:val="nil"/>
                  </w:tcBorders>
                  <w:noWrap w:val="0"/>
                  <w:vAlign w:val="center"/>
                </w:tcPr>
                <w:p w14:paraId="007535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hAnsi="宋体"/>
                      <w:sz w:val="21"/>
                      <w:lang w:val="en-US" w:eastAsia="zh-CN"/>
                    </w:rPr>
                  </w:pPr>
                  <w:r>
                    <w:rPr>
                      <w:rFonts w:hint="eastAsia" w:hAnsi="宋体"/>
                      <w:sz w:val="21"/>
                      <w:lang w:val="en-US" w:eastAsia="zh-CN"/>
                    </w:rPr>
                    <w:t>是否</w:t>
                  </w:r>
                </w:p>
                <w:p w14:paraId="0D0323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hAnsi="宋体" w:eastAsia="宋体"/>
                      <w:sz w:val="21"/>
                      <w:lang w:val="en-US" w:eastAsia="zh-CN"/>
                    </w:rPr>
                  </w:pPr>
                  <w:r>
                    <w:rPr>
                      <w:rFonts w:hint="eastAsia" w:hAnsi="宋体"/>
                      <w:sz w:val="21"/>
                      <w:lang w:val="en-US" w:eastAsia="zh-CN"/>
                    </w:rPr>
                    <w:t>一致</w:t>
                  </w:r>
                </w:p>
              </w:tc>
            </w:tr>
            <w:tr w14:paraId="7DC00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626" w:hRule="atLeast"/>
                <w:jc w:val="center"/>
              </w:trPr>
              <w:tc>
                <w:tcPr>
                  <w:tcW w:w="578" w:type="pct"/>
                  <w:tcBorders>
                    <w:tl2br w:val="nil"/>
                    <w:tr2bl w:val="nil"/>
                  </w:tcBorders>
                  <w:noWrap w:val="0"/>
                  <w:vAlign w:val="center"/>
                </w:tcPr>
                <w:p w14:paraId="65D962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Ansi="宋体"/>
                      <w:sz w:val="21"/>
                    </w:rPr>
                    <w:t>项目名称</w:t>
                  </w:r>
                </w:p>
              </w:tc>
              <w:tc>
                <w:tcPr>
                  <w:tcW w:w="1991" w:type="pct"/>
                  <w:tcBorders>
                    <w:tl2br w:val="nil"/>
                    <w:tr2bl w:val="nil"/>
                  </w:tcBorders>
                  <w:noWrap w:val="0"/>
                  <w:vAlign w:val="center"/>
                </w:tcPr>
                <w:p w14:paraId="4EC85B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南阳恒卓机械制造有限公司机械制造设备生产项目</w:t>
                  </w:r>
                </w:p>
              </w:tc>
              <w:tc>
                <w:tcPr>
                  <w:tcW w:w="1959" w:type="pct"/>
                  <w:tcBorders>
                    <w:tl2br w:val="nil"/>
                    <w:tr2bl w:val="nil"/>
                  </w:tcBorders>
                  <w:noWrap w:val="0"/>
                  <w:vAlign w:val="center"/>
                </w:tcPr>
                <w:p w14:paraId="5995FB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南阳恒卓机械制造有限公司机械制造设备生产项目</w:t>
                  </w:r>
                </w:p>
              </w:tc>
              <w:tc>
                <w:tcPr>
                  <w:tcW w:w="470" w:type="pct"/>
                  <w:tcBorders>
                    <w:tl2br w:val="nil"/>
                    <w:tr2bl w:val="nil"/>
                  </w:tcBorders>
                  <w:noWrap w:val="0"/>
                  <w:vAlign w:val="center"/>
                </w:tcPr>
                <w:p w14:paraId="7AA885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一致</w:t>
                  </w:r>
                </w:p>
              </w:tc>
            </w:tr>
            <w:tr w14:paraId="7DBA70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669CEB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Ansi="宋体"/>
                      <w:sz w:val="21"/>
                    </w:rPr>
                    <w:t>建设单位</w:t>
                  </w:r>
                </w:p>
              </w:tc>
              <w:tc>
                <w:tcPr>
                  <w:tcW w:w="1991" w:type="pct"/>
                  <w:tcBorders>
                    <w:tl2br w:val="nil"/>
                    <w:tr2bl w:val="nil"/>
                  </w:tcBorders>
                  <w:noWrap w:val="0"/>
                  <w:vAlign w:val="center"/>
                </w:tcPr>
                <w:p w14:paraId="238288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南阳恒卓机械制造有限公司</w:t>
                  </w:r>
                </w:p>
              </w:tc>
              <w:tc>
                <w:tcPr>
                  <w:tcW w:w="1959" w:type="pct"/>
                  <w:tcBorders>
                    <w:tl2br w:val="nil"/>
                    <w:tr2bl w:val="nil"/>
                  </w:tcBorders>
                  <w:noWrap w:val="0"/>
                  <w:vAlign w:val="center"/>
                </w:tcPr>
                <w:p w14:paraId="3E5DA2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南阳恒卓机械制造有限公司</w:t>
                  </w:r>
                </w:p>
              </w:tc>
              <w:tc>
                <w:tcPr>
                  <w:tcW w:w="470" w:type="pct"/>
                  <w:tcBorders>
                    <w:tl2br w:val="nil"/>
                    <w:tr2bl w:val="nil"/>
                  </w:tcBorders>
                  <w:noWrap w:val="0"/>
                  <w:vAlign w:val="center"/>
                </w:tcPr>
                <w:p w14:paraId="0798D0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一致</w:t>
                  </w:r>
                </w:p>
              </w:tc>
            </w:tr>
            <w:tr w14:paraId="447BC2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44A39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Ansi="宋体"/>
                      <w:sz w:val="21"/>
                    </w:rPr>
                  </w:pPr>
                  <w:r>
                    <w:rPr>
                      <w:rFonts w:hAnsi="宋体"/>
                      <w:sz w:val="21"/>
                    </w:rPr>
                    <w:t>建设地点</w:t>
                  </w:r>
                </w:p>
              </w:tc>
              <w:tc>
                <w:tcPr>
                  <w:tcW w:w="1991" w:type="pct"/>
                  <w:tcBorders>
                    <w:tl2br w:val="nil"/>
                    <w:tr2bl w:val="nil"/>
                  </w:tcBorders>
                  <w:noWrap w:val="0"/>
                  <w:vAlign w:val="center"/>
                </w:tcPr>
                <w:p w14:paraId="296F40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南阳市镇平县先进制造业开发区玉神路与建设路交叉口北200米8号</w:t>
                  </w:r>
                </w:p>
              </w:tc>
              <w:tc>
                <w:tcPr>
                  <w:tcW w:w="1959" w:type="pct"/>
                  <w:tcBorders>
                    <w:tl2br w:val="nil"/>
                    <w:tr2bl w:val="nil"/>
                  </w:tcBorders>
                  <w:noWrap w:val="0"/>
                  <w:vAlign w:val="center"/>
                </w:tcPr>
                <w:p w14:paraId="0E495E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lang w:val="en-US" w:eastAsia="zh-CN"/>
                    </w:rPr>
                    <w:t>南阳市镇平县先进制造业开发区玉神路与建设路交叉口北200米8号</w:t>
                  </w:r>
                </w:p>
              </w:tc>
              <w:tc>
                <w:tcPr>
                  <w:tcW w:w="470" w:type="pct"/>
                  <w:tcBorders>
                    <w:tl2br w:val="nil"/>
                    <w:tr2bl w:val="nil"/>
                  </w:tcBorders>
                  <w:noWrap w:val="0"/>
                  <w:vAlign w:val="center"/>
                </w:tcPr>
                <w:p w14:paraId="06E167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一致</w:t>
                  </w:r>
                </w:p>
              </w:tc>
            </w:tr>
            <w:tr w14:paraId="4CDDA2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031CF6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Ansi="宋体"/>
                      <w:sz w:val="21"/>
                    </w:rPr>
                    <w:t>建设性质</w:t>
                  </w:r>
                </w:p>
              </w:tc>
              <w:tc>
                <w:tcPr>
                  <w:tcW w:w="1991" w:type="pct"/>
                  <w:tcBorders>
                    <w:tl2br w:val="nil"/>
                    <w:tr2bl w:val="nil"/>
                  </w:tcBorders>
                  <w:noWrap w:val="0"/>
                  <w:vAlign w:val="center"/>
                </w:tcPr>
                <w:p w14:paraId="28E24F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lang w:val="en-US" w:eastAsia="zh-CN"/>
                    </w:rPr>
                  </w:pPr>
                  <w:r>
                    <w:rPr>
                      <w:rFonts w:hint="eastAsia"/>
                      <w:sz w:val="21"/>
                      <w:lang w:val="en-US" w:eastAsia="zh-CN"/>
                    </w:rPr>
                    <w:t>新建</w:t>
                  </w:r>
                </w:p>
              </w:tc>
              <w:tc>
                <w:tcPr>
                  <w:tcW w:w="1959" w:type="pct"/>
                  <w:tcBorders>
                    <w:tl2br w:val="nil"/>
                    <w:tr2bl w:val="nil"/>
                  </w:tcBorders>
                  <w:noWrap w:val="0"/>
                  <w:vAlign w:val="center"/>
                </w:tcPr>
                <w:p w14:paraId="33C0A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imes New Roman"/>
                      <w:kern w:val="0"/>
                      <w:sz w:val="21"/>
                      <w:szCs w:val="21"/>
                    </w:rPr>
                  </w:pPr>
                  <w:r>
                    <w:rPr>
                      <w:rFonts w:hint="eastAsia"/>
                      <w:sz w:val="21"/>
                      <w:lang w:val="en-US" w:eastAsia="zh-CN"/>
                    </w:rPr>
                    <w:t>新建</w:t>
                  </w:r>
                </w:p>
              </w:tc>
              <w:tc>
                <w:tcPr>
                  <w:tcW w:w="470" w:type="pct"/>
                  <w:tcBorders>
                    <w:tl2br w:val="nil"/>
                    <w:tr2bl w:val="nil"/>
                  </w:tcBorders>
                  <w:noWrap w:val="0"/>
                  <w:vAlign w:val="center"/>
                </w:tcPr>
                <w:p w14:paraId="0FCC30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imes New Roman"/>
                      <w:kern w:val="0"/>
                      <w:sz w:val="21"/>
                      <w:szCs w:val="21"/>
                    </w:rPr>
                  </w:pPr>
                  <w:r>
                    <w:rPr>
                      <w:rFonts w:hint="eastAsia" w:eastAsia="宋体" w:cs="Times New Roman"/>
                      <w:kern w:val="0"/>
                      <w:sz w:val="21"/>
                      <w:szCs w:val="21"/>
                    </w:rPr>
                    <w:t>一致</w:t>
                  </w:r>
                </w:p>
              </w:tc>
            </w:tr>
            <w:tr w14:paraId="16EF79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4199AF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sz w:val="21"/>
                    </w:rPr>
                    <w:t>建设内容</w:t>
                  </w:r>
                </w:p>
              </w:tc>
              <w:tc>
                <w:tcPr>
                  <w:tcW w:w="1991" w:type="pct"/>
                  <w:tcBorders>
                    <w:tl2br w:val="nil"/>
                    <w:tr2bl w:val="nil"/>
                  </w:tcBorders>
                  <w:noWrap w:val="0"/>
                  <w:vAlign w:val="center"/>
                </w:tcPr>
                <w:p w14:paraId="013B3096">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sz w:val="21"/>
                      <w:szCs w:val="21"/>
                      <w:lang w:eastAsia="zh-CN"/>
                    </w:rPr>
                  </w:pPr>
                  <w:r>
                    <w:rPr>
                      <w:rFonts w:hint="eastAsia"/>
                      <w:sz w:val="21"/>
                      <w:lang w:val="en-US" w:eastAsia="zh-CN"/>
                    </w:rPr>
                    <w:t>项目租赁生产车间及其他辅助设施共计建筑面积7000平方米，以外购的废钢、生铁等为主要原料，主要生产工艺：原料—熔炼—造型—浇注—落砂—工件清理—热处理—抛丸—成品；项目建成投产后可达年产12000吨铸件的生产能力。</w:t>
                  </w:r>
                </w:p>
              </w:tc>
              <w:tc>
                <w:tcPr>
                  <w:tcW w:w="1959" w:type="pct"/>
                  <w:tcBorders>
                    <w:tl2br w:val="nil"/>
                    <w:tr2bl w:val="nil"/>
                  </w:tcBorders>
                  <w:noWrap w:val="0"/>
                  <w:vAlign w:val="center"/>
                </w:tcPr>
                <w:p w14:paraId="1D25FF51">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eastAsia="宋体" w:cs="Times New Roman"/>
                      <w:kern w:val="0"/>
                      <w:sz w:val="21"/>
                      <w:szCs w:val="21"/>
                      <w:lang w:eastAsia="zh-CN"/>
                    </w:rPr>
                  </w:pPr>
                  <w:r>
                    <w:rPr>
                      <w:rFonts w:hint="eastAsia"/>
                      <w:sz w:val="21"/>
                      <w:lang w:val="en-US" w:eastAsia="zh-CN"/>
                    </w:rPr>
                    <w:t>项目租赁生产车间及其他辅助设施共计建筑面积7000平方米，以外购的废钢、生铁等为主要原料，主要生产工艺：原料—熔炼—造型—浇注—落砂—工件清理—热处理—抛丸—成品；项目建成投产后可达年产12000吨铸件的生产能力。</w:t>
                  </w:r>
                </w:p>
              </w:tc>
              <w:tc>
                <w:tcPr>
                  <w:tcW w:w="470" w:type="pct"/>
                  <w:tcBorders>
                    <w:tl2br w:val="nil"/>
                    <w:tr2bl w:val="nil"/>
                  </w:tcBorders>
                  <w:noWrap w:val="0"/>
                  <w:vAlign w:val="center"/>
                </w:tcPr>
                <w:p w14:paraId="6AC7B5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imes New Roman"/>
                      <w:kern w:val="0"/>
                      <w:sz w:val="21"/>
                      <w:szCs w:val="21"/>
                    </w:rPr>
                  </w:pPr>
                  <w:r>
                    <w:rPr>
                      <w:rFonts w:hint="eastAsia" w:eastAsia="宋体" w:cs="Times New Roman"/>
                      <w:kern w:val="0"/>
                      <w:sz w:val="21"/>
                      <w:szCs w:val="21"/>
                    </w:rPr>
                    <w:t>一致</w:t>
                  </w:r>
                </w:p>
              </w:tc>
            </w:tr>
            <w:tr w14:paraId="09ACF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78" w:type="pct"/>
                  <w:tcBorders>
                    <w:tl2br w:val="nil"/>
                    <w:tr2bl w:val="nil"/>
                  </w:tcBorders>
                  <w:noWrap w:val="0"/>
                  <w:vAlign w:val="center"/>
                </w:tcPr>
                <w:p w14:paraId="55D73E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sz w:val="21"/>
                    </w:rPr>
                  </w:pPr>
                  <w:r>
                    <w:rPr>
                      <w:rFonts w:hint="eastAsia" w:hAnsi="宋体"/>
                      <w:sz w:val="21"/>
                    </w:rPr>
                    <w:t>总</w:t>
                  </w:r>
                  <w:r>
                    <w:rPr>
                      <w:rFonts w:hAnsi="宋体"/>
                      <w:sz w:val="21"/>
                    </w:rPr>
                    <w:t>投资</w:t>
                  </w:r>
                </w:p>
              </w:tc>
              <w:tc>
                <w:tcPr>
                  <w:tcW w:w="1991" w:type="pct"/>
                  <w:tcBorders>
                    <w:tl2br w:val="nil"/>
                    <w:tr2bl w:val="nil"/>
                  </w:tcBorders>
                  <w:noWrap w:val="0"/>
                  <w:vAlign w:val="center"/>
                </w:tcPr>
                <w:p w14:paraId="18364C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sz w:val="21"/>
                    </w:rPr>
                  </w:pPr>
                  <w:r>
                    <w:rPr>
                      <w:rFonts w:hint="eastAsia" w:eastAsia="宋体"/>
                      <w:sz w:val="21"/>
                      <w:lang w:val="en-US" w:eastAsia="zh-CN"/>
                    </w:rPr>
                    <w:t>5300万元</w:t>
                  </w:r>
                </w:p>
              </w:tc>
              <w:tc>
                <w:tcPr>
                  <w:tcW w:w="1959" w:type="pct"/>
                  <w:tcBorders>
                    <w:tl2br w:val="nil"/>
                    <w:tr2bl w:val="nil"/>
                  </w:tcBorders>
                  <w:noWrap w:val="0"/>
                  <w:vAlign w:val="center"/>
                </w:tcPr>
                <w:p w14:paraId="70F440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imes New Roman"/>
                      <w:kern w:val="0"/>
                      <w:sz w:val="21"/>
                      <w:szCs w:val="21"/>
                    </w:rPr>
                  </w:pPr>
                  <w:r>
                    <w:rPr>
                      <w:rFonts w:hint="eastAsia" w:eastAsia="宋体" w:cs="Times New Roman"/>
                      <w:kern w:val="0"/>
                      <w:sz w:val="21"/>
                      <w:szCs w:val="21"/>
                      <w:lang w:val="en-US" w:eastAsia="zh-CN"/>
                    </w:rPr>
                    <w:t>5300万元</w:t>
                  </w:r>
                </w:p>
              </w:tc>
              <w:tc>
                <w:tcPr>
                  <w:tcW w:w="470" w:type="pct"/>
                  <w:tcBorders>
                    <w:tl2br w:val="nil"/>
                    <w:tr2bl w:val="nil"/>
                  </w:tcBorders>
                  <w:noWrap w:val="0"/>
                  <w:vAlign w:val="center"/>
                </w:tcPr>
                <w:p w14:paraId="2E14B9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imes New Roman"/>
                      <w:kern w:val="0"/>
                      <w:sz w:val="21"/>
                      <w:szCs w:val="21"/>
                    </w:rPr>
                  </w:pPr>
                  <w:r>
                    <w:rPr>
                      <w:rFonts w:hint="eastAsia" w:eastAsia="宋体" w:cs="Times New Roman"/>
                      <w:kern w:val="0"/>
                      <w:sz w:val="21"/>
                      <w:szCs w:val="21"/>
                    </w:rPr>
                    <w:t>一致</w:t>
                  </w:r>
                </w:p>
              </w:tc>
            </w:tr>
          </w:tbl>
          <w:p w14:paraId="1EC072E0">
            <w:pPr>
              <w:spacing w:line="360" w:lineRule="auto"/>
              <w:ind w:firstLine="480" w:firstLineChars="200"/>
              <w:rPr>
                <w:rFonts w:ascii="Times New Roman" w:hAnsi="Times New Roman" w:eastAsia="宋体" w:cs="Times New Roman"/>
                <w:sz w:val="24"/>
                <w:szCs w:val="32"/>
              </w:rPr>
            </w:pPr>
            <w:r>
              <w:rPr>
                <w:rFonts w:hint="eastAsia" w:ascii="Times New Roman" w:hAnsi="Times New Roman" w:eastAsia="宋体" w:cs="Times New Roman"/>
                <w:sz w:val="24"/>
                <w:szCs w:val="32"/>
              </w:rPr>
              <w:t>（2）工程组成及建设内容</w:t>
            </w:r>
          </w:p>
          <w:p w14:paraId="2D9BCFE2">
            <w:pPr>
              <w:spacing w:line="360" w:lineRule="auto"/>
              <w:ind w:firstLine="480" w:firstLineChars="200"/>
              <w:rPr>
                <w:rFonts w:hint="default" w:ascii="Times New Roman" w:hAnsi="Times New Roman" w:eastAsia="宋体" w:cs="Times New Roman"/>
                <w:sz w:val="24"/>
                <w:szCs w:val="32"/>
                <w:highlight w:val="yellow"/>
              </w:rPr>
            </w:pPr>
            <w:r>
              <w:rPr>
                <w:rFonts w:hint="eastAsia" w:ascii="Times New Roman" w:hAnsi="Times New Roman" w:eastAsia="宋体" w:cs="Times New Roman"/>
                <w:sz w:val="24"/>
                <w:szCs w:val="32"/>
                <w:lang w:val="en-US" w:eastAsia="zh-CN"/>
              </w:rPr>
              <w:t>本项目不新增构筑物，主体工程（生产车间）、储运工程（</w:t>
            </w:r>
            <w:r>
              <w:rPr>
                <w:rFonts w:hint="eastAsia" w:cs="Times New Roman"/>
                <w:sz w:val="24"/>
                <w:szCs w:val="32"/>
                <w:lang w:val="en-US" w:eastAsia="zh-CN"/>
              </w:rPr>
              <w:t>原料</w:t>
            </w:r>
            <w:r>
              <w:rPr>
                <w:rFonts w:hint="eastAsia" w:ascii="Times New Roman" w:hAnsi="Times New Roman" w:eastAsia="宋体" w:cs="Times New Roman"/>
                <w:sz w:val="24"/>
                <w:szCs w:val="32"/>
                <w:lang w:val="en-US" w:eastAsia="zh-CN"/>
              </w:rPr>
              <w:t>库、成品库）、辅助工程（办公区）、公用工程（供水、供电）、废水治理工程（包括化粪池）等均依托</w:t>
            </w:r>
            <w:r>
              <w:rPr>
                <w:rFonts w:hint="eastAsia" w:eastAsia="宋体"/>
                <w:color w:val="000000" w:themeColor="text1"/>
                <w:szCs w:val="24"/>
                <w:highlight w:val="none"/>
                <w:lang w:val="en-US" w:eastAsia="zh-CN"/>
                <w14:textFill>
                  <w14:solidFill>
                    <w14:schemeClr w14:val="tx1"/>
                  </w14:solidFill>
                </w14:textFill>
              </w:rPr>
              <w:t>镇平县恒基混凝土有限公司</w:t>
            </w:r>
            <w:r>
              <w:rPr>
                <w:rFonts w:hint="eastAsia" w:cs="Times New Roman"/>
                <w:color w:val="auto"/>
                <w:sz w:val="24"/>
                <w:szCs w:val="24"/>
                <w:highlight w:val="none"/>
                <w:u w:val="none" w:color="auto"/>
                <w:lang w:val="en-US" w:eastAsia="zh-CN"/>
              </w:rPr>
              <w:t>已有设施，</w:t>
            </w:r>
            <w:r>
              <w:rPr>
                <w:rFonts w:hint="eastAsia" w:ascii="Times New Roman" w:hAnsi="Times New Roman" w:eastAsia="宋体" w:cs="Times New Roman"/>
                <w:sz w:val="24"/>
                <w:szCs w:val="32"/>
                <w:lang w:val="en-US" w:eastAsia="zh-CN"/>
              </w:rPr>
              <w:t>工程组成及建设内容</w:t>
            </w:r>
            <w:r>
              <w:rPr>
                <w:rFonts w:hint="default" w:ascii="Times New Roman" w:hAnsi="Times New Roman" w:eastAsia="宋体" w:cs="Times New Roman"/>
                <w:sz w:val="24"/>
                <w:szCs w:val="32"/>
              </w:rPr>
              <w:t>见下表。</w:t>
            </w:r>
          </w:p>
          <w:p w14:paraId="6F18EEA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Ansi="黑体" w:eastAsia="黑体" w:cs="Times New Roman"/>
                <w:color w:val="000000" w:themeColor="text1"/>
                <w14:textFill>
                  <w14:solidFill>
                    <w14:schemeClr w14:val="tx1"/>
                  </w14:solidFill>
                </w14:textFill>
              </w:rPr>
            </w:pPr>
            <w:r>
              <w:rPr>
                <w:rFonts w:hAnsi="黑体" w:eastAsia="黑体" w:cs="Times New Roman"/>
                <w:color w:val="000000" w:themeColor="text1"/>
                <w14:textFill>
                  <w14:solidFill>
                    <w14:schemeClr w14:val="tx1"/>
                  </w14:solidFill>
                </w14:textFill>
              </w:rPr>
              <w:t>表</w:t>
            </w:r>
            <w:r>
              <w:rPr>
                <w:rFonts w:eastAsia="黑体" w:cs="Times New Roman"/>
                <w:color w:val="000000" w:themeColor="text1"/>
                <w14:textFill>
                  <w14:solidFill>
                    <w14:schemeClr w14:val="tx1"/>
                  </w14:solidFill>
                </w14:textFill>
              </w:rPr>
              <w:t>2-</w:t>
            </w:r>
            <w:r>
              <w:rPr>
                <w:rFonts w:hint="eastAsia" w:eastAsia="黑体" w:cs="Times New Roman"/>
                <w:color w:val="000000" w:themeColor="text1"/>
                <w:lang w:val="en-US" w:eastAsia="zh-CN"/>
                <w14:textFill>
                  <w14:solidFill>
                    <w14:schemeClr w14:val="tx1"/>
                  </w14:solidFill>
                </w14:textFill>
              </w:rPr>
              <w:t>3</w:t>
            </w:r>
            <w:r>
              <w:rPr>
                <w:rFonts w:eastAsia="黑体" w:cs="Times New Roman"/>
                <w:color w:val="000000" w:themeColor="text1"/>
                <w14:textFill>
                  <w14:solidFill>
                    <w14:schemeClr w14:val="tx1"/>
                  </w14:solidFill>
                </w14:textFill>
              </w:rPr>
              <w:t xml:space="preserve">  </w:t>
            </w:r>
            <w:r>
              <w:rPr>
                <w:rFonts w:hAnsi="黑体" w:eastAsia="黑体" w:cs="Times New Roman"/>
                <w:color w:val="000000" w:themeColor="text1"/>
                <w14:textFill>
                  <w14:solidFill>
                    <w14:schemeClr w14:val="tx1"/>
                  </w14:solidFill>
                </w14:textFill>
              </w:rPr>
              <w:t>工程组成及建设内容情况</w:t>
            </w:r>
          </w:p>
          <w:tbl>
            <w:tblPr>
              <w:tblStyle w:val="29"/>
              <w:tblW w:w="4998"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57" w:type="dxa"/>
                <w:bottom w:w="0" w:type="dxa"/>
                <w:right w:w="57" w:type="dxa"/>
              </w:tblCellMar>
            </w:tblPr>
            <w:tblGrid>
              <w:gridCol w:w="565"/>
              <w:gridCol w:w="671"/>
              <w:gridCol w:w="1438"/>
              <w:gridCol w:w="1169"/>
              <w:gridCol w:w="3915"/>
              <w:gridCol w:w="799"/>
            </w:tblGrid>
            <w:tr w14:paraId="3EFA1B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14FD8EE7">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类型</w:t>
                  </w:r>
                </w:p>
              </w:tc>
              <w:tc>
                <w:tcPr>
                  <w:tcW w:w="392" w:type="pct"/>
                  <w:tcBorders>
                    <w:tl2br w:val="nil"/>
                    <w:tr2bl w:val="nil"/>
                  </w:tcBorders>
                  <w:vAlign w:val="center"/>
                </w:tcPr>
                <w:p w14:paraId="7CF3EFCD">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工程组成</w:t>
                  </w:r>
                </w:p>
              </w:tc>
              <w:tc>
                <w:tcPr>
                  <w:tcW w:w="3810" w:type="pct"/>
                  <w:gridSpan w:val="3"/>
                  <w:tcBorders>
                    <w:tl2br w:val="nil"/>
                    <w:tr2bl w:val="nil"/>
                  </w:tcBorders>
                  <w:vAlign w:val="center"/>
                </w:tcPr>
                <w:p w14:paraId="19A2C137">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建设内容及规模</w:t>
                  </w:r>
                </w:p>
              </w:tc>
              <w:tc>
                <w:tcPr>
                  <w:tcW w:w="466" w:type="pct"/>
                  <w:tcBorders>
                    <w:tl2br w:val="nil"/>
                    <w:tr2bl w:val="nil"/>
                  </w:tcBorders>
                  <w:vAlign w:val="center"/>
                </w:tcPr>
                <w:p w14:paraId="56D2882C">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备注</w:t>
                  </w:r>
                </w:p>
              </w:tc>
            </w:tr>
            <w:tr w14:paraId="019B5C6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0DDF2FC6">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主体</w:t>
                  </w:r>
                </w:p>
                <w:p w14:paraId="475AB26A">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w:t>
                  </w:r>
                </w:p>
              </w:tc>
              <w:tc>
                <w:tcPr>
                  <w:tcW w:w="392" w:type="pct"/>
                  <w:tcBorders>
                    <w:tl2br w:val="nil"/>
                    <w:tr2bl w:val="nil"/>
                  </w:tcBorders>
                  <w:vAlign w:val="center"/>
                </w:tcPr>
                <w:p w14:paraId="6870EFBC">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生产车间</w:t>
                  </w:r>
                </w:p>
              </w:tc>
              <w:tc>
                <w:tcPr>
                  <w:tcW w:w="3810" w:type="pct"/>
                  <w:gridSpan w:val="3"/>
                  <w:tcBorders>
                    <w:tl2br w:val="nil"/>
                    <w:tr2bl w:val="nil"/>
                  </w:tcBorders>
                  <w:vAlign w:val="center"/>
                </w:tcPr>
                <w:p w14:paraId="4F4F74EF">
                  <w:pPr>
                    <w:pStyle w:val="35"/>
                    <w:jc w:val="both"/>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钢结构，占地面积5000m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，购置固定式混砂机、移动式混砂机、中频炉、树脂砂生产线、</w:t>
                  </w:r>
                  <w:r>
                    <w:rPr>
                      <w:rFonts w:hint="eastAsia"/>
                      <w:color w:val="000000"/>
                      <w:sz w:val="21"/>
                      <w:szCs w:val="21"/>
                      <w:highlight w:val="none"/>
                      <w:lang w:val="en-US" w:eastAsia="zh-CN"/>
                    </w:rPr>
                    <w:t>全纤维中温台车炉、抛丸机</w:t>
                  </w:r>
                  <w:r>
                    <w:rPr>
                      <w:rFonts w:hint="eastAsia" w:ascii="Times New Roman" w:hAnsi="Times New Roman" w:eastAsia="宋体" w:cs="Times New Roman"/>
                      <w:bCs/>
                      <w:color w:val="auto"/>
                      <w:sz w:val="21"/>
                      <w:szCs w:val="21"/>
                      <w:highlight w:val="none"/>
                      <w:u w:val="none" w:color="auto"/>
                      <w:lang w:val="en-US" w:eastAsia="zh-CN"/>
                    </w:rPr>
                    <w:t>等生产设备，用于铸件生产。</w:t>
                  </w:r>
                </w:p>
              </w:tc>
              <w:tc>
                <w:tcPr>
                  <w:tcW w:w="466" w:type="pct"/>
                  <w:vMerge w:val="restart"/>
                  <w:tcBorders>
                    <w:tl2br w:val="nil"/>
                    <w:tr2bl w:val="nil"/>
                  </w:tcBorders>
                  <w:vAlign w:val="center"/>
                </w:tcPr>
                <w:p w14:paraId="5D9B16DB">
                  <w:pPr>
                    <w:pStyle w:val="35"/>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依托恒基混凝土公司已建厂房</w:t>
                  </w:r>
                </w:p>
              </w:tc>
            </w:tr>
            <w:tr w14:paraId="768A810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28C52B00">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辅助工程</w:t>
                  </w:r>
                </w:p>
              </w:tc>
              <w:tc>
                <w:tcPr>
                  <w:tcW w:w="392" w:type="pct"/>
                  <w:tcBorders>
                    <w:tl2br w:val="nil"/>
                    <w:tr2bl w:val="nil"/>
                  </w:tcBorders>
                  <w:vAlign w:val="center"/>
                </w:tcPr>
                <w:p w14:paraId="01BC325D">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原料库</w:t>
                  </w:r>
                </w:p>
              </w:tc>
              <w:tc>
                <w:tcPr>
                  <w:tcW w:w="3810" w:type="pct"/>
                  <w:gridSpan w:val="3"/>
                  <w:tcBorders>
                    <w:tl2br w:val="nil"/>
                    <w:tr2bl w:val="nil"/>
                  </w:tcBorders>
                  <w:vAlign w:val="center"/>
                </w:tcPr>
                <w:p w14:paraId="4A9F7EA1">
                  <w:pPr>
                    <w:pStyle w:val="35"/>
                    <w:jc w:val="both"/>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钢结构，占地面积1000m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w:t>
                  </w:r>
                  <w:r>
                    <w:rPr>
                      <w:rFonts w:hint="default"/>
                      <w:color w:val="000000" w:themeColor="text1"/>
                      <w:sz w:val="21"/>
                      <w:szCs w:val="21"/>
                      <w:lang w:val="en-US" w:eastAsia="zh-CN"/>
                      <w14:textFill>
                        <w14:solidFill>
                          <w14:schemeClr w14:val="tx1"/>
                        </w14:solidFill>
                      </w14:textFill>
                    </w:rPr>
                    <w:t>不同原料设置不同的原料区分类储存，分为物料暂存区和原料区，其中物料暂存区暂存</w:t>
                  </w:r>
                  <w:r>
                    <w:rPr>
                      <w:rFonts w:hint="default"/>
                      <w:color w:val="000000" w:themeColor="text1"/>
                      <w:sz w:val="21"/>
                      <w:szCs w:val="21"/>
                      <w:highlight w:val="none"/>
                      <w:lang w:val="en-US" w:eastAsia="zh-CN"/>
                      <w14:textFill>
                        <w14:solidFill>
                          <w14:schemeClr w14:val="tx1"/>
                        </w14:solidFill>
                      </w14:textFill>
                    </w:rPr>
                    <w:t>醇基涂料、呋喃树脂、固化剂、</w:t>
                  </w:r>
                  <w:r>
                    <w:rPr>
                      <w:rFonts w:hint="eastAsia"/>
                      <w:color w:val="000000" w:themeColor="text1"/>
                      <w:sz w:val="21"/>
                      <w:szCs w:val="21"/>
                      <w:highlight w:val="none"/>
                      <w:lang w:val="en-US" w:eastAsia="zh-CN"/>
                      <w14:textFill>
                        <w14:solidFill>
                          <w14:schemeClr w14:val="tx1"/>
                        </w14:solidFill>
                      </w14:textFill>
                    </w:rPr>
                    <w:t>脱模剂</w:t>
                  </w:r>
                  <w:r>
                    <w:rPr>
                      <w:rFonts w:hint="default"/>
                      <w:color w:val="000000" w:themeColor="text1"/>
                      <w:sz w:val="21"/>
                      <w:szCs w:val="21"/>
                      <w:highlight w:val="none"/>
                      <w:lang w:val="en-US" w:eastAsia="zh-CN"/>
                      <w14:textFill>
                        <w14:solidFill>
                          <w14:schemeClr w14:val="tx1"/>
                        </w14:solidFill>
                      </w14:textFill>
                    </w:rPr>
                    <w:t>等原辅料</w:t>
                  </w:r>
                  <w:r>
                    <w:rPr>
                      <w:rFonts w:hint="default"/>
                      <w:color w:val="000000" w:themeColor="text1"/>
                      <w:sz w:val="21"/>
                      <w:szCs w:val="21"/>
                      <w:lang w:val="en-US" w:eastAsia="zh-CN"/>
                      <w14:textFill>
                        <w14:solidFill>
                          <w14:schemeClr w14:val="tx1"/>
                        </w14:solidFill>
                      </w14:textFill>
                    </w:rPr>
                    <w:t>，其余原辅料暂存原料区</w:t>
                  </w:r>
                  <w:r>
                    <w:rPr>
                      <w:rFonts w:hint="eastAsia"/>
                      <w:color w:val="000000" w:themeColor="text1"/>
                      <w:sz w:val="21"/>
                      <w:szCs w:val="21"/>
                      <w:lang w:val="en-US" w:eastAsia="zh-CN"/>
                      <w14:textFill>
                        <w14:solidFill>
                          <w14:schemeClr w14:val="tx1"/>
                        </w14:solidFill>
                      </w14:textFill>
                    </w:rPr>
                    <w:t>。</w:t>
                  </w:r>
                </w:p>
              </w:tc>
              <w:tc>
                <w:tcPr>
                  <w:tcW w:w="466" w:type="pct"/>
                  <w:vMerge w:val="continue"/>
                  <w:tcBorders>
                    <w:tl2br w:val="nil"/>
                    <w:tr2bl w:val="nil"/>
                  </w:tcBorders>
                  <w:vAlign w:val="center"/>
                </w:tcPr>
                <w:p w14:paraId="29DFBFED">
                  <w:pPr>
                    <w:pStyle w:val="35"/>
                    <w:jc w:val="center"/>
                    <w:rPr>
                      <w:rFonts w:hint="eastAsia" w:ascii="Times New Roman" w:hAnsi="Times New Roman" w:eastAsia="宋体" w:cs="Times New Roman"/>
                      <w:bCs/>
                      <w:color w:val="auto"/>
                      <w:sz w:val="21"/>
                      <w:szCs w:val="21"/>
                      <w:highlight w:val="none"/>
                      <w:u w:val="none" w:color="auto"/>
                      <w:lang w:val="en-US" w:eastAsia="zh-CN"/>
                    </w:rPr>
                  </w:pPr>
                </w:p>
              </w:tc>
            </w:tr>
            <w:tr w14:paraId="661C81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02705572">
                  <w:pPr>
                    <w:pStyle w:val="35"/>
                    <w:rPr>
                      <w:color w:val="000000" w:themeColor="text1"/>
                      <w:sz w:val="21"/>
                      <w:szCs w:val="21"/>
                      <w14:textFill>
                        <w14:solidFill>
                          <w14:schemeClr w14:val="tx1"/>
                        </w14:solidFill>
                      </w14:textFill>
                    </w:rPr>
                  </w:pPr>
                </w:p>
              </w:tc>
              <w:tc>
                <w:tcPr>
                  <w:tcW w:w="392" w:type="pct"/>
                  <w:tcBorders>
                    <w:tl2br w:val="nil"/>
                    <w:tr2bl w:val="nil"/>
                  </w:tcBorders>
                  <w:vAlign w:val="center"/>
                </w:tcPr>
                <w:p w14:paraId="7A699D07">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成品库</w:t>
                  </w:r>
                </w:p>
              </w:tc>
              <w:tc>
                <w:tcPr>
                  <w:tcW w:w="3810" w:type="pct"/>
                  <w:gridSpan w:val="3"/>
                  <w:tcBorders>
                    <w:tl2br w:val="nil"/>
                    <w:tr2bl w:val="nil"/>
                  </w:tcBorders>
                  <w:vAlign w:val="center"/>
                </w:tcPr>
                <w:p w14:paraId="4E37124F">
                  <w:pPr>
                    <w:pStyle w:val="35"/>
                    <w:jc w:val="both"/>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钢结构，占地面积1000m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，用于产品暂存。</w:t>
                  </w:r>
                </w:p>
              </w:tc>
              <w:tc>
                <w:tcPr>
                  <w:tcW w:w="466" w:type="pct"/>
                  <w:vMerge w:val="continue"/>
                  <w:tcBorders>
                    <w:tl2br w:val="nil"/>
                    <w:tr2bl w:val="nil"/>
                  </w:tcBorders>
                  <w:vAlign w:val="center"/>
                </w:tcPr>
                <w:p w14:paraId="1F023A24">
                  <w:pPr>
                    <w:pStyle w:val="35"/>
                    <w:jc w:val="center"/>
                    <w:rPr>
                      <w:rFonts w:hint="eastAsia" w:ascii="Times New Roman" w:hAnsi="Times New Roman" w:eastAsia="宋体" w:cs="Times New Roman"/>
                      <w:bCs/>
                      <w:color w:val="auto"/>
                      <w:sz w:val="21"/>
                      <w:szCs w:val="21"/>
                      <w:highlight w:val="none"/>
                      <w:u w:val="none" w:color="auto"/>
                      <w:lang w:val="en-US" w:eastAsia="zh-CN"/>
                    </w:rPr>
                  </w:pPr>
                </w:p>
              </w:tc>
            </w:tr>
            <w:tr w14:paraId="109ABC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3883756B">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辅助</w:t>
                  </w:r>
                </w:p>
                <w:p w14:paraId="00D04911">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w:t>
                  </w:r>
                </w:p>
              </w:tc>
              <w:tc>
                <w:tcPr>
                  <w:tcW w:w="392" w:type="pct"/>
                  <w:tcBorders>
                    <w:tl2br w:val="nil"/>
                    <w:tr2bl w:val="nil"/>
                  </w:tcBorders>
                  <w:vAlign w:val="center"/>
                </w:tcPr>
                <w:p w14:paraId="12DBDD70">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办公楼</w:t>
                  </w:r>
                </w:p>
              </w:tc>
              <w:tc>
                <w:tcPr>
                  <w:tcW w:w="3810" w:type="pct"/>
                  <w:gridSpan w:val="3"/>
                  <w:tcBorders>
                    <w:tl2br w:val="nil"/>
                    <w:tr2bl w:val="nil"/>
                  </w:tcBorders>
                  <w:vAlign w:val="center"/>
                </w:tcPr>
                <w:p w14:paraId="2B5CC11C">
                  <w:pPr>
                    <w:pStyle w:val="35"/>
                    <w:jc w:val="both"/>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砖混结构，占地面积约450m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，用于人员办公。</w:t>
                  </w:r>
                </w:p>
              </w:tc>
              <w:tc>
                <w:tcPr>
                  <w:tcW w:w="466" w:type="pct"/>
                  <w:vMerge w:val="restart"/>
                  <w:tcBorders>
                    <w:tl2br w:val="nil"/>
                    <w:tr2bl w:val="nil"/>
                  </w:tcBorders>
                  <w:vAlign w:val="center"/>
                </w:tcPr>
                <w:p w14:paraId="7A07BFD7">
                  <w:pPr>
                    <w:pStyle w:val="35"/>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依托恒基混凝土公司已有设施</w:t>
                  </w:r>
                </w:p>
              </w:tc>
            </w:tr>
            <w:tr w14:paraId="23C6A5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698D2C85">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公用工程</w:t>
                  </w:r>
                </w:p>
              </w:tc>
              <w:tc>
                <w:tcPr>
                  <w:tcW w:w="392" w:type="pct"/>
                  <w:tcBorders>
                    <w:tl2br w:val="nil"/>
                    <w:tr2bl w:val="nil"/>
                  </w:tcBorders>
                  <w:vAlign w:val="center"/>
                </w:tcPr>
                <w:p w14:paraId="45B40705">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供水</w:t>
                  </w:r>
                </w:p>
              </w:tc>
              <w:tc>
                <w:tcPr>
                  <w:tcW w:w="3810" w:type="pct"/>
                  <w:gridSpan w:val="3"/>
                  <w:tcBorders>
                    <w:tl2br w:val="nil"/>
                    <w:tr2bl w:val="nil"/>
                  </w:tcBorders>
                  <w:vAlign w:val="center"/>
                </w:tcPr>
                <w:p w14:paraId="75FED005">
                  <w:pPr>
                    <w:pStyle w:val="35"/>
                    <w:jc w:val="both"/>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由市政自来水管网供给</w:t>
                  </w:r>
                  <w:r>
                    <w:rPr>
                      <w:rFonts w:hint="eastAsia"/>
                      <w:color w:val="000000" w:themeColor="text1"/>
                      <w:sz w:val="21"/>
                      <w:szCs w:val="21"/>
                      <w:lang w:eastAsia="zh-CN"/>
                      <w14:textFill>
                        <w14:solidFill>
                          <w14:schemeClr w14:val="tx1"/>
                        </w14:solidFill>
                      </w14:textFill>
                    </w:rPr>
                    <w:t>。</w:t>
                  </w:r>
                </w:p>
              </w:tc>
              <w:tc>
                <w:tcPr>
                  <w:tcW w:w="466" w:type="pct"/>
                  <w:vMerge w:val="continue"/>
                  <w:tcBorders>
                    <w:tl2br w:val="nil"/>
                    <w:tr2bl w:val="nil"/>
                  </w:tcBorders>
                  <w:vAlign w:val="center"/>
                </w:tcPr>
                <w:p w14:paraId="6E534D3A">
                  <w:pPr>
                    <w:pStyle w:val="35"/>
                    <w:rPr>
                      <w:color w:val="000000" w:themeColor="text1"/>
                      <w:sz w:val="21"/>
                      <w:szCs w:val="21"/>
                      <w14:textFill>
                        <w14:solidFill>
                          <w14:schemeClr w14:val="tx1"/>
                        </w14:solidFill>
                      </w14:textFill>
                    </w:rPr>
                  </w:pPr>
                </w:p>
              </w:tc>
            </w:tr>
            <w:tr w14:paraId="1F0AF83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48BBF01">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43BA24FB">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排水</w:t>
                  </w:r>
                </w:p>
              </w:tc>
              <w:tc>
                <w:tcPr>
                  <w:tcW w:w="3810" w:type="pct"/>
                  <w:gridSpan w:val="3"/>
                  <w:tcBorders>
                    <w:tl2br w:val="nil"/>
                    <w:tr2bl w:val="nil"/>
                  </w:tcBorders>
                  <w:vAlign w:val="center"/>
                </w:tcPr>
                <w:p w14:paraId="5B0700D4">
                  <w:pPr>
                    <w:pStyle w:val="35"/>
                    <w:jc w:val="both"/>
                    <w:rPr>
                      <w:rFonts w:hint="default"/>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实行雨污分流排水体系。</w:t>
                  </w:r>
                  <w:r>
                    <w:rPr>
                      <w:color w:val="000000" w:themeColor="text1"/>
                      <w:sz w:val="21"/>
                      <w:szCs w:val="21"/>
                      <w14:textFill>
                        <w14:solidFill>
                          <w14:schemeClr w14:val="tx1"/>
                        </w14:solidFill>
                      </w14:textFill>
                    </w:rPr>
                    <w:t>项目区雨水经厂区雨水排放口</w:t>
                  </w:r>
                  <w:r>
                    <w:rPr>
                      <w:rFonts w:hint="eastAsia"/>
                      <w:color w:val="000000" w:themeColor="text1"/>
                      <w:sz w:val="21"/>
                      <w:szCs w:val="21"/>
                      <w:lang w:val="en-US" w:eastAsia="zh-CN"/>
                      <w14:textFill>
                        <w14:solidFill>
                          <w14:schemeClr w14:val="tx1"/>
                        </w14:solidFill>
                      </w14:textFill>
                    </w:rPr>
                    <w:t>进入厂区南侧市政雨水管网后向西</w:t>
                  </w:r>
                  <w:r>
                    <w:rPr>
                      <w:color w:val="000000" w:themeColor="text1"/>
                      <w:sz w:val="21"/>
                      <w:szCs w:val="21"/>
                      <w14:textFill>
                        <w14:solidFill>
                          <w14:schemeClr w14:val="tx1"/>
                        </w14:solidFill>
                      </w14:textFill>
                    </w:rPr>
                    <w:t>排入</w:t>
                  </w:r>
                  <w:r>
                    <w:rPr>
                      <w:rFonts w:hint="eastAsia"/>
                      <w:color w:val="000000" w:themeColor="text1"/>
                      <w:sz w:val="21"/>
                      <w:szCs w:val="21"/>
                      <w:lang w:val="en-US" w:eastAsia="zh-CN"/>
                      <w14:textFill>
                        <w14:solidFill>
                          <w14:schemeClr w14:val="tx1"/>
                        </w14:solidFill>
                      </w14:textFill>
                    </w:rPr>
                    <w:t>赵河</w:t>
                  </w:r>
                  <w:r>
                    <w:rPr>
                      <w:color w:val="000000" w:themeColor="text1"/>
                      <w14:textFill>
                        <w14:solidFill>
                          <w14:schemeClr w14:val="tx1"/>
                        </w14:solidFill>
                      </w14:textFill>
                    </w:rPr>
                    <w:t>；污水排放：</w:t>
                  </w: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营运期职工生活污水经化粪池处理后</w:t>
                  </w:r>
                  <w:r>
                    <w:rPr>
                      <w:rFonts w:hint="eastAsia"/>
                      <w:kern w:val="21"/>
                      <w:sz w:val="21"/>
                      <w:szCs w:val="21"/>
                      <w:lang w:val="en-US" w:eastAsia="zh-CN"/>
                    </w:rPr>
                    <w:t>排入建设大道污水管网，最终经镇平县第二污水处理厂</w:t>
                  </w:r>
                  <w:r>
                    <w:rPr>
                      <w:rFonts w:hint="eastAsia" w:eastAsia="宋体"/>
                      <w:kern w:val="21"/>
                      <w:sz w:val="21"/>
                      <w:szCs w:val="21"/>
                      <w:lang w:val="en-US" w:eastAsia="zh-CN"/>
                    </w:rPr>
                    <w:t>处理达标后排入赵河</w:t>
                  </w:r>
                  <w:r>
                    <w:rPr>
                      <w:rFonts w:hint="eastAsia"/>
                      <w:kern w:val="21"/>
                      <w:sz w:val="21"/>
                      <w:szCs w:val="21"/>
                      <w:lang w:val="en-US" w:eastAsia="zh-CN"/>
                    </w:rPr>
                    <w:t>。</w:t>
                  </w:r>
                </w:p>
              </w:tc>
              <w:tc>
                <w:tcPr>
                  <w:tcW w:w="466" w:type="pct"/>
                  <w:vMerge w:val="continue"/>
                  <w:tcBorders>
                    <w:tl2br w:val="nil"/>
                    <w:tr2bl w:val="nil"/>
                  </w:tcBorders>
                  <w:vAlign w:val="center"/>
                </w:tcPr>
                <w:p w14:paraId="1A7462CF">
                  <w:pPr>
                    <w:pStyle w:val="35"/>
                    <w:rPr>
                      <w:color w:val="000000" w:themeColor="text1"/>
                      <w:kern w:val="0"/>
                      <w:sz w:val="21"/>
                      <w:szCs w:val="21"/>
                      <w14:textFill>
                        <w14:solidFill>
                          <w14:schemeClr w14:val="tx1"/>
                        </w14:solidFill>
                      </w14:textFill>
                    </w:rPr>
                  </w:pPr>
                </w:p>
              </w:tc>
            </w:tr>
            <w:tr w14:paraId="3B51731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3EEF9CF">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70732DF7">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供电</w:t>
                  </w:r>
                </w:p>
              </w:tc>
              <w:tc>
                <w:tcPr>
                  <w:tcW w:w="3810" w:type="pct"/>
                  <w:gridSpan w:val="3"/>
                  <w:tcBorders>
                    <w:tl2br w:val="nil"/>
                    <w:tr2bl w:val="nil"/>
                  </w:tcBorders>
                  <w:vAlign w:val="center"/>
                </w:tcPr>
                <w:p w14:paraId="2ACE47FE">
                  <w:pPr>
                    <w:pStyle w:val="35"/>
                    <w:jc w:val="both"/>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由市政供电电网供给</w:t>
                  </w:r>
                  <w:r>
                    <w:rPr>
                      <w:rFonts w:hint="eastAsia"/>
                      <w:color w:val="000000" w:themeColor="text1"/>
                      <w:sz w:val="21"/>
                      <w:szCs w:val="21"/>
                      <w:lang w:eastAsia="zh-CN"/>
                      <w14:textFill>
                        <w14:solidFill>
                          <w14:schemeClr w14:val="tx1"/>
                        </w14:solidFill>
                      </w14:textFill>
                    </w:rPr>
                    <w:t>。</w:t>
                  </w:r>
                </w:p>
              </w:tc>
              <w:tc>
                <w:tcPr>
                  <w:tcW w:w="466" w:type="pct"/>
                  <w:vMerge w:val="continue"/>
                  <w:tcBorders>
                    <w:tl2br w:val="nil"/>
                    <w:tr2bl w:val="nil"/>
                  </w:tcBorders>
                  <w:vAlign w:val="center"/>
                </w:tcPr>
                <w:p w14:paraId="70D5384D">
                  <w:pPr>
                    <w:pStyle w:val="35"/>
                    <w:rPr>
                      <w:color w:val="000000" w:themeColor="text1"/>
                      <w:sz w:val="21"/>
                      <w:szCs w:val="21"/>
                      <w14:textFill>
                        <w14:solidFill>
                          <w14:schemeClr w14:val="tx1"/>
                        </w14:solidFill>
                      </w14:textFill>
                    </w:rPr>
                  </w:pPr>
                </w:p>
              </w:tc>
            </w:tr>
            <w:tr w14:paraId="2F54A03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43BABB9F">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环保工程</w:t>
                  </w:r>
                </w:p>
              </w:tc>
              <w:tc>
                <w:tcPr>
                  <w:tcW w:w="392" w:type="pct"/>
                  <w:vMerge w:val="restart"/>
                  <w:tcBorders>
                    <w:tl2br w:val="nil"/>
                    <w:tr2bl w:val="nil"/>
                  </w:tcBorders>
                  <w:vAlign w:val="center"/>
                </w:tcPr>
                <w:p w14:paraId="7A9DDA4E">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废气治理</w:t>
                  </w:r>
                </w:p>
              </w:tc>
              <w:tc>
                <w:tcPr>
                  <w:tcW w:w="840" w:type="pct"/>
                  <w:tcBorders>
                    <w:tl2br w:val="nil"/>
                    <w:tr2bl w:val="nil"/>
                  </w:tcBorders>
                  <w:vAlign w:val="center"/>
                </w:tcPr>
                <w:p w14:paraId="415A8952">
                  <w:pPr>
                    <w:pStyle w:val="35"/>
                    <w:ind w:firstLine="0" w:firstLineChars="0"/>
                    <w:rPr>
                      <w:rFonts w:hint="default"/>
                      <w:color w:val="000000" w:themeColor="text1"/>
                      <w:sz w:val="21"/>
                      <w:szCs w:val="21"/>
                      <w14:textFill>
                        <w14:solidFill>
                          <w14:schemeClr w14:val="tx1"/>
                        </w14:solidFill>
                      </w14:textFill>
                    </w:rPr>
                  </w:pPr>
                  <w:r>
                    <w:rPr>
                      <w:rFonts w:hint="default" w:ascii="Times New Roman" w:hAnsi="Times New Roman" w:cs="Times New Roman"/>
                      <w:b w:val="0"/>
                      <w:bCs w:val="0"/>
                      <w:color w:val="auto"/>
                      <w:kern w:val="0"/>
                      <w:sz w:val="21"/>
                      <w:szCs w:val="21"/>
                      <w:highlight w:val="none"/>
                      <w:u w:val="none" w:color="auto"/>
                      <w:lang w:val="en-US" w:eastAsia="zh-CN" w:bidi="ar-SA"/>
                    </w:rPr>
                    <w:t>熔炼</w:t>
                  </w:r>
                  <w:r>
                    <w:rPr>
                      <w:rFonts w:hint="eastAsia" w:ascii="Times New Roman" w:hAnsi="Times New Roman" w:cs="Times New Roman"/>
                      <w:b w:val="0"/>
                      <w:bCs w:val="0"/>
                      <w:color w:val="auto"/>
                      <w:kern w:val="0"/>
                      <w:sz w:val="21"/>
                      <w:szCs w:val="21"/>
                      <w:highlight w:val="none"/>
                      <w:u w:val="none" w:color="auto"/>
                      <w:lang w:val="en-US" w:eastAsia="zh-CN" w:bidi="ar-SA"/>
                    </w:rPr>
                    <w:t>工序</w:t>
                  </w:r>
                </w:p>
              </w:tc>
              <w:tc>
                <w:tcPr>
                  <w:tcW w:w="683" w:type="pct"/>
                  <w:tcBorders>
                    <w:tl2br w:val="nil"/>
                    <w:tr2bl w:val="nil"/>
                  </w:tcBorders>
                  <w:vAlign w:val="center"/>
                </w:tcPr>
                <w:p w14:paraId="5E9F9316">
                  <w:pPr>
                    <w:pStyle w:val="35"/>
                    <w:ind w:firstLine="0" w:firstLineChars="0"/>
                    <w:rPr>
                      <w:rFonts w:hint="default"/>
                      <w:color w:val="000000" w:themeColor="text1"/>
                      <w:sz w:val="21"/>
                      <w:szCs w:val="21"/>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0B6EF512">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eastAsia="宋体"/>
                      <w:color w:val="000000" w:themeColor="text1"/>
                      <w:sz w:val="21"/>
                      <w:szCs w:val="21"/>
                      <w:lang w:eastAsia="zh-CN"/>
                      <w14:textFill>
                        <w14:solidFill>
                          <w14:schemeClr w14:val="tx1"/>
                        </w14:solidFill>
                      </w14:textFill>
                    </w:rPr>
                  </w:pPr>
                  <w:r>
                    <w:rPr>
                      <w:rFonts w:hint="eastAsia"/>
                      <w:color w:val="000000"/>
                      <w:sz w:val="21"/>
                      <w:szCs w:val="21"/>
                      <w:u w:val="none" w:color="auto"/>
                    </w:rPr>
                    <w:t>集气罩收集，经1套耐高温袋式除尘器处理后，经1根15m高排气筒排放</w:t>
                  </w:r>
                </w:p>
              </w:tc>
              <w:tc>
                <w:tcPr>
                  <w:tcW w:w="466" w:type="pct"/>
                  <w:tcBorders>
                    <w:tl2br w:val="nil"/>
                    <w:tr2bl w:val="nil"/>
                  </w:tcBorders>
                  <w:vAlign w:val="center"/>
                </w:tcPr>
                <w:p w14:paraId="114FB04A">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10C4C8C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00726F57">
                  <w:pPr>
                    <w:pStyle w:val="35"/>
                    <w:rPr>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65DB5EEB">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5D53D489">
                  <w:pPr>
                    <w:pStyle w:val="35"/>
                    <w:ind w:firstLine="0" w:firstLineChars="0"/>
                    <w:rPr>
                      <w:rFonts w:hint="default" w:ascii="Times New Roman" w:hAnsi="Times New Roman" w:cs="Times New Roman"/>
                      <w:b w:val="0"/>
                      <w:bCs w:val="0"/>
                      <w:color w:val="auto"/>
                      <w:kern w:val="0"/>
                      <w:sz w:val="21"/>
                      <w:szCs w:val="21"/>
                      <w:highlight w:val="none"/>
                      <w:u w:val="none" w:color="auto"/>
                      <w:lang w:val="en-US" w:eastAsia="zh-CN" w:bidi="ar-SA"/>
                    </w:rPr>
                  </w:pPr>
                  <w:r>
                    <w:rPr>
                      <w:rFonts w:hint="default" w:ascii="Times New Roman" w:hAnsi="Times New Roman" w:cs="Times New Roman"/>
                      <w:b w:val="0"/>
                      <w:bCs w:val="0"/>
                      <w:color w:val="auto"/>
                      <w:kern w:val="0"/>
                      <w:sz w:val="21"/>
                      <w:szCs w:val="21"/>
                      <w:highlight w:val="none"/>
                      <w:u w:val="none" w:color="auto"/>
                      <w:lang w:val="en-US" w:eastAsia="zh-CN" w:bidi="ar-SA"/>
                    </w:rPr>
                    <w:t>混砂、造型/浇注、工件清理和不合格品回用切割工序</w:t>
                  </w:r>
                </w:p>
              </w:tc>
              <w:tc>
                <w:tcPr>
                  <w:tcW w:w="683" w:type="pct"/>
                  <w:tcBorders>
                    <w:tl2br w:val="nil"/>
                    <w:tr2bl w:val="nil"/>
                  </w:tcBorders>
                  <w:vAlign w:val="center"/>
                </w:tcPr>
                <w:p w14:paraId="2C0A818E">
                  <w:pPr>
                    <w:pStyle w:val="35"/>
                    <w:ind w:firstLine="0" w:firstLineChars="0"/>
                    <w:rPr>
                      <w:rFonts w:hint="default" w:eastAsia="宋体"/>
                      <w:color w:val="000000" w:themeColor="text1"/>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颗粒物</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非甲烷总烃和甲醛</w:t>
                  </w:r>
                </w:p>
              </w:tc>
              <w:tc>
                <w:tcPr>
                  <w:tcW w:w="2287" w:type="pct"/>
                  <w:tcBorders>
                    <w:tl2br w:val="nil"/>
                    <w:tr2bl w:val="nil"/>
                  </w:tcBorders>
                  <w:vAlign w:val="center"/>
                </w:tcPr>
                <w:p w14:paraId="43CD07C7">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color w:val="000000"/>
                      <w:sz w:val="21"/>
                      <w:szCs w:val="21"/>
                      <w:u w:val="none" w:color="auto"/>
                    </w:rPr>
                  </w:pPr>
                  <w:r>
                    <w:rPr>
                      <w:rFonts w:hint="eastAsia" w:eastAsia="宋体"/>
                      <w:sz w:val="21"/>
                      <w:szCs w:val="21"/>
                      <w:u w:val="none" w:color="auto"/>
                      <w:vertAlign w:val="baseline"/>
                      <w:lang w:val="en-US" w:eastAsia="zh-CN"/>
                    </w:rPr>
                    <w:t>混砂机为全封闭设备，造型/浇注区、打磨区和切割区设置集气罩收集，经1套袋式除尘器+催化燃烧（RCO）处理后，经1根15m高排气筒排放</w:t>
                  </w:r>
                </w:p>
              </w:tc>
              <w:tc>
                <w:tcPr>
                  <w:tcW w:w="466" w:type="pct"/>
                  <w:tcBorders>
                    <w:tl2br w:val="nil"/>
                    <w:tr2bl w:val="nil"/>
                  </w:tcBorders>
                  <w:vAlign w:val="center"/>
                </w:tcPr>
                <w:p w14:paraId="4E7667F4">
                  <w:pPr>
                    <w:pStyle w:val="3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553B201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E626C78">
                  <w:pPr>
                    <w:pStyle w:val="35"/>
                    <w:rPr>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639BD22F">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175B640F">
                  <w:pPr>
                    <w:pStyle w:val="35"/>
                    <w:ind w:firstLine="0" w:firstLineChars="0"/>
                    <w:rPr>
                      <w:rFonts w:hint="default" w:ascii="Times New Roman" w:hAnsi="Times New Roman" w:cs="Times New Roman"/>
                      <w:b w:val="0"/>
                      <w:bCs w:val="0"/>
                      <w:color w:val="auto"/>
                      <w:kern w:val="0"/>
                      <w:sz w:val="21"/>
                      <w:szCs w:val="21"/>
                      <w:highlight w:val="none"/>
                      <w:u w:val="none" w:color="auto"/>
                      <w:lang w:val="en-US" w:eastAsia="zh-CN" w:bidi="ar-SA"/>
                    </w:rPr>
                  </w:pPr>
                  <w:r>
                    <w:rPr>
                      <w:rFonts w:hint="eastAsia"/>
                      <w:color w:val="000000"/>
                      <w:sz w:val="21"/>
                      <w:szCs w:val="21"/>
                      <w:u w:val="none" w:color="auto"/>
                      <w:lang w:val="en-US" w:eastAsia="zh-CN"/>
                    </w:rPr>
                    <w:t>落砂及砂处理工序</w:t>
                  </w:r>
                </w:p>
              </w:tc>
              <w:tc>
                <w:tcPr>
                  <w:tcW w:w="683" w:type="pct"/>
                  <w:tcBorders>
                    <w:tl2br w:val="nil"/>
                    <w:tr2bl w:val="nil"/>
                  </w:tcBorders>
                  <w:vAlign w:val="center"/>
                </w:tcPr>
                <w:p w14:paraId="5B5ACCA2">
                  <w:pPr>
                    <w:pStyle w:val="35"/>
                    <w:ind w:firstLine="0" w:firstLineChars="0"/>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5832DAE4">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eastAsia"/>
                      <w:color w:val="000000"/>
                      <w:sz w:val="21"/>
                      <w:szCs w:val="21"/>
                      <w:u w:val="none" w:color="auto"/>
                    </w:rPr>
                  </w:pPr>
                  <w:r>
                    <w:rPr>
                      <w:rFonts w:hint="eastAsia" w:eastAsia="宋体"/>
                      <w:sz w:val="21"/>
                      <w:szCs w:val="21"/>
                      <w:u w:val="none" w:color="auto"/>
                      <w:vertAlign w:val="baseline"/>
                      <w:lang w:val="en-US" w:eastAsia="zh-CN"/>
                    </w:rPr>
                    <w:t>落砂机集气罩收集，砂处理系统为全封闭设备，落砂及砂处理工序分别经1套袋式除尘器处理后，经1根15m高排气筒排放</w:t>
                  </w:r>
                </w:p>
              </w:tc>
              <w:tc>
                <w:tcPr>
                  <w:tcW w:w="466" w:type="pct"/>
                  <w:tcBorders>
                    <w:tl2br w:val="nil"/>
                    <w:tr2bl w:val="nil"/>
                  </w:tcBorders>
                  <w:vAlign w:val="center"/>
                </w:tcPr>
                <w:p w14:paraId="0226F2C9">
                  <w:pPr>
                    <w:pStyle w:val="35"/>
                    <w:ind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0F8D0CE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7CE1607C">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7431DC88">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24E34D51">
                  <w:pPr>
                    <w:pStyle w:val="35"/>
                    <w:ind w:firstLine="0" w:firstLineChars="0"/>
                    <w:rPr>
                      <w:rFonts w:hint="default"/>
                      <w:color w:val="000000" w:themeColor="text1"/>
                      <w:sz w:val="21"/>
                      <w:szCs w:val="21"/>
                      <w14:textFill>
                        <w14:solidFill>
                          <w14:schemeClr w14:val="tx1"/>
                        </w14:solidFill>
                      </w14:textFill>
                    </w:rPr>
                  </w:pPr>
                  <w:r>
                    <w:rPr>
                      <w:rFonts w:hint="eastAsia"/>
                      <w:color w:val="000000"/>
                      <w:sz w:val="21"/>
                      <w:szCs w:val="21"/>
                      <w:u w:val="none" w:color="auto"/>
                      <w:lang w:val="en-US" w:eastAsia="zh-CN"/>
                    </w:rPr>
                    <w:t>抛丸工序</w:t>
                  </w:r>
                </w:p>
              </w:tc>
              <w:tc>
                <w:tcPr>
                  <w:tcW w:w="683" w:type="pct"/>
                  <w:tcBorders>
                    <w:tl2br w:val="nil"/>
                    <w:tr2bl w:val="nil"/>
                  </w:tcBorders>
                  <w:vAlign w:val="center"/>
                </w:tcPr>
                <w:p w14:paraId="2925FB02">
                  <w:pPr>
                    <w:pStyle w:val="35"/>
                    <w:ind w:firstLine="0" w:firstLineChars="0"/>
                    <w:rPr>
                      <w:rFonts w:hint="default"/>
                      <w:color w:val="000000" w:themeColor="text1"/>
                      <w:sz w:val="21"/>
                      <w:szCs w:val="21"/>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51FAD365">
                  <w:pPr>
                    <w:keepNext w:val="0"/>
                    <w:keepLines w:val="0"/>
                    <w:pageBreakBefore w:val="0"/>
                    <w:widowControl w:val="0"/>
                    <w:kinsoku/>
                    <w:wordWrap/>
                    <w:overflowPunct/>
                    <w:topLinePunct w:val="0"/>
                    <w:bidi w:val="0"/>
                    <w:adjustRightInd/>
                    <w:snapToGrid/>
                    <w:spacing w:line="240" w:lineRule="auto"/>
                    <w:ind w:firstLine="0" w:firstLineChars="0"/>
                    <w:jc w:val="both"/>
                    <w:textAlignment w:val="auto"/>
                    <w:rPr>
                      <w:rFonts w:hint="default"/>
                      <w:color w:val="000000" w:themeColor="text1"/>
                      <w:sz w:val="21"/>
                      <w:szCs w:val="21"/>
                      <w:lang w:val="en-GB"/>
                      <w14:textFill>
                        <w14:solidFill>
                          <w14:schemeClr w14:val="tx1"/>
                        </w14:solidFill>
                      </w14:textFill>
                    </w:rPr>
                  </w:pPr>
                  <w:r>
                    <w:rPr>
                      <w:rFonts w:hint="eastAsia" w:eastAsia="宋体"/>
                      <w:sz w:val="21"/>
                      <w:szCs w:val="21"/>
                      <w:u w:val="none" w:color="auto"/>
                      <w:vertAlign w:val="baseline"/>
                      <w:lang w:val="en-US" w:eastAsia="zh-CN"/>
                    </w:rPr>
                    <w:t>抛丸机为全封闭设备</w:t>
                  </w:r>
                  <w:r>
                    <w:rPr>
                      <w:rFonts w:hint="eastAsia"/>
                      <w:sz w:val="21"/>
                      <w:szCs w:val="21"/>
                      <w:u w:val="none" w:color="auto"/>
                      <w:vertAlign w:val="baseline"/>
                      <w:lang w:val="en-US" w:eastAsia="zh-CN"/>
                    </w:rPr>
                    <w:t>，经1套袋式除尘器处理后，经1根15m高排气筒排放</w:t>
                  </w:r>
                </w:p>
              </w:tc>
              <w:tc>
                <w:tcPr>
                  <w:tcW w:w="466" w:type="pct"/>
                  <w:tcBorders>
                    <w:tl2br w:val="nil"/>
                    <w:tr2bl w:val="nil"/>
                  </w:tcBorders>
                  <w:vAlign w:val="center"/>
                </w:tcPr>
                <w:p w14:paraId="14F00780">
                  <w:pPr>
                    <w:pStyle w:val="35"/>
                    <w:ind w:firstLine="0" w:firstLineChars="0"/>
                    <w:rPr>
                      <w:rFonts w:hint="default"/>
                      <w:color w:val="000000" w:themeColor="text1"/>
                      <w:sz w:val="21"/>
                      <w:szCs w:val="21"/>
                      <w:lang w:val="en-GB"/>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3C1DE80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00A740B">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263CCA73">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废水治理</w:t>
                  </w:r>
                </w:p>
              </w:tc>
              <w:tc>
                <w:tcPr>
                  <w:tcW w:w="840" w:type="pct"/>
                  <w:tcBorders>
                    <w:tl2br w:val="nil"/>
                    <w:tr2bl w:val="nil"/>
                  </w:tcBorders>
                  <w:vAlign w:val="center"/>
                </w:tcPr>
                <w:p w14:paraId="4416361A">
                  <w:pPr>
                    <w:pStyle w:val="35"/>
                    <w:ind w:firstLine="0" w:firstLineChars="0"/>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生活污水</w:t>
                  </w:r>
                </w:p>
              </w:tc>
              <w:tc>
                <w:tcPr>
                  <w:tcW w:w="683" w:type="pct"/>
                  <w:tcBorders>
                    <w:tl2br w:val="nil"/>
                    <w:tr2bl w:val="nil"/>
                  </w:tcBorders>
                  <w:vAlign w:val="center"/>
                </w:tcPr>
                <w:p w14:paraId="0F99A552">
                  <w:pPr>
                    <w:pStyle w:val="35"/>
                    <w:ind w:firstLine="0" w:firstLineChars="0"/>
                    <w:rPr>
                      <w:rFonts w:hint="default"/>
                      <w:color w:val="000000" w:themeColor="text1"/>
                      <w:sz w:val="21"/>
                      <w:szCs w:val="21"/>
                      <w:u w:val="none"/>
                      <w14:textFill>
                        <w14:solidFill>
                          <w14:schemeClr w14:val="tx1"/>
                        </w14:solidFill>
                      </w14:textFill>
                    </w:rPr>
                  </w:pPr>
                  <w:r>
                    <w:rPr>
                      <w:rFonts w:hint="eastAsia"/>
                      <w:color w:val="000000" w:themeColor="text1"/>
                      <w:kern w:val="0"/>
                      <w:sz w:val="21"/>
                      <w:szCs w:val="21"/>
                      <w:u w:val="none"/>
                      <w:lang w:val="en-US" w:eastAsia="zh-CN" w:bidi="ar"/>
                      <w14:textFill>
                        <w14:solidFill>
                          <w14:schemeClr w14:val="tx1"/>
                        </w14:solidFill>
                      </w14:textFill>
                    </w:rPr>
                    <w:t>pH、</w:t>
                  </w:r>
                  <w:r>
                    <w:rPr>
                      <w:color w:val="000000" w:themeColor="text1"/>
                      <w:sz w:val="21"/>
                      <w:szCs w:val="21"/>
                      <w:u w:val="none"/>
                      <w14:textFill>
                        <w14:solidFill>
                          <w14:schemeClr w14:val="tx1"/>
                        </w14:solidFill>
                      </w14:textFill>
                    </w:rPr>
                    <w:t>COD、BOD</w:t>
                  </w:r>
                  <w:r>
                    <w:rPr>
                      <w:color w:val="000000" w:themeColor="text1"/>
                      <w:sz w:val="21"/>
                      <w:szCs w:val="21"/>
                      <w:u w:val="none"/>
                      <w:vertAlign w:val="subscript"/>
                      <w14:textFill>
                        <w14:solidFill>
                          <w14:schemeClr w14:val="tx1"/>
                        </w14:solidFill>
                      </w14:textFill>
                    </w:rPr>
                    <w:t>5</w:t>
                  </w:r>
                  <w:r>
                    <w:rPr>
                      <w:color w:val="000000" w:themeColor="text1"/>
                      <w:sz w:val="21"/>
                      <w:szCs w:val="21"/>
                      <w:u w:val="none"/>
                      <w14:textFill>
                        <w14:solidFill>
                          <w14:schemeClr w14:val="tx1"/>
                        </w14:solidFill>
                      </w14:textFill>
                    </w:rPr>
                    <w:t>、SS、NH</w:t>
                  </w:r>
                  <w:r>
                    <w:rPr>
                      <w:color w:val="000000" w:themeColor="text1"/>
                      <w:sz w:val="21"/>
                      <w:szCs w:val="21"/>
                      <w:u w:val="none"/>
                      <w:vertAlign w:val="subscript"/>
                      <w14:textFill>
                        <w14:solidFill>
                          <w14:schemeClr w14:val="tx1"/>
                        </w14:solidFill>
                      </w14:textFill>
                    </w:rPr>
                    <w:t>3</w:t>
                  </w:r>
                  <w:r>
                    <w:rPr>
                      <w:color w:val="000000" w:themeColor="text1"/>
                      <w:sz w:val="21"/>
                      <w:szCs w:val="21"/>
                      <w:u w:val="none"/>
                      <w14:textFill>
                        <w14:solidFill>
                          <w14:schemeClr w14:val="tx1"/>
                        </w14:solidFill>
                      </w14:textFill>
                    </w:rPr>
                    <w:t>-N</w:t>
                  </w:r>
                </w:p>
              </w:tc>
              <w:tc>
                <w:tcPr>
                  <w:tcW w:w="2287" w:type="pct"/>
                  <w:tcBorders>
                    <w:tl2br w:val="nil"/>
                    <w:tr2bl w:val="nil"/>
                  </w:tcBorders>
                  <w:vAlign w:val="center"/>
                </w:tcPr>
                <w:p w14:paraId="3AE0E079">
                  <w:pPr>
                    <w:pStyle w:val="35"/>
                    <w:jc w:val="both"/>
                    <w:rPr>
                      <w:rFonts w:hint="eastAsia" w:eastAsia="宋体"/>
                      <w:color w:val="000000" w:themeColor="text1"/>
                      <w:sz w:val="21"/>
                      <w:szCs w:val="21"/>
                      <w:lang w:eastAsia="zh-CN"/>
                      <w14:textFill>
                        <w14:solidFill>
                          <w14:schemeClr w14:val="tx1"/>
                        </w14:solidFill>
                      </w14:textFill>
                    </w:rPr>
                  </w:pPr>
                  <w:r>
                    <w:rPr>
                      <w:rFonts w:hint="eastAsia" w:eastAsia="宋体" w:cs="Times New Roman"/>
                      <w:kern w:val="21"/>
                      <w:sz w:val="21"/>
                      <w:szCs w:val="21"/>
                      <w:lang w:val="en-US" w:eastAsia="zh-CN"/>
                    </w:rPr>
                    <w:t>经1座10m</w:t>
                  </w:r>
                  <w:r>
                    <w:rPr>
                      <w:rFonts w:hint="eastAsia" w:eastAsia="宋体" w:cs="Times New Roman"/>
                      <w:kern w:val="21"/>
                      <w:sz w:val="21"/>
                      <w:szCs w:val="21"/>
                      <w:vertAlign w:val="superscript"/>
                      <w:lang w:val="en-US" w:eastAsia="zh-CN"/>
                    </w:rPr>
                    <w:t>3</w:t>
                  </w:r>
                  <w:r>
                    <w:rPr>
                      <w:rFonts w:hint="eastAsia" w:eastAsia="宋体" w:cs="Times New Roman"/>
                      <w:kern w:val="21"/>
                      <w:sz w:val="21"/>
                      <w:szCs w:val="21"/>
                      <w:lang w:val="en-US" w:eastAsia="zh-CN"/>
                    </w:rPr>
                    <w:t>化粪池处理后通过厂区污水总排口进入市政管网</w:t>
                  </w:r>
                </w:p>
              </w:tc>
              <w:tc>
                <w:tcPr>
                  <w:tcW w:w="466" w:type="pct"/>
                  <w:tcBorders>
                    <w:tl2br w:val="nil"/>
                    <w:tr2bl w:val="nil"/>
                  </w:tcBorders>
                  <w:vAlign w:val="center"/>
                </w:tcPr>
                <w:p w14:paraId="2942EE45">
                  <w:pPr>
                    <w:pStyle w:val="35"/>
                    <w:rPr>
                      <w:rFonts w:hint="eastAsia" w:eastAsia="宋体"/>
                      <w:color w:val="000000" w:themeColor="text1"/>
                      <w:sz w:val="21"/>
                      <w:szCs w:val="21"/>
                      <w:lang w:eastAsia="zh-CN"/>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依托恒基混凝土公司已有设施</w:t>
                  </w:r>
                </w:p>
              </w:tc>
            </w:tr>
            <w:tr w14:paraId="549D2D3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EE2B713">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1F371D92">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噪声治理</w:t>
                  </w:r>
                </w:p>
              </w:tc>
              <w:tc>
                <w:tcPr>
                  <w:tcW w:w="3810" w:type="pct"/>
                  <w:gridSpan w:val="3"/>
                  <w:tcBorders>
                    <w:tl2br w:val="nil"/>
                    <w:tr2bl w:val="nil"/>
                  </w:tcBorders>
                  <w:vAlign w:val="center"/>
                </w:tcPr>
                <w:p w14:paraId="0373593B">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采用厂房隔声、设备基础减振、合理布局</w:t>
                  </w:r>
                </w:p>
              </w:tc>
              <w:tc>
                <w:tcPr>
                  <w:tcW w:w="799" w:type="dxa"/>
                  <w:tcBorders>
                    <w:tl2br w:val="nil"/>
                    <w:tr2bl w:val="nil"/>
                  </w:tcBorders>
                  <w:vAlign w:val="center"/>
                </w:tcPr>
                <w:p w14:paraId="5451377A">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1FFFF5F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568ED2E9">
                  <w:pPr>
                    <w:pStyle w:val="35"/>
                    <w:rPr>
                      <w:rFonts w:hint="default"/>
                      <w:color w:val="000000" w:themeColor="text1"/>
                      <w:sz w:val="21"/>
                      <w:szCs w:val="21"/>
                      <w14:textFill>
                        <w14:solidFill>
                          <w14:schemeClr w14:val="tx1"/>
                        </w14:solidFill>
                      </w14:textFill>
                    </w:rPr>
                  </w:pPr>
                </w:p>
              </w:tc>
              <w:tc>
                <w:tcPr>
                  <w:tcW w:w="392" w:type="pct"/>
                  <w:vMerge w:val="restart"/>
                  <w:tcBorders>
                    <w:tl2br w:val="nil"/>
                    <w:tr2bl w:val="nil"/>
                  </w:tcBorders>
                  <w:vAlign w:val="center"/>
                </w:tcPr>
                <w:p w14:paraId="641B3071">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固废治理</w:t>
                  </w:r>
                </w:p>
              </w:tc>
              <w:tc>
                <w:tcPr>
                  <w:tcW w:w="840" w:type="pct"/>
                  <w:tcBorders>
                    <w:tl2br w:val="nil"/>
                    <w:tr2bl w:val="nil"/>
                  </w:tcBorders>
                  <w:vAlign w:val="center"/>
                </w:tcPr>
                <w:p w14:paraId="38AE729E">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职工生活垃圾</w:t>
                  </w:r>
                </w:p>
              </w:tc>
              <w:tc>
                <w:tcPr>
                  <w:tcW w:w="2970" w:type="pct"/>
                  <w:gridSpan w:val="2"/>
                  <w:tcBorders>
                    <w:tl2br w:val="nil"/>
                    <w:tr2bl w:val="nil"/>
                  </w:tcBorders>
                  <w:vAlign w:val="center"/>
                </w:tcPr>
                <w:p w14:paraId="170378BD">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垃圾箱（桶）若干</w:t>
                  </w:r>
                </w:p>
              </w:tc>
              <w:tc>
                <w:tcPr>
                  <w:tcW w:w="799" w:type="dxa"/>
                  <w:tcBorders>
                    <w:tl2br w:val="nil"/>
                    <w:tr2bl w:val="nil"/>
                  </w:tcBorders>
                  <w:vAlign w:val="center"/>
                </w:tcPr>
                <w:p w14:paraId="46D80990">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594A8CC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0567B1E">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5A18CAF3">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4D8D8D38">
                  <w:pPr>
                    <w:pStyle w:val="35"/>
                    <w:ind w:firstLine="0" w:firstLineChars="0"/>
                    <w:rPr>
                      <w:color w:val="000000" w:themeColor="text1"/>
                      <w:sz w:val="21"/>
                      <w:szCs w:val="21"/>
                      <w14:textFill>
                        <w14:solidFill>
                          <w14:schemeClr w14:val="tx1"/>
                        </w14:solidFill>
                      </w14:textFill>
                    </w:rPr>
                  </w:pPr>
                  <w:r>
                    <w:rPr>
                      <w:rFonts w:hint="eastAsia"/>
                      <w:color w:val="000000" w:themeColor="text1"/>
                      <w:lang w:val="en-US" w:eastAsia="zh-CN"/>
                      <w14:textFill>
                        <w14:solidFill>
                          <w14:schemeClr w14:val="tx1"/>
                        </w14:solidFill>
                      </w14:textFill>
                    </w:rPr>
                    <w:t>化粪池污泥</w:t>
                  </w:r>
                </w:p>
              </w:tc>
              <w:tc>
                <w:tcPr>
                  <w:tcW w:w="2970" w:type="pct"/>
                  <w:gridSpan w:val="2"/>
                  <w:tcBorders>
                    <w:tl2br w:val="nil"/>
                    <w:tr2bl w:val="nil"/>
                  </w:tcBorders>
                  <w:vAlign w:val="center"/>
                </w:tcPr>
                <w:p w14:paraId="6277708A">
                  <w:pPr>
                    <w:pStyle w:val="35"/>
                    <w:ind w:firstLine="0" w:firstLineChars="0"/>
                    <w:rPr>
                      <w:color w:val="000000" w:themeColor="text1"/>
                      <w:sz w:val="21"/>
                      <w:szCs w:val="21"/>
                      <w14:textFill>
                        <w14:solidFill>
                          <w14:schemeClr w14:val="tx1"/>
                        </w14:solidFill>
                      </w14:textFill>
                    </w:rPr>
                  </w:pPr>
                  <w:r>
                    <w:rPr>
                      <w:rFonts w:hint="default"/>
                      <w:color w:val="000000" w:themeColor="text1"/>
                      <w14:textFill>
                        <w14:solidFill>
                          <w14:schemeClr w14:val="tx1"/>
                        </w14:solidFill>
                      </w14:textFill>
                    </w:rPr>
                    <w:t>由专用吸污车定期清掏，干化后委托环卫部门清运处理</w:t>
                  </w:r>
                </w:p>
              </w:tc>
              <w:tc>
                <w:tcPr>
                  <w:tcW w:w="799" w:type="dxa"/>
                  <w:tcBorders>
                    <w:tl2br w:val="nil"/>
                    <w:tr2bl w:val="nil"/>
                  </w:tcBorders>
                  <w:vAlign w:val="center"/>
                </w:tcPr>
                <w:p w14:paraId="052D5A35">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1968A4F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0EC5878">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1CD34E1A">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24F71DD6">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一般固废</w:t>
                  </w:r>
                </w:p>
              </w:tc>
              <w:tc>
                <w:tcPr>
                  <w:tcW w:w="2970" w:type="pct"/>
                  <w:gridSpan w:val="2"/>
                  <w:tcBorders>
                    <w:tl2br w:val="nil"/>
                    <w:tr2bl w:val="nil"/>
                  </w:tcBorders>
                  <w:vAlign w:val="center"/>
                </w:tcPr>
                <w:p w14:paraId="44FF2263">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的一般固废暂存间</w:t>
                  </w:r>
                </w:p>
              </w:tc>
              <w:tc>
                <w:tcPr>
                  <w:tcW w:w="799" w:type="dxa"/>
                  <w:tcBorders>
                    <w:tl2br w:val="nil"/>
                    <w:tr2bl w:val="nil"/>
                  </w:tcBorders>
                  <w:vAlign w:val="center"/>
                </w:tcPr>
                <w:p w14:paraId="4D5BA668">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2E50286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4EB44BEE">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79691AD5">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40C2D3EC">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危险废物</w:t>
                  </w:r>
                </w:p>
              </w:tc>
              <w:tc>
                <w:tcPr>
                  <w:tcW w:w="2970" w:type="pct"/>
                  <w:gridSpan w:val="2"/>
                  <w:tcBorders>
                    <w:tl2br w:val="nil"/>
                    <w:tr2bl w:val="nil"/>
                  </w:tcBorders>
                  <w:vAlign w:val="center"/>
                </w:tcPr>
                <w:p w14:paraId="283C8AAD">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有“六防”措施的危废暂存间</w:t>
                  </w:r>
                </w:p>
              </w:tc>
              <w:tc>
                <w:tcPr>
                  <w:tcW w:w="799" w:type="dxa"/>
                  <w:tcBorders>
                    <w:tl2br w:val="nil"/>
                    <w:tr2bl w:val="nil"/>
                  </w:tcBorders>
                  <w:vAlign w:val="center"/>
                </w:tcPr>
                <w:p w14:paraId="4E1766CD">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bl>
          <w:p w14:paraId="1F3A06F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黑体" w:cs="Times New Roman"/>
                <w:b w:val="0"/>
                <w:bCs/>
                <w:color w:val="auto"/>
                <w:sz w:val="24"/>
                <w:szCs w:val="24"/>
                <w:highlight w:val="none"/>
                <w:u w:val="none" w:color="auto"/>
                <w:lang w:val="en-US" w:eastAsia="zh-CN"/>
              </w:rPr>
            </w:pPr>
            <w:r>
              <w:rPr>
                <w:rFonts w:hint="default" w:ascii="Times New Roman" w:hAnsi="Times New Roman" w:eastAsia="黑体" w:cs="Times New Roman"/>
                <w:b w:val="0"/>
                <w:bCs/>
                <w:color w:val="auto"/>
                <w:sz w:val="24"/>
                <w:szCs w:val="24"/>
                <w:highlight w:val="none"/>
                <w:u w:val="none" w:color="auto"/>
              </w:rPr>
              <w:t>3、</w:t>
            </w:r>
            <w:r>
              <w:rPr>
                <w:rFonts w:hint="default" w:ascii="Times New Roman" w:hAnsi="Times New Roman" w:eastAsia="黑体" w:cs="Times New Roman"/>
                <w:b w:val="0"/>
                <w:bCs/>
                <w:color w:val="auto"/>
                <w:sz w:val="24"/>
                <w:szCs w:val="24"/>
                <w:highlight w:val="none"/>
                <w:u w:val="none" w:color="auto"/>
                <w:lang w:val="en-US" w:eastAsia="zh-CN"/>
              </w:rPr>
              <w:t>产品方案</w:t>
            </w:r>
          </w:p>
          <w:p w14:paraId="731BD9D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u w:val="none" w:color="auto"/>
                <w:lang w:val="en-US" w:eastAsia="zh-CN"/>
              </w:rPr>
            </w:pPr>
            <w:r>
              <w:rPr>
                <w:rFonts w:hint="default" w:ascii="Times New Roman" w:hAnsi="Times New Roman" w:eastAsia="宋体" w:cs="Times New Roman"/>
                <w:b w:val="0"/>
                <w:bCs/>
                <w:color w:val="auto"/>
                <w:sz w:val="24"/>
                <w:szCs w:val="24"/>
                <w:highlight w:val="none"/>
                <w:u w:val="none" w:color="auto"/>
              </w:rPr>
              <w:t>本项目产品为</w:t>
            </w:r>
            <w:r>
              <w:rPr>
                <w:rFonts w:hint="eastAsia" w:cs="Times New Roman"/>
                <w:b w:val="0"/>
                <w:bCs/>
                <w:color w:val="auto"/>
                <w:sz w:val="24"/>
                <w:szCs w:val="24"/>
                <w:highlight w:val="none"/>
                <w:u w:val="none" w:color="auto"/>
                <w:lang w:val="en-US" w:eastAsia="zh-CN"/>
              </w:rPr>
              <w:t>铸件，具体产品方案见下表。</w:t>
            </w:r>
          </w:p>
          <w:p w14:paraId="2599B1F4">
            <w:pPr>
              <w:spacing w:line="360" w:lineRule="auto"/>
              <w:jc w:val="center"/>
              <w:rPr>
                <w:rFonts w:hint="default" w:ascii="Times New Roman" w:hAnsi="黑体" w:eastAsia="黑体" w:cs="Times New Roman"/>
                <w:bCs/>
                <w:sz w:val="24"/>
                <w:szCs w:val="32"/>
              </w:rPr>
            </w:pPr>
            <w:r>
              <w:rPr>
                <w:rFonts w:hint="default" w:ascii="Times New Roman" w:hAnsi="黑体" w:eastAsia="黑体" w:cs="Times New Roman"/>
                <w:bCs/>
                <w:sz w:val="24"/>
                <w:szCs w:val="32"/>
              </w:rPr>
              <w:t>表2-</w:t>
            </w:r>
            <w:r>
              <w:rPr>
                <w:rFonts w:hint="eastAsia" w:ascii="Times New Roman" w:hAnsi="黑体" w:eastAsia="黑体" w:cs="Times New Roman"/>
                <w:bCs/>
                <w:sz w:val="24"/>
                <w:szCs w:val="32"/>
                <w:lang w:val="en-US" w:eastAsia="zh-CN"/>
              </w:rPr>
              <w:t>4</w:t>
            </w:r>
            <w:r>
              <w:rPr>
                <w:rFonts w:hint="default" w:ascii="Times New Roman" w:hAnsi="黑体" w:eastAsia="黑体" w:cs="Times New Roman"/>
                <w:bCs/>
                <w:sz w:val="24"/>
                <w:szCs w:val="32"/>
              </w:rPr>
              <w:t xml:space="preserve">  项目产品方案一览表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089"/>
              <w:gridCol w:w="2387"/>
              <w:gridCol w:w="2516"/>
              <w:gridCol w:w="2565"/>
            </w:tblGrid>
            <w:tr w14:paraId="73F57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36" w:type="pct"/>
                  <w:tcBorders>
                    <w:tl2br w:val="nil"/>
                    <w:tr2bl w:val="nil"/>
                  </w:tcBorders>
                  <w:vAlign w:val="center"/>
                </w:tcPr>
                <w:p w14:paraId="0BCE7723">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94" w:type="pct"/>
                  <w:tcBorders>
                    <w:tl2br w:val="nil"/>
                    <w:tr2bl w:val="nil"/>
                  </w:tcBorders>
                  <w:vAlign w:val="center"/>
                </w:tcPr>
                <w:p w14:paraId="1C691C54">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产品名称</w:t>
                  </w:r>
                </w:p>
              </w:tc>
              <w:tc>
                <w:tcPr>
                  <w:tcW w:w="1469" w:type="pct"/>
                  <w:tcBorders>
                    <w:tl2br w:val="nil"/>
                    <w:tr2bl w:val="nil"/>
                  </w:tcBorders>
                  <w:vAlign w:val="center"/>
                </w:tcPr>
                <w:p w14:paraId="6D1E329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产量</w:t>
                  </w:r>
                </w:p>
              </w:tc>
              <w:tc>
                <w:tcPr>
                  <w:tcW w:w="1498" w:type="pct"/>
                  <w:tcBorders>
                    <w:tl2br w:val="nil"/>
                    <w:tr2bl w:val="nil"/>
                  </w:tcBorders>
                  <w:vAlign w:val="center"/>
                </w:tcPr>
                <w:p w14:paraId="0E41C70C">
                  <w:pPr>
                    <w:pStyle w:val="3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备注</w:t>
                  </w:r>
                </w:p>
              </w:tc>
            </w:tr>
            <w:tr w14:paraId="5A2ED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36" w:type="pct"/>
                  <w:tcBorders>
                    <w:tl2br w:val="nil"/>
                    <w:tr2bl w:val="nil"/>
                  </w:tcBorders>
                  <w:vAlign w:val="center"/>
                </w:tcPr>
                <w:p w14:paraId="080402F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w:t>
                  </w:r>
                </w:p>
              </w:tc>
              <w:tc>
                <w:tcPr>
                  <w:tcW w:w="1394" w:type="pct"/>
                  <w:tcBorders>
                    <w:tl2br w:val="nil"/>
                    <w:tr2bl w:val="nil"/>
                  </w:tcBorders>
                  <w:vAlign w:val="center"/>
                </w:tcPr>
                <w:p w14:paraId="56A5F1C3">
                  <w:pPr>
                    <w:pStyle w:val="3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铸件</w:t>
                  </w:r>
                </w:p>
              </w:tc>
              <w:tc>
                <w:tcPr>
                  <w:tcW w:w="1469" w:type="pct"/>
                  <w:tcBorders>
                    <w:tl2br w:val="nil"/>
                    <w:tr2bl w:val="nil"/>
                  </w:tcBorders>
                  <w:vAlign w:val="center"/>
                </w:tcPr>
                <w:p w14:paraId="05263F7C">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12000t/a</w:t>
                  </w:r>
                </w:p>
              </w:tc>
              <w:tc>
                <w:tcPr>
                  <w:tcW w:w="1498" w:type="pct"/>
                  <w:tcBorders>
                    <w:tl2br w:val="nil"/>
                    <w:tr2bl w:val="nil"/>
                  </w:tcBorders>
                  <w:vAlign w:val="center"/>
                </w:tcPr>
                <w:p w14:paraId="4FD38490">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本项目主要生产机床车身、重型机械配件等</w:t>
                  </w:r>
                </w:p>
              </w:tc>
            </w:tr>
          </w:tbl>
          <w:p w14:paraId="0ED599D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黑体" w:cs="Times New Roman"/>
                <w:b w:val="0"/>
                <w:bCs/>
                <w:color w:val="auto"/>
                <w:sz w:val="24"/>
                <w:szCs w:val="24"/>
                <w:highlight w:val="none"/>
                <w:u w:val="none" w:color="auto"/>
                <w:lang w:eastAsia="zh-CN"/>
              </w:rPr>
            </w:pPr>
            <w:r>
              <w:rPr>
                <w:rFonts w:hint="default" w:ascii="Times New Roman" w:hAnsi="Times New Roman" w:eastAsia="黑体" w:cs="Times New Roman"/>
                <w:b w:val="0"/>
                <w:bCs/>
                <w:color w:val="auto"/>
                <w:sz w:val="24"/>
                <w:szCs w:val="24"/>
                <w:highlight w:val="none"/>
                <w:u w:val="none" w:color="auto"/>
              </w:rPr>
              <w:t>4、主要生产</w:t>
            </w:r>
            <w:r>
              <w:rPr>
                <w:rFonts w:hint="default" w:ascii="Times New Roman" w:hAnsi="Times New Roman" w:eastAsia="黑体" w:cs="Times New Roman"/>
                <w:b w:val="0"/>
                <w:bCs/>
                <w:color w:val="auto"/>
                <w:sz w:val="24"/>
                <w:szCs w:val="24"/>
                <w:highlight w:val="none"/>
                <w:u w:val="none" w:color="auto"/>
                <w:lang w:val="en-US" w:eastAsia="zh-CN"/>
              </w:rPr>
              <w:t>设备</w:t>
            </w:r>
          </w:p>
          <w:p w14:paraId="6E77C08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u w:val="none" w:color="auto"/>
              </w:rPr>
            </w:pPr>
            <w:r>
              <w:rPr>
                <w:rFonts w:hint="default" w:ascii="Times New Roman" w:hAnsi="Times New Roman" w:eastAsia="宋体" w:cs="Times New Roman"/>
                <w:b w:val="0"/>
                <w:bCs/>
                <w:color w:val="auto"/>
                <w:sz w:val="24"/>
                <w:szCs w:val="24"/>
                <w:highlight w:val="none"/>
                <w:u w:val="none" w:color="auto"/>
              </w:rPr>
              <w:t>项目主要生产</w:t>
            </w:r>
            <w:r>
              <w:rPr>
                <w:rFonts w:hint="eastAsia" w:ascii="Times New Roman" w:hAnsi="Times New Roman" w:eastAsia="宋体" w:cs="Times New Roman"/>
                <w:b w:val="0"/>
                <w:bCs/>
                <w:color w:val="auto"/>
                <w:sz w:val="24"/>
                <w:szCs w:val="24"/>
                <w:highlight w:val="none"/>
                <w:u w:val="none" w:color="auto"/>
                <w:lang w:val="en-US" w:eastAsia="zh-CN"/>
              </w:rPr>
              <w:t>设备</w:t>
            </w:r>
            <w:r>
              <w:rPr>
                <w:rFonts w:hint="default" w:ascii="Times New Roman" w:hAnsi="Times New Roman" w:eastAsia="宋体" w:cs="Times New Roman"/>
                <w:b w:val="0"/>
                <w:bCs/>
                <w:color w:val="auto"/>
                <w:sz w:val="24"/>
                <w:szCs w:val="24"/>
                <w:highlight w:val="none"/>
                <w:u w:val="none" w:color="auto"/>
              </w:rPr>
              <w:t>见</w:t>
            </w:r>
            <w:r>
              <w:rPr>
                <w:rFonts w:hint="default" w:ascii="Times New Roman" w:hAnsi="Times New Roman" w:eastAsia="宋体" w:cs="Times New Roman"/>
                <w:b w:val="0"/>
                <w:bCs/>
                <w:color w:val="auto"/>
                <w:sz w:val="24"/>
                <w:szCs w:val="24"/>
                <w:highlight w:val="none"/>
                <w:u w:val="none" w:color="auto"/>
                <w:lang w:eastAsia="zh-CN"/>
              </w:rPr>
              <w:t>下表</w:t>
            </w:r>
            <w:r>
              <w:rPr>
                <w:rFonts w:hint="default" w:ascii="Times New Roman" w:hAnsi="Times New Roman" w:eastAsia="宋体" w:cs="Times New Roman"/>
                <w:b w:val="0"/>
                <w:bCs/>
                <w:color w:val="auto"/>
                <w:sz w:val="24"/>
                <w:szCs w:val="24"/>
                <w:highlight w:val="none"/>
                <w:u w:val="none" w:color="auto"/>
              </w:rPr>
              <w:t>。</w:t>
            </w:r>
          </w:p>
          <w:p w14:paraId="17D7CD42">
            <w:pPr>
              <w:spacing w:line="360" w:lineRule="auto"/>
              <w:jc w:val="center"/>
              <w:rPr>
                <w:rFonts w:hint="eastAsia" w:ascii="Times New Roman" w:hAnsi="黑体" w:eastAsia="黑体" w:cs="Times New Roman"/>
                <w:bCs/>
                <w:sz w:val="24"/>
                <w:szCs w:val="32"/>
                <w:lang w:val="en-US" w:eastAsia="zh-CN"/>
              </w:rPr>
            </w:pPr>
            <w:r>
              <w:rPr>
                <w:rFonts w:hint="default" w:ascii="Times New Roman" w:hAnsi="黑体" w:eastAsia="黑体" w:cs="Times New Roman"/>
                <w:bCs/>
                <w:sz w:val="24"/>
                <w:szCs w:val="32"/>
              </w:rPr>
              <w:t>表2-</w:t>
            </w:r>
            <w:r>
              <w:rPr>
                <w:rFonts w:hint="eastAsia" w:hAnsi="黑体" w:eastAsia="黑体" w:cs="Times New Roman"/>
                <w:bCs/>
                <w:sz w:val="24"/>
                <w:szCs w:val="32"/>
                <w:lang w:val="en-US" w:eastAsia="zh-CN"/>
              </w:rPr>
              <w:t>5</w:t>
            </w:r>
            <w:r>
              <w:rPr>
                <w:rFonts w:hint="default" w:ascii="Times New Roman" w:hAnsi="黑体" w:eastAsia="黑体" w:cs="Times New Roman"/>
                <w:bCs/>
                <w:sz w:val="24"/>
                <w:szCs w:val="32"/>
              </w:rPr>
              <w:t xml:space="preserve">  项目主要生产</w:t>
            </w:r>
            <w:r>
              <w:rPr>
                <w:rFonts w:hint="eastAsia" w:ascii="Times New Roman" w:hAnsi="黑体" w:eastAsia="黑体" w:cs="Times New Roman"/>
                <w:bCs/>
                <w:sz w:val="24"/>
                <w:szCs w:val="32"/>
                <w:lang w:val="en-US" w:eastAsia="zh-CN"/>
              </w:rPr>
              <w:t>设备一览表</w:t>
            </w:r>
          </w:p>
          <w:tbl>
            <w:tblPr>
              <w:tblStyle w:val="28"/>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463"/>
              <w:gridCol w:w="1558"/>
              <w:gridCol w:w="1958"/>
              <w:gridCol w:w="685"/>
              <w:gridCol w:w="3202"/>
            </w:tblGrid>
            <w:tr w14:paraId="5CE4B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tcBorders>
                    <w:left w:val="single" w:color="auto" w:sz="6" w:space="0"/>
                    <w:right w:val="single" w:color="auto" w:sz="4" w:space="0"/>
                  </w:tcBorders>
                  <w:noWrap w:val="0"/>
                  <w:vAlign w:val="center"/>
                </w:tcPr>
                <w:p w14:paraId="57640DA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bCs/>
                      <w:color w:val="000000"/>
                      <w:sz w:val="21"/>
                      <w:szCs w:val="21"/>
                    </w:rPr>
                  </w:pPr>
                  <w:r>
                    <w:rPr>
                      <w:rFonts w:hint="eastAsia" w:hAnsi="宋体"/>
                      <w:bCs/>
                      <w:color w:val="auto"/>
                      <w:sz w:val="21"/>
                      <w:szCs w:val="21"/>
                      <w:u w:val="none"/>
                      <w:lang w:val="en-US" w:eastAsia="zh-CN"/>
                    </w:rPr>
                    <w:t>生产单元</w:t>
                  </w:r>
                </w:p>
              </w:tc>
              <w:tc>
                <w:tcPr>
                  <w:tcW w:w="271" w:type="pct"/>
                  <w:tcBorders>
                    <w:left w:val="single" w:color="auto" w:sz="6" w:space="0"/>
                    <w:right w:val="single" w:color="auto" w:sz="4" w:space="0"/>
                  </w:tcBorders>
                  <w:noWrap w:val="0"/>
                  <w:vAlign w:val="center"/>
                </w:tcPr>
                <w:p w14:paraId="09EDC39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bCs/>
                      <w:color w:val="000000"/>
                      <w:sz w:val="21"/>
                      <w:szCs w:val="21"/>
                    </w:rPr>
                  </w:pPr>
                  <w:r>
                    <w:rPr>
                      <w:rFonts w:hint="eastAsia"/>
                      <w:bCs/>
                      <w:color w:val="000000"/>
                      <w:sz w:val="21"/>
                      <w:szCs w:val="21"/>
                    </w:rPr>
                    <w:t>序号</w:t>
                  </w:r>
                </w:p>
              </w:tc>
              <w:tc>
                <w:tcPr>
                  <w:tcW w:w="912" w:type="pct"/>
                  <w:tcBorders>
                    <w:left w:val="single" w:color="auto" w:sz="6" w:space="0"/>
                    <w:right w:val="single" w:color="auto" w:sz="4" w:space="0"/>
                  </w:tcBorders>
                  <w:noWrap w:val="0"/>
                  <w:vAlign w:val="center"/>
                </w:tcPr>
                <w:p w14:paraId="583D5383">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bCs/>
                      <w:color w:val="000000"/>
                      <w:sz w:val="21"/>
                      <w:szCs w:val="21"/>
                    </w:rPr>
                  </w:pPr>
                  <w:r>
                    <w:rPr>
                      <w:bCs/>
                      <w:color w:val="000000"/>
                      <w:sz w:val="21"/>
                      <w:szCs w:val="21"/>
                    </w:rPr>
                    <w:t>设备名称</w:t>
                  </w:r>
                </w:p>
              </w:tc>
              <w:tc>
                <w:tcPr>
                  <w:tcW w:w="1146" w:type="pct"/>
                  <w:noWrap w:val="0"/>
                  <w:vAlign w:val="center"/>
                </w:tcPr>
                <w:p w14:paraId="1D6377E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eastAsia="zh-CN"/>
                    </w:rPr>
                  </w:pPr>
                  <w:r>
                    <w:rPr>
                      <w:bCs/>
                      <w:color w:val="000000"/>
                      <w:sz w:val="21"/>
                      <w:szCs w:val="21"/>
                    </w:rPr>
                    <w:t>设备</w:t>
                  </w:r>
                  <w:r>
                    <w:rPr>
                      <w:rFonts w:hint="eastAsia"/>
                      <w:bCs/>
                      <w:color w:val="000000"/>
                      <w:sz w:val="21"/>
                      <w:szCs w:val="21"/>
                      <w:lang w:val="en-US" w:eastAsia="zh-CN"/>
                    </w:rPr>
                    <w:t>参数</w:t>
                  </w:r>
                </w:p>
              </w:tc>
              <w:tc>
                <w:tcPr>
                  <w:tcW w:w="401" w:type="pct"/>
                  <w:noWrap w:val="0"/>
                  <w:vAlign w:val="center"/>
                </w:tcPr>
                <w:p w14:paraId="30004072">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bCs/>
                      <w:color w:val="000000"/>
                      <w:sz w:val="21"/>
                      <w:szCs w:val="21"/>
                    </w:rPr>
                  </w:pPr>
                  <w:r>
                    <w:rPr>
                      <w:bCs/>
                      <w:color w:val="000000"/>
                      <w:sz w:val="21"/>
                      <w:szCs w:val="21"/>
                    </w:rPr>
                    <w:t>数量</w:t>
                  </w:r>
                </w:p>
              </w:tc>
              <w:tc>
                <w:tcPr>
                  <w:tcW w:w="1874" w:type="pct"/>
                  <w:noWrap w:val="0"/>
                  <w:vAlign w:val="center"/>
                </w:tcPr>
                <w:p w14:paraId="43966BB9">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eastAsia="zh-CN"/>
                    </w:rPr>
                  </w:pPr>
                  <w:r>
                    <w:rPr>
                      <w:rFonts w:hint="eastAsia"/>
                      <w:color w:val="000000"/>
                      <w:sz w:val="21"/>
                      <w:szCs w:val="21"/>
                      <w:lang w:val="en-US" w:eastAsia="zh-CN"/>
                    </w:rPr>
                    <w:t>备注</w:t>
                  </w:r>
                </w:p>
              </w:tc>
            </w:tr>
            <w:tr w14:paraId="1908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tcBorders>
                    <w:left w:val="single" w:color="auto" w:sz="6" w:space="0"/>
                    <w:right w:val="single" w:color="auto" w:sz="4" w:space="0"/>
                  </w:tcBorders>
                  <w:noWrap w:val="0"/>
                  <w:vAlign w:val="center"/>
                </w:tcPr>
                <w:p w14:paraId="5375BB4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r>
                    <w:rPr>
                      <w:rFonts w:hint="eastAsia"/>
                      <w:bCs/>
                      <w:color w:val="000000"/>
                      <w:sz w:val="21"/>
                      <w:szCs w:val="21"/>
                    </w:rPr>
                    <w:t>熔</w:t>
                  </w:r>
                  <w:r>
                    <w:rPr>
                      <w:rFonts w:hint="eastAsia"/>
                      <w:bCs/>
                      <w:color w:val="000000"/>
                      <w:sz w:val="21"/>
                      <w:szCs w:val="21"/>
                      <w:lang w:val="en-US" w:eastAsia="zh-CN"/>
                    </w:rPr>
                    <w:t>炼</w:t>
                  </w:r>
                  <w:r>
                    <w:rPr>
                      <w:rFonts w:hint="eastAsia"/>
                      <w:bCs/>
                      <w:color w:val="000000"/>
                      <w:sz w:val="21"/>
                      <w:szCs w:val="21"/>
                    </w:rPr>
                    <w:cr/>
                  </w:r>
                  <w:r>
                    <w:rPr>
                      <w:rFonts w:hint="eastAsia"/>
                      <w:bCs/>
                      <w:color w:val="000000"/>
                      <w:sz w:val="21"/>
                      <w:szCs w:val="21"/>
                    </w:rPr>
                    <w:t>工序</w:t>
                  </w:r>
                </w:p>
              </w:tc>
              <w:tc>
                <w:tcPr>
                  <w:tcW w:w="271" w:type="pct"/>
                  <w:tcBorders>
                    <w:left w:val="single" w:color="auto" w:sz="6" w:space="0"/>
                    <w:right w:val="single" w:color="auto" w:sz="4" w:space="0"/>
                  </w:tcBorders>
                  <w:noWrap w:val="0"/>
                  <w:vAlign w:val="center"/>
                </w:tcPr>
                <w:p w14:paraId="6948F48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r>
                    <w:rPr>
                      <w:rFonts w:hint="eastAsia"/>
                      <w:color w:val="000000"/>
                      <w:spacing w:val="-2"/>
                      <w:sz w:val="21"/>
                      <w:szCs w:val="21"/>
                    </w:rPr>
                    <w:t>1</w:t>
                  </w:r>
                </w:p>
              </w:tc>
              <w:tc>
                <w:tcPr>
                  <w:tcW w:w="912" w:type="pct"/>
                  <w:tcBorders>
                    <w:left w:val="single" w:color="auto" w:sz="6" w:space="0"/>
                    <w:right w:val="single" w:color="auto" w:sz="4" w:space="0"/>
                  </w:tcBorders>
                  <w:noWrap w:val="0"/>
                  <w:vAlign w:val="center"/>
                </w:tcPr>
                <w:p w14:paraId="7352F0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hAnsi="宋体"/>
                      <w:bCs/>
                      <w:color w:val="auto"/>
                      <w:sz w:val="21"/>
                      <w:szCs w:val="21"/>
                      <w:u w:val="none"/>
                    </w:rPr>
                    <w:t>中频炉</w:t>
                  </w:r>
                </w:p>
              </w:tc>
              <w:tc>
                <w:tcPr>
                  <w:tcW w:w="1146" w:type="pct"/>
                  <w:noWrap w:val="0"/>
                  <w:vAlign w:val="center"/>
                </w:tcPr>
                <w:p w14:paraId="4B4F81F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yellow"/>
                      <w:lang w:val="en-US" w:eastAsia="zh-CN"/>
                    </w:rPr>
                  </w:pPr>
                  <w:r>
                    <w:rPr>
                      <w:rFonts w:hint="eastAsia"/>
                      <w:color w:val="000000"/>
                      <w:position w:val="1"/>
                      <w:sz w:val="21"/>
                      <w:szCs w:val="21"/>
                      <w:highlight w:val="none"/>
                      <w:lang w:val="en-US" w:eastAsia="zh-CN"/>
                    </w:rPr>
                    <w:t>3.5T</w:t>
                  </w:r>
                </w:p>
              </w:tc>
              <w:tc>
                <w:tcPr>
                  <w:tcW w:w="401" w:type="pct"/>
                  <w:noWrap w:val="0"/>
                  <w:vAlign w:val="center"/>
                </w:tcPr>
                <w:p w14:paraId="41F0B90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yellow"/>
                      <w:lang w:eastAsia="zh-CN"/>
                    </w:rPr>
                  </w:pPr>
                  <w:r>
                    <w:rPr>
                      <w:rFonts w:hint="eastAsia"/>
                      <w:color w:val="000000"/>
                      <w:sz w:val="21"/>
                      <w:szCs w:val="21"/>
                      <w:highlight w:val="none"/>
                      <w:lang w:val="en-US" w:eastAsia="zh-CN"/>
                    </w:rPr>
                    <w:t>2</w:t>
                  </w:r>
                  <w:r>
                    <w:rPr>
                      <w:bCs/>
                      <w:color w:val="000000"/>
                      <w:sz w:val="21"/>
                      <w:szCs w:val="21"/>
                    </w:rPr>
                    <w:t>台</w:t>
                  </w:r>
                </w:p>
              </w:tc>
              <w:tc>
                <w:tcPr>
                  <w:tcW w:w="1874" w:type="pct"/>
                  <w:noWrap w:val="0"/>
                  <w:vAlign w:val="center"/>
                </w:tcPr>
                <w:p w14:paraId="4C00C083">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val="en-US" w:eastAsia="zh-CN"/>
                    </w:rPr>
                  </w:pPr>
                  <w:r>
                    <w:rPr>
                      <w:rFonts w:hint="eastAsia"/>
                      <w:bCs/>
                      <w:color w:val="000000"/>
                      <w:sz w:val="21"/>
                      <w:szCs w:val="21"/>
                      <w:lang w:val="en-US" w:eastAsia="zh-CN"/>
                    </w:rPr>
                    <w:t>/</w:t>
                  </w:r>
                </w:p>
              </w:tc>
            </w:tr>
            <w:tr w14:paraId="41AF3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07AB1D7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13EB7A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sz w:val="21"/>
                      <w:szCs w:val="21"/>
                    </w:rPr>
                  </w:pPr>
                  <w:r>
                    <w:rPr>
                      <w:rFonts w:hint="eastAsia"/>
                      <w:color w:val="000000"/>
                      <w:spacing w:val="-2"/>
                      <w:sz w:val="21"/>
                      <w:szCs w:val="21"/>
                    </w:rPr>
                    <w:t>2</w:t>
                  </w:r>
                </w:p>
              </w:tc>
              <w:tc>
                <w:tcPr>
                  <w:tcW w:w="912" w:type="pct"/>
                  <w:tcBorders>
                    <w:left w:val="single" w:color="auto" w:sz="6" w:space="0"/>
                    <w:right w:val="single" w:color="auto" w:sz="4" w:space="0"/>
                  </w:tcBorders>
                  <w:noWrap w:val="0"/>
                  <w:vAlign w:val="center"/>
                </w:tcPr>
                <w:p w14:paraId="478C03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highlight w:val="yellow"/>
                    </w:rPr>
                  </w:pPr>
                  <w:r>
                    <w:rPr>
                      <w:rFonts w:hint="eastAsia" w:hAnsi="宋体"/>
                      <w:bCs/>
                      <w:color w:val="auto"/>
                      <w:sz w:val="21"/>
                      <w:szCs w:val="21"/>
                      <w:u w:val="none"/>
                    </w:rPr>
                    <w:t>冷却</w:t>
                  </w:r>
                  <w:r>
                    <w:rPr>
                      <w:rFonts w:hint="eastAsia" w:hAnsi="宋体"/>
                      <w:bCs/>
                      <w:color w:val="auto"/>
                      <w:sz w:val="21"/>
                      <w:szCs w:val="21"/>
                      <w:u w:val="none"/>
                      <w:lang w:val="en-US" w:eastAsia="zh-CN"/>
                    </w:rPr>
                    <w:t>水</w:t>
                  </w:r>
                  <w:r>
                    <w:rPr>
                      <w:rFonts w:hint="eastAsia" w:hAnsi="宋体"/>
                      <w:bCs/>
                      <w:color w:val="auto"/>
                      <w:sz w:val="21"/>
                      <w:szCs w:val="21"/>
                      <w:u w:val="none"/>
                    </w:rPr>
                    <w:t>系统</w:t>
                  </w:r>
                </w:p>
              </w:tc>
              <w:tc>
                <w:tcPr>
                  <w:tcW w:w="1146" w:type="pct"/>
                  <w:noWrap w:val="0"/>
                  <w:vAlign w:val="center"/>
                </w:tcPr>
                <w:p w14:paraId="7F8BB6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position w:val="1"/>
                      <w:sz w:val="21"/>
                      <w:szCs w:val="21"/>
                      <w:highlight w:val="none"/>
                    </w:rPr>
                  </w:pPr>
                  <w:r>
                    <w:rPr>
                      <w:rFonts w:hint="eastAsia"/>
                      <w:color w:val="000000"/>
                      <w:position w:val="1"/>
                      <w:sz w:val="21"/>
                      <w:szCs w:val="21"/>
                      <w:highlight w:val="none"/>
                    </w:rPr>
                    <w:t>/</w:t>
                  </w:r>
                </w:p>
              </w:tc>
              <w:tc>
                <w:tcPr>
                  <w:tcW w:w="401" w:type="pct"/>
                  <w:noWrap w:val="0"/>
                  <w:vAlign w:val="center"/>
                </w:tcPr>
                <w:p w14:paraId="000DAC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eastAsia="zh-CN"/>
                    </w:rPr>
                  </w:pPr>
                  <w:r>
                    <w:rPr>
                      <w:rFonts w:hint="eastAsia"/>
                      <w:color w:val="000000"/>
                      <w:sz w:val="21"/>
                      <w:szCs w:val="21"/>
                      <w:highlight w:val="none"/>
                      <w:lang w:val="en-US" w:eastAsia="zh-CN"/>
                    </w:rPr>
                    <w:t>2</w:t>
                  </w:r>
                  <w:r>
                    <w:rPr>
                      <w:bCs/>
                      <w:color w:val="000000"/>
                      <w:sz w:val="21"/>
                      <w:szCs w:val="21"/>
                    </w:rPr>
                    <w:t>套</w:t>
                  </w:r>
                </w:p>
              </w:tc>
              <w:tc>
                <w:tcPr>
                  <w:tcW w:w="1874" w:type="pct"/>
                  <w:noWrap w:val="0"/>
                  <w:vAlign w:val="center"/>
                </w:tcPr>
                <w:p w14:paraId="0345A394">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val="en-US" w:eastAsia="zh-CN"/>
                    </w:rPr>
                  </w:pPr>
                  <w:r>
                    <w:rPr>
                      <w:rFonts w:hint="eastAsia"/>
                      <w:bCs/>
                      <w:color w:val="000000"/>
                      <w:sz w:val="21"/>
                      <w:szCs w:val="21"/>
                      <w:lang w:val="en-US" w:eastAsia="zh-CN"/>
                    </w:rPr>
                    <w:t>/</w:t>
                  </w:r>
                </w:p>
              </w:tc>
            </w:tr>
            <w:tr w14:paraId="786D7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tcBorders>
                    <w:left w:val="single" w:color="auto" w:sz="6" w:space="0"/>
                    <w:right w:val="single" w:color="auto" w:sz="4" w:space="0"/>
                  </w:tcBorders>
                  <w:noWrap w:val="0"/>
                  <w:vAlign w:val="center"/>
                </w:tcPr>
                <w:p w14:paraId="47BC92D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sz w:val="21"/>
                      <w:szCs w:val="21"/>
                      <w:lang w:val="en-US" w:eastAsia="zh-CN"/>
                    </w:rPr>
                  </w:pPr>
                  <w:r>
                    <w:rPr>
                      <w:rFonts w:hint="eastAsia"/>
                      <w:color w:val="000000"/>
                      <w:spacing w:val="-2"/>
                      <w:sz w:val="21"/>
                      <w:szCs w:val="21"/>
                      <w:lang w:val="en-US" w:eastAsia="zh-CN"/>
                    </w:rPr>
                    <w:t>造型浇注</w:t>
                  </w:r>
                </w:p>
              </w:tc>
              <w:tc>
                <w:tcPr>
                  <w:tcW w:w="271" w:type="pct"/>
                  <w:tcBorders>
                    <w:left w:val="single" w:color="auto" w:sz="6" w:space="0"/>
                    <w:right w:val="single" w:color="auto" w:sz="4" w:space="0"/>
                  </w:tcBorders>
                  <w:noWrap w:val="0"/>
                  <w:vAlign w:val="center"/>
                </w:tcPr>
                <w:p w14:paraId="791074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sz w:val="21"/>
                      <w:szCs w:val="21"/>
                      <w:lang w:val="en-US" w:eastAsia="zh-CN"/>
                    </w:rPr>
                  </w:pPr>
                  <w:r>
                    <w:rPr>
                      <w:rFonts w:hint="eastAsia"/>
                      <w:color w:val="000000"/>
                      <w:spacing w:val="-2"/>
                      <w:sz w:val="21"/>
                      <w:szCs w:val="21"/>
                      <w:lang w:val="en-US" w:eastAsia="zh-CN"/>
                    </w:rPr>
                    <w:t>3</w:t>
                  </w:r>
                </w:p>
              </w:tc>
              <w:tc>
                <w:tcPr>
                  <w:tcW w:w="912" w:type="pct"/>
                  <w:tcBorders>
                    <w:left w:val="single" w:color="auto" w:sz="6" w:space="0"/>
                    <w:right w:val="single" w:color="auto" w:sz="4" w:space="0"/>
                  </w:tcBorders>
                  <w:noWrap w:val="0"/>
                  <w:vAlign w:val="center"/>
                </w:tcPr>
                <w:p w14:paraId="5D97C6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hAnsi="宋体" w:eastAsia="宋体"/>
                      <w:bCs/>
                      <w:color w:val="auto"/>
                      <w:sz w:val="21"/>
                      <w:szCs w:val="21"/>
                      <w:u w:val="none"/>
                      <w:lang w:val="en-US" w:eastAsia="zh-CN"/>
                    </w:rPr>
                  </w:pPr>
                  <w:r>
                    <w:rPr>
                      <w:rFonts w:hint="eastAsia" w:hAnsi="宋体"/>
                      <w:bCs/>
                      <w:color w:val="auto"/>
                      <w:sz w:val="21"/>
                      <w:szCs w:val="21"/>
                      <w:u w:val="none"/>
                      <w:lang w:val="en-US" w:eastAsia="zh-CN"/>
                    </w:rPr>
                    <w:t>钢水包</w:t>
                  </w:r>
                </w:p>
              </w:tc>
              <w:tc>
                <w:tcPr>
                  <w:tcW w:w="1146" w:type="pct"/>
                  <w:noWrap w:val="0"/>
                  <w:vAlign w:val="center"/>
                </w:tcPr>
                <w:p w14:paraId="11633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position w:val="1"/>
                      <w:sz w:val="21"/>
                      <w:szCs w:val="21"/>
                      <w:highlight w:val="none"/>
                      <w:lang w:val="en-US" w:eastAsia="zh-CN"/>
                    </w:rPr>
                  </w:pPr>
                  <w:r>
                    <w:rPr>
                      <w:rFonts w:hint="eastAsia"/>
                      <w:color w:val="auto"/>
                      <w:sz w:val="21"/>
                      <w:szCs w:val="21"/>
                      <w:u w:val="none"/>
                      <w:lang w:val="en-US" w:eastAsia="zh-CN"/>
                    </w:rPr>
                    <w:t>3</w:t>
                  </w:r>
                  <w:r>
                    <w:rPr>
                      <w:rFonts w:hint="eastAsia"/>
                      <w:color w:val="auto"/>
                      <w:sz w:val="21"/>
                      <w:szCs w:val="21"/>
                      <w:u w:val="none"/>
                    </w:rPr>
                    <w:t>.5T</w:t>
                  </w:r>
                </w:p>
              </w:tc>
              <w:tc>
                <w:tcPr>
                  <w:tcW w:w="401" w:type="pct"/>
                  <w:noWrap w:val="0"/>
                  <w:vAlign w:val="center"/>
                </w:tcPr>
                <w:p w14:paraId="1AD34C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sz w:val="21"/>
                      <w:szCs w:val="21"/>
                      <w:highlight w:val="none"/>
                      <w:lang w:val="en-US" w:eastAsia="zh-CN"/>
                    </w:rPr>
                  </w:pPr>
                  <w:r>
                    <w:rPr>
                      <w:rFonts w:hint="eastAsia" w:hAnsi="宋体"/>
                      <w:bCs/>
                      <w:color w:val="auto"/>
                      <w:sz w:val="21"/>
                      <w:szCs w:val="21"/>
                      <w:u w:val="none"/>
                      <w:lang w:val="en-US" w:eastAsia="zh-CN"/>
                    </w:rPr>
                    <w:t>2</w:t>
                  </w:r>
                  <w:r>
                    <w:rPr>
                      <w:rFonts w:hint="eastAsia" w:hAnsi="宋体"/>
                      <w:bCs/>
                      <w:color w:val="auto"/>
                      <w:sz w:val="21"/>
                      <w:szCs w:val="21"/>
                      <w:u w:val="none"/>
                    </w:rPr>
                    <w:t>个</w:t>
                  </w:r>
                </w:p>
              </w:tc>
              <w:tc>
                <w:tcPr>
                  <w:tcW w:w="1874" w:type="pct"/>
                  <w:noWrap w:val="0"/>
                  <w:vAlign w:val="center"/>
                </w:tcPr>
                <w:p w14:paraId="5992DA1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lang w:val="en-US" w:eastAsia="zh-CN"/>
                    </w:rPr>
                  </w:pPr>
                  <w:r>
                    <w:rPr>
                      <w:rFonts w:hint="eastAsia"/>
                      <w:bCs/>
                      <w:color w:val="000000"/>
                      <w:sz w:val="21"/>
                      <w:szCs w:val="21"/>
                      <w:lang w:val="en-US" w:eastAsia="zh-CN"/>
                    </w:rPr>
                    <w:t>/</w:t>
                  </w:r>
                </w:p>
              </w:tc>
            </w:tr>
            <w:tr w14:paraId="3CDE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tcBorders>
                    <w:left w:val="single" w:color="auto" w:sz="6" w:space="0"/>
                    <w:right w:val="single" w:color="auto" w:sz="4" w:space="0"/>
                  </w:tcBorders>
                  <w:noWrap w:val="0"/>
                  <w:vAlign w:val="center"/>
                </w:tcPr>
                <w:p w14:paraId="2822DB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树脂砂处理线</w:t>
                  </w:r>
                </w:p>
              </w:tc>
              <w:tc>
                <w:tcPr>
                  <w:tcW w:w="271" w:type="pct"/>
                  <w:tcBorders>
                    <w:left w:val="single" w:color="auto" w:sz="6" w:space="0"/>
                    <w:right w:val="single" w:color="auto" w:sz="4" w:space="0"/>
                  </w:tcBorders>
                  <w:noWrap w:val="0"/>
                  <w:vAlign w:val="center"/>
                </w:tcPr>
                <w:p w14:paraId="5BC596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r>
                    <w:rPr>
                      <w:rFonts w:hint="eastAsia"/>
                      <w:color w:val="000000"/>
                      <w:sz w:val="21"/>
                      <w:szCs w:val="21"/>
                    </w:rPr>
                    <w:t>4</w:t>
                  </w:r>
                </w:p>
              </w:tc>
              <w:tc>
                <w:tcPr>
                  <w:tcW w:w="912" w:type="pct"/>
                  <w:tcBorders>
                    <w:left w:val="single" w:color="auto" w:sz="6" w:space="0"/>
                    <w:right w:val="single" w:color="auto" w:sz="4" w:space="0"/>
                  </w:tcBorders>
                  <w:noWrap w:val="0"/>
                  <w:vAlign w:val="center"/>
                </w:tcPr>
                <w:p w14:paraId="29CFBF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sz w:val="21"/>
                      <w:szCs w:val="21"/>
                      <w:highlight w:val="none"/>
                      <w:lang w:val="en-US" w:eastAsia="zh-CN"/>
                    </w:rPr>
                  </w:pPr>
                  <w:r>
                    <w:rPr>
                      <w:rFonts w:hint="eastAsia"/>
                      <w:color w:val="000000"/>
                      <w:spacing w:val="-2"/>
                      <w:sz w:val="21"/>
                      <w:szCs w:val="21"/>
                      <w:highlight w:val="none"/>
                      <w:lang w:val="en-US" w:eastAsia="zh-CN"/>
                    </w:rPr>
                    <w:t>振动落砂机</w:t>
                  </w:r>
                </w:p>
              </w:tc>
              <w:tc>
                <w:tcPr>
                  <w:tcW w:w="1146" w:type="pct"/>
                  <w:noWrap w:val="0"/>
                  <w:vAlign w:val="center"/>
                </w:tcPr>
                <w:p w14:paraId="4959EC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position w:val="1"/>
                      <w:sz w:val="21"/>
                      <w:szCs w:val="21"/>
                      <w:highlight w:val="none"/>
                      <w:lang w:val="en-US" w:eastAsia="zh-CN"/>
                    </w:rPr>
                  </w:pPr>
                  <w:r>
                    <w:rPr>
                      <w:rFonts w:hint="default" w:ascii="Times New Roman" w:hAnsi="Times New Roman" w:cs="Times New Roman"/>
                      <w:color w:val="000000"/>
                      <w:position w:val="1"/>
                      <w:sz w:val="21"/>
                      <w:szCs w:val="21"/>
                      <w:highlight w:val="none"/>
                      <w:lang w:val="en-US" w:eastAsia="zh-CN"/>
                    </w:rPr>
                    <w:t>电机功率：14kW×2</w:t>
                  </w:r>
                </w:p>
              </w:tc>
              <w:tc>
                <w:tcPr>
                  <w:tcW w:w="401" w:type="pct"/>
                  <w:noWrap w:val="0"/>
                  <w:vAlign w:val="center"/>
                </w:tcPr>
                <w:p w14:paraId="223539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eastAsia="zh-CN"/>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607D881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bCs/>
                      <w:color w:val="000000"/>
                      <w:sz w:val="21"/>
                      <w:szCs w:val="21"/>
                      <w:lang w:val="en-US" w:eastAsia="zh-CN"/>
                    </w:rPr>
                  </w:pPr>
                  <w:r>
                    <w:rPr>
                      <w:rFonts w:hint="eastAsia"/>
                      <w:bCs/>
                      <w:color w:val="000000"/>
                      <w:sz w:val="21"/>
                      <w:szCs w:val="21"/>
                      <w:lang w:val="en-US" w:eastAsia="zh-CN"/>
                    </w:rPr>
                    <w:t>单台工作台面3.0m</w:t>
                  </w:r>
                  <w:r>
                    <w:rPr>
                      <w:rFonts w:hint="default" w:ascii="Times New Roman" w:hAnsi="Times New Roman" w:cs="Times New Roman"/>
                      <w:color w:val="000000"/>
                      <w:position w:val="1"/>
                      <w:sz w:val="21"/>
                      <w:szCs w:val="21"/>
                      <w:highlight w:val="none"/>
                      <w:lang w:val="en-US" w:eastAsia="zh-CN"/>
                    </w:rPr>
                    <w:t>×</w:t>
                  </w:r>
                  <w:r>
                    <w:rPr>
                      <w:rFonts w:hint="eastAsia"/>
                      <w:bCs/>
                      <w:color w:val="000000"/>
                      <w:sz w:val="21"/>
                      <w:szCs w:val="21"/>
                      <w:lang w:val="en-US" w:eastAsia="zh-CN"/>
                    </w:rPr>
                    <w:t>3.0m，</w:t>
                  </w:r>
                  <w:r>
                    <w:rPr>
                      <w:rFonts w:hint="default" w:ascii="Times New Roman" w:hAnsi="Times New Roman" w:cs="Times New Roman"/>
                      <w:color w:val="000000"/>
                      <w:position w:val="1"/>
                      <w:sz w:val="21"/>
                      <w:szCs w:val="21"/>
                      <w:highlight w:val="none"/>
                      <w:lang w:val="en-US" w:eastAsia="zh-CN"/>
                    </w:rPr>
                    <w:t>额定负载：20t</w:t>
                  </w:r>
                  <w:r>
                    <w:rPr>
                      <w:rFonts w:hint="eastAsia" w:ascii="Times New Roman" w:hAnsi="Times New Roman" w:cs="Times New Roman"/>
                      <w:color w:val="000000"/>
                      <w:position w:val="1"/>
                      <w:sz w:val="21"/>
                      <w:szCs w:val="21"/>
                      <w:highlight w:val="none"/>
                      <w:lang w:val="en-US" w:eastAsia="zh-CN"/>
                    </w:rPr>
                    <w:t>，孔板厚度40mm，落砂孔直径φ50mm</w:t>
                  </w:r>
                </w:p>
              </w:tc>
            </w:tr>
            <w:tr w14:paraId="04A8C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Merge w:val="continue"/>
                  <w:tcBorders>
                    <w:left w:val="single" w:color="auto" w:sz="6" w:space="0"/>
                    <w:right w:val="single" w:color="auto" w:sz="4" w:space="0"/>
                  </w:tcBorders>
                  <w:noWrap w:val="0"/>
                  <w:vAlign w:val="center"/>
                </w:tcPr>
                <w:p w14:paraId="0F2718F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4785A0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r>
                    <w:rPr>
                      <w:rFonts w:hint="eastAsia"/>
                      <w:color w:val="000000"/>
                      <w:sz w:val="21"/>
                      <w:szCs w:val="21"/>
                    </w:rPr>
                    <w:t>5</w:t>
                  </w:r>
                </w:p>
              </w:tc>
              <w:tc>
                <w:tcPr>
                  <w:tcW w:w="912" w:type="pct"/>
                  <w:tcBorders>
                    <w:left w:val="single" w:color="auto" w:sz="6" w:space="0"/>
                    <w:right w:val="single" w:color="auto" w:sz="4" w:space="0"/>
                  </w:tcBorders>
                  <w:noWrap w:val="0"/>
                  <w:vAlign w:val="center"/>
                </w:tcPr>
                <w:p w14:paraId="6CCF82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板链式提升机</w:t>
                  </w:r>
                </w:p>
              </w:tc>
              <w:tc>
                <w:tcPr>
                  <w:tcW w:w="1146" w:type="pct"/>
                  <w:noWrap w:val="0"/>
                  <w:vAlign w:val="center"/>
                </w:tcPr>
                <w:p w14:paraId="13E59F4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电机功率：11</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4F46420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074E88E5">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lang w:val="en-US"/>
                    </w:rPr>
                  </w:pPr>
                  <w:r>
                    <w:rPr>
                      <w:rFonts w:hint="default" w:ascii="Times New Roman" w:hAnsi="Times New Roman" w:eastAsia="宋体" w:cs="Times New Roman"/>
                      <w:color w:val="000000"/>
                      <w:sz w:val="21"/>
                      <w:szCs w:val="21"/>
                      <w:highlight w:val="none"/>
                      <w:lang w:val="en-US" w:eastAsia="zh-CN"/>
                    </w:rPr>
                    <w:t>生产率≥30t/h</w:t>
                  </w:r>
                  <w:r>
                    <w:rPr>
                      <w:rFonts w:hint="eastAsia" w:ascii="Times New Roman" w:hAnsi="Times New Roman" w:eastAsia="宋体" w:cs="Times New Roman"/>
                      <w:color w:val="000000"/>
                      <w:sz w:val="21"/>
                      <w:szCs w:val="21"/>
                      <w:highlight w:val="none"/>
                      <w:lang w:val="en-US" w:eastAsia="zh-CN"/>
                    </w:rPr>
                    <w:t>，含转速脉冲检测保护装置及逆向制动装置</w:t>
                  </w:r>
                </w:p>
              </w:tc>
            </w:tr>
            <w:tr w14:paraId="6BEB0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70818C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5EFA9A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r>
                    <w:rPr>
                      <w:rFonts w:hint="eastAsia"/>
                      <w:color w:val="000000"/>
                      <w:sz w:val="21"/>
                      <w:szCs w:val="21"/>
                    </w:rPr>
                    <w:t>6</w:t>
                  </w:r>
                </w:p>
              </w:tc>
              <w:tc>
                <w:tcPr>
                  <w:tcW w:w="912" w:type="pct"/>
                  <w:tcBorders>
                    <w:left w:val="single" w:color="auto" w:sz="6" w:space="0"/>
                    <w:right w:val="single" w:color="auto" w:sz="4" w:space="0"/>
                  </w:tcBorders>
                  <w:noWrap w:val="0"/>
                  <w:vAlign w:val="center"/>
                </w:tcPr>
                <w:p w14:paraId="227A5D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振动破碎筛分机</w:t>
                  </w:r>
                </w:p>
              </w:tc>
              <w:tc>
                <w:tcPr>
                  <w:tcW w:w="1146" w:type="pct"/>
                  <w:noWrap w:val="0"/>
                  <w:vAlign w:val="center"/>
                </w:tcPr>
                <w:p w14:paraId="7DF664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电机功率：9.5</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122030F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03663212">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lang w:val="en-US"/>
                    </w:rPr>
                  </w:pPr>
                  <w:r>
                    <w:rPr>
                      <w:rFonts w:hint="eastAsia"/>
                      <w:color w:val="000000"/>
                      <w:sz w:val="21"/>
                      <w:szCs w:val="21"/>
                      <w:highlight w:val="none"/>
                      <w:lang w:val="en-US" w:eastAsia="zh-CN"/>
                    </w:rPr>
                    <w:t>生产率：20t/h，具有筛分功能</w:t>
                  </w:r>
                </w:p>
              </w:tc>
            </w:tr>
            <w:tr w14:paraId="00DC1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0600BA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71AD5C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rFonts w:hint="eastAsia"/>
                      <w:color w:val="000000"/>
                      <w:spacing w:val="-2"/>
                      <w:sz w:val="21"/>
                      <w:szCs w:val="21"/>
                    </w:rPr>
                    <w:t>7</w:t>
                  </w:r>
                </w:p>
              </w:tc>
              <w:tc>
                <w:tcPr>
                  <w:tcW w:w="912" w:type="pct"/>
                  <w:tcBorders>
                    <w:left w:val="single" w:color="auto" w:sz="6" w:space="0"/>
                    <w:right w:val="single" w:color="auto" w:sz="4" w:space="0"/>
                  </w:tcBorders>
                  <w:noWrap w:val="0"/>
                  <w:vAlign w:val="center"/>
                </w:tcPr>
                <w:p w14:paraId="14D125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皮带式提升机</w:t>
                  </w:r>
                </w:p>
              </w:tc>
              <w:tc>
                <w:tcPr>
                  <w:tcW w:w="1146" w:type="pct"/>
                  <w:noWrap w:val="0"/>
                  <w:vAlign w:val="center"/>
                </w:tcPr>
                <w:p w14:paraId="2FF46E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电机功率：4.0</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47FD21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27837018">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bCs/>
                      <w:color w:val="000000"/>
                      <w:sz w:val="21"/>
                      <w:szCs w:val="21"/>
                    </w:rPr>
                  </w:pPr>
                  <w:r>
                    <w:rPr>
                      <w:rFonts w:hint="eastAsia"/>
                      <w:color w:val="000000"/>
                      <w:sz w:val="21"/>
                      <w:szCs w:val="21"/>
                      <w:highlight w:val="none"/>
                      <w:lang w:val="en-US" w:eastAsia="zh-CN"/>
                    </w:rPr>
                    <w:t>生产率：20t/h，</w:t>
                  </w:r>
                  <w:r>
                    <w:rPr>
                      <w:rFonts w:hint="eastAsia" w:ascii="Times New Roman" w:hAnsi="Times New Roman" w:eastAsia="宋体" w:cs="Times New Roman"/>
                      <w:color w:val="000000"/>
                      <w:sz w:val="21"/>
                      <w:szCs w:val="21"/>
                      <w:highlight w:val="none"/>
                      <w:lang w:val="en-US" w:eastAsia="zh-CN"/>
                    </w:rPr>
                    <w:t>含转速脉冲检测保护装置及逆向制动装置</w:t>
                  </w:r>
                </w:p>
              </w:tc>
            </w:tr>
            <w:tr w14:paraId="0353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0865F3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7A7DD6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r>
                    <w:rPr>
                      <w:rFonts w:hint="eastAsia"/>
                      <w:color w:val="000000"/>
                      <w:spacing w:val="-2"/>
                      <w:sz w:val="21"/>
                      <w:szCs w:val="21"/>
                      <w:lang w:val="en-US" w:eastAsia="zh-CN"/>
                    </w:rPr>
                    <w:t>8</w:t>
                  </w:r>
                </w:p>
              </w:tc>
              <w:tc>
                <w:tcPr>
                  <w:tcW w:w="912" w:type="pct"/>
                  <w:tcBorders>
                    <w:left w:val="single" w:color="auto" w:sz="6" w:space="0"/>
                    <w:right w:val="single" w:color="auto" w:sz="4" w:space="0"/>
                  </w:tcBorders>
                  <w:noWrap w:val="0"/>
                  <w:vAlign w:val="center"/>
                </w:tcPr>
                <w:p w14:paraId="7F5864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1#砂库</w:t>
                  </w:r>
                </w:p>
              </w:tc>
              <w:tc>
                <w:tcPr>
                  <w:tcW w:w="1146" w:type="pct"/>
                  <w:noWrap w:val="0"/>
                  <w:vAlign w:val="center"/>
                </w:tcPr>
                <w:p w14:paraId="72B7F0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容重：110t</w:t>
                  </w:r>
                </w:p>
              </w:tc>
              <w:tc>
                <w:tcPr>
                  <w:tcW w:w="401" w:type="pct"/>
                  <w:noWrap w:val="0"/>
                  <w:vAlign w:val="center"/>
                </w:tcPr>
                <w:p w14:paraId="490DC6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01A29AF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val="en-US" w:eastAsia="zh-CN"/>
                    </w:rPr>
                  </w:pPr>
                  <w:r>
                    <w:rPr>
                      <w:rFonts w:hint="eastAsia"/>
                      <w:bCs/>
                      <w:color w:val="000000"/>
                      <w:sz w:val="21"/>
                      <w:szCs w:val="21"/>
                      <w:lang w:val="en-US" w:eastAsia="zh-CN"/>
                    </w:rPr>
                    <w:t>/</w:t>
                  </w:r>
                </w:p>
              </w:tc>
            </w:tr>
            <w:tr w14:paraId="5C803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348F95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19C447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sz w:val="21"/>
                      <w:szCs w:val="21"/>
                      <w:lang w:val="en-US" w:eastAsia="zh-CN"/>
                    </w:rPr>
                  </w:pPr>
                  <w:r>
                    <w:rPr>
                      <w:rFonts w:hint="eastAsia"/>
                      <w:color w:val="000000"/>
                      <w:spacing w:val="-2"/>
                      <w:sz w:val="21"/>
                      <w:szCs w:val="21"/>
                    </w:rPr>
                    <w:t>9</w:t>
                  </w:r>
                </w:p>
              </w:tc>
              <w:tc>
                <w:tcPr>
                  <w:tcW w:w="912" w:type="pct"/>
                  <w:tcBorders>
                    <w:left w:val="single" w:color="auto" w:sz="6" w:space="0"/>
                    <w:right w:val="single" w:color="auto" w:sz="4" w:space="0"/>
                  </w:tcBorders>
                  <w:noWrap w:val="0"/>
                  <w:vAlign w:val="center"/>
                </w:tcPr>
                <w:p w14:paraId="2AAE2B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料位计</w:t>
                  </w:r>
                </w:p>
              </w:tc>
              <w:tc>
                <w:tcPr>
                  <w:tcW w:w="1146" w:type="pct"/>
                  <w:noWrap w:val="0"/>
                  <w:vAlign w:val="center"/>
                </w:tcPr>
                <w:p w14:paraId="24EC468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401" w:type="pct"/>
                  <w:noWrap w:val="0"/>
                  <w:vAlign w:val="center"/>
                </w:tcPr>
                <w:p w14:paraId="2A0C2A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rPr>
                  </w:pPr>
                  <w:r>
                    <w:rPr>
                      <w:rFonts w:hint="eastAsia"/>
                      <w:color w:val="000000"/>
                      <w:sz w:val="21"/>
                      <w:szCs w:val="21"/>
                      <w:highlight w:val="none"/>
                      <w:lang w:val="en-US" w:eastAsia="zh-CN"/>
                    </w:rPr>
                    <w:t>2件</w:t>
                  </w:r>
                </w:p>
              </w:tc>
              <w:tc>
                <w:tcPr>
                  <w:tcW w:w="1874" w:type="pct"/>
                  <w:noWrap w:val="0"/>
                  <w:vAlign w:val="center"/>
                </w:tcPr>
                <w:p w14:paraId="0DD640AE">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bCs/>
                      <w:color w:val="000000"/>
                      <w:sz w:val="21"/>
                      <w:szCs w:val="21"/>
                      <w:lang w:val="en-US" w:eastAsia="zh-CN"/>
                    </w:rPr>
                  </w:pPr>
                  <w:r>
                    <w:rPr>
                      <w:rFonts w:hint="eastAsia"/>
                      <w:bCs/>
                      <w:color w:val="000000"/>
                      <w:sz w:val="21"/>
                      <w:szCs w:val="21"/>
                      <w:lang w:val="en-US" w:eastAsia="zh-CN"/>
                    </w:rPr>
                    <w:t>/</w:t>
                  </w:r>
                </w:p>
              </w:tc>
            </w:tr>
            <w:tr w14:paraId="25B64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0701C6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3ADD3C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r>
                    <w:rPr>
                      <w:rFonts w:hint="eastAsia"/>
                      <w:color w:val="000000"/>
                      <w:spacing w:val="-2"/>
                      <w:sz w:val="21"/>
                      <w:szCs w:val="21"/>
                    </w:rPr>
                    <w:t>10</w:t>
                  </w:r>
                </w:p>
              </w:tc>
              <w:tc>
                <w:tcPr>
                  <w:tcW w:w="912" w:type="pct"/>
                  <w:tcBorders>
                    <w:left w:val="single" w:color="auto" w:sz="6" w:space="0"/>
                    <w:right w:val="single" w:color="auto" w:sz="4" w:space="0"/>
                  </w:tcBorders>
                  <w:noWrap w:val="0"/>
                  <w:vAlign w:val="center"/>
                </w:tcPr>
                <w:p w14:paraId="17F1294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yellow"/>
                      <w:lang w:val="en-US" w:eastAsia="zh-CN"/>
                    </w:rPr>
                  </w:pPr>
                  <w:r>
                    <w:rPr>
                      <w:rFonts w:hint="eastAsia"/>
                      <w:color w:val="000000"/>
                      <w:sz w:val="21"/>
                      <w:szCs w:val="21"/>
                      <w:highlight w:val="none"/>
                      <w:lang w:val="en-US" w:eastAsia="zh-CN"/>
                    </w:rPr>
                    <w:t>砂定量装置（全密封）</w:t>
                  </w:r>
                </w:p>
              </w:tc>
              <w:tc>
                <w:tcPr>
                  <w:tcW w:w="1146" w:type="pct"/>
                  <w:noWrap w:val="0"/>
                  <w:vAlign w:val="center"/>
                </w:tcPr>
                <w:p w14:paraId="250662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yellow"/>
                      <w:lang w:val="en-US" w:eastAsia="zh-CN"/>
                    </w:rPr>
                  </w:pPr>
                  <w:r>
                    <w:rPr>
                      <w:rFonts w:hint="eastAsia"/>
                      <w:color w:val="000000"/>
                      <w:sz w:val="21"/>
                      <w:szCs w:val="21"/>
                      <w:highlight w:val="none"/>
                      <w:lang w:val="en-US" w:eastAsia="zh-CN"/>
                    </w:rPr>
                    <w:t>/</w:t>
                  </w:r>
                </w:p>
              </w:tc>
              <w:tc>
                <w:tcPr>
                  <w:tcW w:w="401" w:type="pct"/>
                  <w:noWrap w:val="0"/>
                  <w:vAlign w:val="center"/>
                </w:tcPr>
                <w:p w14:paraId="00FBAA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1件</w:t>
                  </w:r>
                </w:p>
              </w:tc>
              <w:tc>
                <w:tcPr>
                  <w:tcW w:w="1874" w:type="pct"/>
                  <w:noWrap w:val="0"/>
                  <w:vAlign w:val="center"/>
                </w:tcPr>
                <w:p w14:paraId="4DA56B6B">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eastAsia="宋体"/>
                      <w:bCs/>
                      <w:color w:val="000000"/>
                      <w:sz w:val="21"/>
                      <w:szCs w:val="21"/>
                      <w:lang w:val="en-US" w:eastAsia="zh-CN"/>
                    </w:rPr>
                  </w:pPr>
                  <w:r>
                    <w:rPr>
                      <w:rFonts w:hint="eastAsia"/>
                      <w:bCs/>
                      <w:color w:val="000000"/>
                      <w:sz w:val="21"/>
                      <w:szCs w:val="21"/>
                      <w:lang w:val="en-US" w:eastAsia="zh-CN"/>
                    </w:rPr>
                    <w:t>自动控制，手动调节</w:t>
                  </w:r>
                </w:p>
              </w:tc>
            </w:tr>
            <w:tr w14:paraId="63022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50FD78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032839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sz w:val="21"/>
                      <w:szCs w:val="21"/>
                    </w:rPr>
                  </w:pPr>
                  <w:r>
                    <w:rPr>
                      <w:rFonts w:hint="eastAsia"/>
                      <w:color w:val="000000"/>
                      <w:spacing w:val="-2"/>
                      <w:sz w:val="21"/>
                      <w:szCs w:val="21"/>
                    </w:rPr>
                    <w:t>11</w:t>
                  </w:r>
                </w:p>
              </w:tc>
              <w:tc>
                <w:tcPr>
                  <w:tcW w:w="912" w:type="pct"/>
                  <w:tcBorders>
                    <w:left w:val="single" w:color="auto" w:sz="6" w:space="0"/>
                    <w:right w:val="single" w:color="auto" w:sz="4" w:space="0"/>
                  </w:tcBorders>
                  <w:noWrap w:val="0"/>
                  <w:vAlign w:val="center"/>
                </w:tcPr>
                <w:p w14:paraId="21EB06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sz w:val="21"/>
                      <w:szCs w:val="21"/>
                      <w:highlight w:val="yellow"/>
                    </w:rPr>
                  </w:pPr>
                  <w:r>
                    <w:rPr>
                      <w:rFonts w:hint="eastAsia"/>
                      <w:color w:val="000000"/>
                      <w:sz w:val="21"/>
                      <w:szCs w:val="21"/>
                      <w:highlight w:val="none"/>
                      <w:lang w:val="en-US" w:eastAsia="zh-CN"/>
                    </w:rPr>
                    <w:t>振动沸腾冷却分离机</w:t>
                  </w:r>
                </w:p>
              </w:tc>
              <w:tc>
                <w:tcPr>
                  <w:tcW w:w="1146" w:type="pct"/>
                  <w:noWrap w:val="0"/>
                  <w:vAlign w:val="center"/>
                </w:tcPr>
                <w:p w14:paraId="68D2DE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default" w:ascii="Times New Roman" w:hAnsi="Times New Roman" w:cs="Times New Roman"/>
                      <w:color w:val="000000"/>
                      <w:position w:val="1"/>
                      <w:sz w:val="21"/>
                      <w:szCs w:val="21"/>
                      <w:highlight w:val="none"/>
                      <w:lang w:val="en-US" w:eastAsia="zh-CN"/>
                    </w:rPr>
                    <w:t>电机功率：14kW</w:t>
                  </w:r>
                </w:p>
              </w:tc>
              <w:tc>
                <w:tcPr>
                  <w:tcW w:w="401" w:type="pct"/>
                  <w:noWrap w:val="0"/>
                  <w:vAlign w:val="center"/>
                </w:tcPr>
                <w:p w14:paraId="267B26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2E0A2B0C">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lang w:val="en-US"/>
                    </w:rPr>
                  </w:pPr>
                  <w:r>
                    <w:rPr>
                      <w:rFonts w:hint="eastAsia"/>
                      <w:color w:val="000000"/>
                      <w:sz w:val="21"/>
                      <w:szCs w:val="21"/>
                      <w:highlight w:val="none"/>
                      <w:lang w:val="en-US" w:eastAsia="zh-CN"/>
                    </w:rPr>
                    <w:t>鱼鳞式沸腾板</w:t>
                  </w:r>
                </w:p>
              </w:tc>
            </w:tr>
            <w:tr w14:paraId="2439F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6608D7F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6E879E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sz w:val="21"/>
                      <w:szCs w:val="21"/>
                    </w:rPr>
                  </w:pPr>
                  <w:r>
                    <w:rPr>
                      <w:rFonts w:hint="eastAsia"/>
                      <w:color w:val="000000"/>
                      <w:spacing w:val="-2"/>
                      <w:sz w:val="21"/>
                      <w:szCs w:val="21"/>
                    </w:rPr>
                    <w:t>1</w:t>
                  </w:r>
                  <w:r>
                    <w:rPr>
                      <w:rFonts w:hint="eastAsia"/>
                      <w:color w:val="000000"/>
                      <w:spacing w:val="-2"/>
                      <w:sz w:val="21"/>
                      <w:szCs w:val="21"/>
                      <w:lang w:val="en-US" w:eastAsia="zh-CN"/>
                    </w:rPr>
                    <w:t>2</w:t>
                  </w:r>
                </w:p>
              </w:tc>
              <w:tc>
                <w:tcPr>
                  <w:tcW w:w="912" w:type="pct"/>
                  <w:tcBorders>
                    <w:left w:val="single" w:color="auto" w:sz="6" w:space="0"/>
                    <w:right w:val="single" w:color="auto" w:sz="4" w:space="0"/>
                  </w:tcBorders>
                  <w:noWrap w:val="0"/>
                  <w:vAlign w:val="center"/>
                </w:tcPr>
                <w:p w14:paraId="190CC89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sz w:val="21"/>
                      <w:szCs w:val="21"/>
                      <w:highlight w:val="yellow"/>
                    </w:rPr>
                  </w:pPr>
                  <w:r>
                    <w:rPr>
                      <w:rFonts w:hint="eastAsia"/>
                      <w:color w:val="000000"/>
                      <w:sz w:val="21"/>
                      <w:szCs w:val="21"/>
                      <w:highlight w:val="none"/>
                      <w:lang w:val="en-US" w:eastAsia="zh-CN"/>
                    </w:rPr>
                    <w:t>皮带式提升机</w:t>
                  </w:r>
                </w:p>
              </w:tc>
              <w:tc>
                <w:tcPr>
                  <w:tcW w:w="1146" w:type="pct"/>
                  <w:noWrap w:val="0"/>
                  <w:vAlign w:val="center"/>
                </w:tcPr>
                <w:p w14:paraId="10E4F2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default" w:ascii="Times New Roman" w:hAnsi="Times New Roman" w:cs="Times New Roman"/>
                      <w:color w:val="000000"/>
                      <w:position w:val="1"/>
                      <w:sz w:val="21"/>
                      <w:szCs w:val="21"/>
                      <w:highlight w:val="none"/>
                      <w:lang w:val="en-US" w:eastAsia="zh-CN"/>
                    </w:rPr>
                    <w:t>电机功率：</w:t>
                  </w:r>
                  <w:r>
                    <w:rPr>
                      <w:rFonts w:hint="eastAsia" w:ascii="Times New Roman" w:hAnsi="Times New Roman" w:cs="Times New Roman"/>
                      <w:color w:val="000000"/>
                      <w:position w:val="1"/>
                      <w:sz w:val="21"/>
                      <w:szCs w:val="21"/>
                      <w:highlight w:val="none"/>
                      <w:lang w:val="en-US" w:eastAsia="zh-CN"/>
                    </w:rPr>
                    <w:t>4.0</w:t>
                  </w:r>
                  <w:r>
                    <w:rPr>
                      <w:rFonts w:hint="default" w:ascii="Times New Roman" w:hAnsi="Times New Roman" w:cs="Times New Roman"/>
                      <w:color w:val="000000"/>
                      <w:position w:val="1"/>
                      <w:sz w:val="21"/>
                      <w:szCs w:val="21"/>
                      <w:highlight w:val="none"/>
                      <w:lang w:val="en-US" w:eastAsia="zh-CN"/>
                    </w:rPr>
                    <w:t>kW×</w:t>
                  </w:r>
                  <w:r>
                    <w:rPr>
                      <w:rFonts w:hint="eastAsia" w:ascii="Times New Roman" w:hAnsi="Times New Roman" w:cs="Times New Roman"/>
                      <w:color w:val="000000"/>
                      <w:position w:val="1"/>
                      <w:sz w:val="21"/>
                      <w:szCs w:val="21"/>
                      <w:highlight w:val="none"/>
                      <w:lang w:val="en-US" w:eastAsia="zh-CN"/>
                    </w:rPr>
                    <w:t>3</w:t>
                  </w:r>
                </w:p>
              </w:tc>
              <w:tc>
                <w:tcPr>
                  <w:tcW w:w="401" w:type="pct"/>
                  <w:noWrap w:val="0"/>
                  <w:vAlign w:val="center"/>
                </w:tcPr>
                <w:p w14:paraId="523D861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3件</w:t>
                  </w:r>
                </w:p>
              </w:tc>
              <w:tc>
                <w:tcPr>
                  <w:tcW w:w="1874" w:type="pct"/>
                  <w:shd w:val="clear" w:color="auto" w:fill="auto"/>
                  <w:noWrap w:val="0"/>
                  <w:vAlign w:val="center"/>
                </w:tcPr>
                <w:p w14:paraId="427BC20E">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ascii="Times New Roman" w:hAnsi="Times New Roman" w:eastAsia="宋体" w:cs="Times New Roman"/>
                      <w:bCs/>
                      <w:color w:val="000000"/>
                      <w:kern w:val="0"/>
                      <w:sz w:val="21"/>
                      <w:szCs w:val="21"/>
                      <w:lang w:val="en-US" w:eastAsia="zh-CN" w:bidi="ar-SA"/>
                    </w:rPr>
                  </w:pPr>
                  <w:r>
                    <w:rPr>
                      <w:rFonts w:hint="eastAsia"/>
                      <w:color w:val="000000"/>
                      <w:sz w:val="21"/>
                      <w:szCs w:val="21"/>
                      <w:highlight w:val="none"/>
                      <w:lang w:val="en-US" w:eastAsia="zh-CN"/>
                    </w:rPr>
                    <w:t>生产率：20t/h，H=10.5m，</w:t>
                  </w:r>
                  <w:r>
                    <w:rPr>
                      <w:rFonts w:hint="eastAsia" w:ascii="Times New Roman" w:hAnsi="Times New Roman" w:eastAsia="宋体" w:cs="Times New Roman"/>
                      <w:color w:val="000000"/>
                      <w:sz w:val="21"/>
                      <w:szCs w:val="21"/>
                      <w:highlight w:val="none"/>
                      <w:lang w:val="en-US" w:eastAsia="zh-CN"/>
                    </w:rPr>
                    <w:t>含转速脉冲检测保护装置及逆向制动装置</w:t>
                  </w:r>
                </w:p>
              </w:tc>
            </w:tr>
            <w:tr w14:paraId="74EC5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32ADF2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0306A2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sz w:val="21"/>
                      <w:szCs w:val="21"/>
                      <w:lang w:val="en-US" w:eastAsia="zh-CN"/>
                    </w:rPr>
                  </w:pPr>
                  <w:r>
                    <w:rPr>
                      <w:rFonts w:hint="eastAsia"/>
                      <w:color w:val="000000"/>
                      <w:spacing w:val="-2"/>
                      <w:sz w:val="21"/>
                      <w:szCs w:val="21"/>
                      <w:lang w:val="en-US" w:eastAsia="zh-CN"/>
                    </w:rPr>
                    <w:t>13</w:t>
                  </w:r>
                </w:p>
              </w:tc>
              <w:tc>
                <w:tcPr>
                  <w:tcW w:w="912" w:type="pct"/>
                  <w:tcBorders>
                    <w:left w:val="single" w:color="auto" w:sz="6" w:space="0"/>
                    <w:right w:val="single" w:color="auto" w:sz="4" w:space="0"/>
                  </w:tcBorders>
                  <w:noWrap w:val="0"/>
                  <w:vAlign w:val="center"/>
                </w:tcPr>
                <w:p w14:paraId="73E826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贯通式磁选机</w:t>
                  </w:r>
                </w:p>
              </w:tc>
              <w:tc>
                <w:tcPr>
                  <w:tcW w:w="1146" w:type="pct"/>
                  <w:shd w:val="clear" w:color="auto" w:fill="auto"/>
                  <w:noWrap w:val="0"/>
                  <w:vAlign w:val="center"/>
                </w:tcPr>
                <w:p w14:paraId="4FE754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color w:val="000000"/>
                      <w:kern w:val="2"/>
                      <w:sz w:val="21"/>
                      <w:szCs w:val="21"/>
                      <w:highlight w:val="yellow"/>
                      <w:lang w:val="en-US" w:eastAsia="zh-CN" w:bidi="ar-SA"/>
                    </w:rPr>
                  </w:pPr>
                  <w:r>
                    <w:rPr>
                      <w:rFonts w:hint="default" w:ascii="Times New Roman" w:hAnsi="Times New Roman" w:cs="Times New Roman"/>
                      <w:color w:val="000000"/>
                      <w:position w:val="1"/>
                      <w:sz w:val="21"/>
                      <w:szCs w:val="21"/>
                      <w:highlight w:val="none"/>
                      <w:lang w:val="en-US" w:eastAsia="zh-CN"/>
                    </w:rPr>
                    <w:t>电机功率：</w:t>
                  </w:r>
                  <w:r>
                    <w:rPr>
                      <w:rFonts w:hint="eastAsia" w:ascii="Times New Roman" w:hAnsi="Times New Roman" w:cs="Times New Roman"/>
                      <w:color w:val="000000"/>
                      <w:position w:val="1"/>
                      <w:sz w:val="21"/>
                      <w:szCs w:val="21"/>
                      <w:highlight w:val="none"/>
                      <w:lang w:val="en-US" w:eastAsia="zh-CN"/>
                    </w:rPr>
                    <w:t>0.75</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5EDCA5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yellow"/>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6660895D">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color w:val="000000"/>
                      <w:sz w:val="21"/>
                      <w:szCs w:val="21"/>
                      <w:lang w:val="en-US"/>
                    </w:rPr>
                  </w:pPr>
                  <w:r>
                    <w:rPr>
                      <w:rFonts w:hint="eastAsia"/>
                      <w:color w:val="000000"/>
                      <w:sz w:val="21"/>
                      <w:szCs w:val="21"/>
                      <w:highlight w:val="none"/>
                      <w:lang w:val="en-US" w:eastAsia="zh-CN"/>
                    </w:rPr>
                    <w:t>生产率：20t/h，磁场强度3600GS，磁块材质：铷铁硼</w:t>
                  </w:r>
                </w:p>
              </w:tc>
            </w:tr>
            <w:tr w14:paraId="15D9A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5C524F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sz w:val="21"/>
                      <w:szCs w:val="21"/>
                    </w:rPr>
                  </w:pPr>
                </w:p>
              </w:tc>
              <w:tc>
                <w:tcPr>
                  <w:tcW w:w="271" w:type="pct"/>
                  <w:tcBorders>
                    <w:left w:val="single" w:color="auto" w:sz="6" w:space="0"/>
                    <w:right w:val="single" w:color="auto" w:sz="4" w:space="0"/>
                  </w:tcBorders>
                  <w:noWrap w:val="0"/>
                  <w:vAlign w:val="center"/>
                </w:tcPr>
                <w:p w14:paraId="365E0EC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sz w:val="21"/>
                      <w:szCs w:val="21"/>
                      <w:lang w:val="en-US" w:eastAsia="zh-CN"/>
                    </w:rPr>
                  </w:pPr>
                  <w:r>
                    <w:rPr>
                      <w:rFonts w:hint="eastAsia"/>
                      <w:color w:val="000000"/>
                      <w:sz w:val="21"/>
                      <w:szCs w:val="21"/>
                      <w:lang w:val="en-US" w:eastAsia="zh-CN"/>
                    </w:rPr>
                    <w:t>14</w:t>
                  </w:r>
                </w:p>
              </w:tc>
              <w:tc>
                <w:tcPr>
                  <w:tcW w:w="912" w:type="pct"/>
                  <w:tcBorders>
                    <w:left w:val="single" w:color="auto" w:sz="6" w:space="0"/>
                    <w:right w:val="single" w:color="auto" w:sz="4" w:space="0"/>
                  </w:tcBorders>
                  <w:noWrap w:val="0"/>
                  <w:vAlign w:val="center"/>
                </w:tcPr>
                <w:p w14:paraId="770FA2D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sz w:val="21"/>
                      <w:szCs w:val="21"/>
                      <w:highlight w:val="none"/>
                      <w:lang w:val="en-US" w:eastAsia="zh-CN"/>
                    </w:rPr>
                  </w:pPr>
                  <w:r>
                    <w:rPr>
                      <w:rFonts w:hint="eastAsia"/>
                      <w:color w:val="000000"/>
                      <w:spacing w:val="-2"/>
                      <w:sz w:val="21"/>
                      <w:szCs w:val="21"/>
                      <w:highlight w:val="none"/>
                      <w:lang w:val="en-US" w:eastAsia="zh-CN"/>
                    </w:rPr>
                    <w:t>离心涡流再生风选机</w:t>
                  </w:r>
                </w:p>
              </w:tc>
              <w:tc>
                <w:tcPr>
                  <w:tcW w:w="1146" w:type="pct"/>
                  <w:noWrap w:val="0"/>
                  <w:vAlign w:val="center"/>
                </w:tcPr>
                <w:p w14:paraId="14948A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position w:val="1"/>
                      <w:sz w:val="21"/>
                      <w:szCs w:val="21"/>
                      <w:highlight w:val="none"/>
                    </w:rPr>
                  </w:pPr>
                  <w:r>
                    <w:rPr>
                      <w:rFonts w:hint="default" w:ascii="Times New Roman" w:hAnsi="Times New Roman" w:cs="Times New Roman"/>
                      <w:color w:val="000000"/>
                      <w:position w:val="1"/>
                      <w:sz w:val="21"/>
                      <w:szCs w:val="21"/>
                      <w:highlight w:val="none"/>
                      <w:lang w:val="en-US" w:eastAsia="zh-CN"/>
                    </w:rPr>
                    <w:t>电机功率：</w:t>
                  </w:r>
                  <w:r>
                    <w:rPr>
                      <w:rFonts w:hint="eastAsia" w:ascii="Times New Roman" w:hAnsi="Times New Roman" w:cs="Times New Roman"/>
                      <w:color w:val="000000"/>
                      <w:position w:val="1"/>
                      <w:sz w:val="21"/>
                      <w:szCs w:val="21"/>
                      <w:highlight w:val="none"/>
                      <w:lang w:val="en-US" w:eastAsia="zh-CN"/>
                    </w:rPr>
                    <w:t>30</w:t>
                  </w:r>
                  <w:r>
                    <w:rPr>
                      <w:rFonts w:hint="default" w:ascii="Times New Roman" w:hAnsi="Times New Roman" w:cs="Times New Roman"/>
                      <w:color w:val="000000"/>
                      <w:position w:val="1"/>
                      <w:sz w:val="21"/>
                      <w:szCs w:val="21"/>
                      <w:highlight w:val="none"/>
                      <w:lang w:val="en-US" w:eastAsia="zh-CN"/>
                    </w:rPr>
                    <w:t>kW×2</w:t>
                  </w:r>
                </w:p>
              </w:tc>
              <w:tc>
                <w:tcPr>
                  <w:tcW w:w="401" w:type="pct"/>
                  <w:noWrap w:val="0"/>
                  <w:vAlign w:val="center"/>
                </w:tcPr>
                <w:p w14:paraId="6CD532F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754B4A3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highlight w:val="none"/>
                      <w:lang w:val="en-US"/>
                    </w:rPr>
                  </w:pPr>
                  <w:r>
                    <w:rPr>
                      <w:rFonts w:hint="eastAsia"/>
                      <w:color w:val="000000"/>
                      <w:sz w:val="21"/>
                      <w:szCs w:val="21"/>
                      <w:highlight w:val="none"/>
                      <w:lang w:val="en-US" w:eastAsia="zh-CN"/>
                    </w:rPr>
                    <w:t>生产率：20t/h，含两级再生，三级风选</w:t>
                  </w:r>
                </w:p>
              </w:tc>
            </w:tr>
            <w:tr w14:paraId="3C9E2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04D28FB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4CCCA64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sz w:val="21"/>
                      <w:szCs w:val="21"/>
                      <w:lang w:val="en-US" w:eastAsia="zh-CN"/>
                    </w:rPr>
                  </w:pPr>
                  <w:r>
                    <w:rPr>
                      <w:rFonts w:hint="eastAsia"/>
                      <w:color w:val="000000"/>
                      <w:sz w:val="21"/>
                      <w:szCs w:val="21"/>
                      <w:lang w:val="en-US" w:eastAsia="zh-CN"/>
                    </w:rPr>
                    <w:t>15</w:t>
                  </w:r>
                </w:p>
              </w:tc>
              <w:tc>
                <w:tcPr>
                  <w:tcW w:w="912" w:type="pct"/>
                  <w:tcBorders>
                    <w:left w:val="single" w:color="auto" w:sz="6" w:space="0"/>
                    <w:right w:val="single" w:color="auto" w:sz="4" w:space="0"/>
                  </w:tcBorders>
                  <w:noWrap w:val="0"/>
                  <w:vAlign w:val="center"/>
                </w:tcPr>
                <w:p w14:paraId="20E54C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sz w:val="21"/>
                      <w:szCs w:val="21"/>
                      <w:highlight w:val="none"/>
                      <w:lang w:val="en-US" w:eastAsia="zh-CN"/>
                    </w:rPr>
                  </w:pPr>
                  <w:r>
                    <w:rPr>
                      <w:rFonts w:hint="eastAsia"/>
                      <w:color w:val="000000"/>
                      <w:spacing w:val="-2"/>
                      <w:sz w:val="21"/>
                      <w:szCs w:val="21"/>
                      <w:highlight w:val="none"/>
                      <w:lang w:val="en-US" w:eastAsia="zh-CN"/>
                    </w:rPr>
                    <w:t>振动筛分机</w:t>
                  </w:r>
                </w:p>
              </w:tc>
              <w:tc>
                <w:tcPr>
                  <w:tcW w:w="1146" w:type="pct"/>
                  <w:noWrap w:val="0"/>
                  <w:vAlign w:val="center"/>
                </w:tcPr>
                <w:p w14:paraId="179F2A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position w:val="1"/>
                      <w:sz w:val="21"/>
                      <w:szCs w:val="21"/>
                      <w:highlight w:val="none"/>
                    </w:rPr>
                  </w:pPr>
                  <w:r>
                    <w:rPr>
                      <w:rFonts w:hint="eastAsia"/>
                      <w:color w:val="000000"/>
                      <w:sz w:val="21"/>
                      <w:szCs w:val="21"/>
                      <w:highlight w:val="none"/>
                      <w:lang w:val="en-US" w:eastAsia="zh-CN"/>
                    </w:rPr>
                    <w:t>电机功率：0.2</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1E3DC7E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7603E298">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bCs/>
                      <w:color w:val="000000"/>
                      <w:sz w:val="21"/>
                      <w:szCs w:val="21"/>
                      <w:highlight w:val="none"/>
                      <w:lang w:val="en-US"/>
                    </w:rPr>
                  </w:pPr>
                  <w:r>
                    <w:rPr>
                      <w:rFonts w:hint="eastAsia"/>
                      <w:color w:val="000000"/>
                      <w:sz w:val="21"/>
                      <w:szCs w:val="21"/>
                      <w:highlight w:val="none"/>
                      <w:lang w:val="en-US" w:eastAsia="zh-CN"/>
                    </w:rPr>
                    <w:t>生产率：20t/h，不锈钢筛网</w:t>
                  </w:r>
                </w:p>
              </w:tc>
            </w:tr>
            <w:tr w14:paraId="1A3C5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4785EF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4C95F4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16</w:t>
                  </w:r>
                </w:p>
              </w:tc>
              <w:tc>
                <w:tcPr>
                  <w:tcW w:w="912" w:type="pct"/>
                  <w:tcBorders>
                    <w:left w:val="single" w:color="auto" w:sz="6" w:space="0"/>
                    <w:right w:val="single" w:color="auto" w:sz="4" w:space="0"/>
                  </w:tcBorders>
                  <w:noWrap w:val="0"/>
                  <w:vAlign w:val="center"/>
                </w:tcPr>
                <w:p w14:paraId="3A33F1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料位计</w:t>
                  </w:r>
                </w:p>
              </w:tc>
              <w:tc>
                <w:tcPr>
                  <w:tcW w:w="1146" w:type="pct"/>
                  <w:noWrap w:val="0"/>
                  <w:vAlign w:val="center"/>
                </w:tcPr>
                <w:p w14:paraId="0B0E78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w:t>
                  </w:r>
                </w:p>
              </w:tc>
              <w:tc>
                <w:tcPr>
                  <w:tcW w:w="401" w:type="pct"/>
                  <w:noWrap w:val="0"/>
                  <w:vAlign w:val="center"/>
                </w:tcPr>
                <w:p w14:paraId="73AA409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4件</w:t>
                  </w:r>
                </w:p>
              </w:tc>
              <w:tc>
                <w:tcPr>
                  <w:tcW w:w="1874" w:type="pct"/>
                  <w:noWrap w:val="0"/>
                  <w:vAlign w:val="center"/>
                </w:tcPr>
                <w:p w14:paraId="0AD6BD7E">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color w:val="000000"/>
                      <w:sz w:val="21"/>
                      <w:szCs w:val="21"/>
                      <w:lang w:val="en-US" w:eastAsia="zh-CN"/>
                    </w:rPr>
                  </w:pPr>
                  <w:r>
                    <w:rPr>
                      <w:rFonts w:hint="eastAsia"/>
                      <w:color w:val="000000"/>
                      <w:sz w:val="21"/>
                      <w:szCs w:val="21"/>
                      <w:lang w:val="en-US" w:eastAsia="zh-CN"/>
                    </w:rPr>
                    <w:t>/</w:t>
                  </w:r>
                </w:p>
              </w:tc>
            </w:tr>
            <w:tr w14:paraId="3D1D0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36B167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6D4D41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17</w:t>
                  </w:r>
                </w:p>
              </w:tc>
              <w:tc>
                <w:tcPr>
                  <w:tcW w:w="912" w:type="pct"/>
                  <w:tcBorders>
                    <w:left w:val="single" w:color="auto" w:sz="6" w:space="0"/>
                    <w:right w:val="single" w:color="auto" w:sz="4" w:space="0"/>
                  </w:tcBorders>
                  <w:noWrap w:val="0"/>
                  <w:vAlign w:val="center"/>
                </w:tcPr>
                <w:p w14:paraId="067188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2#砂库</w:t>
                  </w:r>
                </w:p>
              </w:tc>
              <w:tc>
                <w:tcPr>
                  <w:tcW w:w="1146" w:type="pct"/>
                  <w:noWrap w:val="0"/>
                  <w:vAlign w:val="center"/>
                </w:tcPr>
                <w:p w14:paraId="6FF0D8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yellow"/>
                    </w:rPr>
                  </w:pPr>
                  <w:r>
                    <w:rPr>
                      <w:rFonts w:hint="eastAsia"/>
                      <w:color w:val="000000"/>
                      <w:sz w:val="21"/>
                      <w:szCs w:val="21"/>
                      <w:highlight w:val="none"/>
                      <w:lang w:val="en-US" w:eastAsia="zh-CN"/>
                    </w:rPr>
                    <w:t>容重：240t</w:t>
                  </w:r>
                </w:p>
              </w:tc>
              <w:tc>
                <w:tcPr>
                  <w:tcW w:w="401" w:type="pct"/>
                  <w:noWrap w:val="0"/>
                  <w:vAlign w:val="center"/>
                </w:tcPr>
                <w:p w14:paraId="06695F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yellow"/>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4FECFB99">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eastAsia="宋体"/>
                      <w:color w:val="000000"/>
                      <w:sz w:val="21"/>
                      <w:szCs w:val="21"/>
                      <w:lang w:val="en-US" w:eastAsia="zh-CN"/>
                    </w:rPr>
                  </w:pPr>
                  <w:r>
                    <w:rPr>
                      <w:rFonts w:hint="eastAsia"/>
                      <w:color w:val="000000"/>
                      <w:sz w:val="21"/>
                      <w:szCs w:val="21"/>
                      <w:lang w:val="en-US" w:eastAsia="zh-CN"/>
                    </w:rPr>
                    <w:t>/</w:t>
                  </w:r>
                </w:p>
              </w:tc>
            </w:tr>
            <w:tr w14:paraId="6D8A6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64BE8EC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5E8033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18</w:t>
                  </w:r>
                </w:p>
              </w:tc>
              <w:tc>
                <w:tcPr>
                  <w:tcW w:w="912" w:type="pct"/>
                  <w:tcBorders>
                    <w:left w:val="single" w:color="auto" w:sz="6" w:space="0"/>
                    <w:right w:val="single" w:color="auto" w:sz="4" w:space="0"/>
                  </w:tcBorders>
                  <w:noWrap w:val="0"/>
                  <w:vAlign w:val="center"/>
                </w:tcPr>
                <w:p w14:paraId="0E71A28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砂温调节器</w:t>
                  </w:r>
                </w:p>
              </w:tc>
              <w:tc>
                <w:tcPr>
                  <w:tcW w:w="1146" w:type="pct"/>
                  <w:noWrap w:val="0"/>
                  <w:vAlign w:val="center"/>
                </w:tcPr>
                <w:p w14:paraId="445EFCC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c>
                <w:tcPr>
                  <w:tcW w:w="401" w:type="pct"/>
                  <w:noWrap w:val="0"/>
                  <w:vAlign w:val="center"/>
                </w:tcPr>
                <w:p w14:paraId="4330EE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15B94FDE">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color w:val="000000"/>
                      <w:sz w:val="21"/>
                      <w:szCs w:val="21"/>
                      <w:lang w:val="en-US"/>
                    </w:rPr>
                  </w:pPr>
                  <w:r>
                    <w:rPr>
                      <w:rFonts w:hint="eastAsia"/>
                      <w:color w:val="000000"/>
                      <w:sz w:val="21"/>
                      <w:szCs w:val="21"/>
                      <w:highlight w:val="none"/>
                      <w:lang w:val="en-US" w:eastAsia="zh-CN"/>
                    </w:rPr>
                    <w:t>生产率：20t/h，5层换热交换单元，热交换采用加厚无缝钢管制作，采用错位排列，保证热交换充分，配有料位及温度检测，自动控制加料与卸料，保证热交换水管始终埋在砂子中，热交换单元砂流下行速度缓慢，热交换无缝管几乎无磨损</w:t>
                  </w:r>
                </w:p>
              </w:tc>
            </w:tr>
            <w:tr w14:paraId="503AB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FF829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462B650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19</w:t>
                  </w:r>
                </w:p>
              </w:tc>
              <w:tc>
                <w:tcPr>
                  <w:tcW w:w="912" w:type="pct"/>
                  <w:tcBorders>
                    <w:left w:val="single" w:color="auto" w:sz="6" w:space="0"/>
                    <w:right w:val="single" w:color="auto" w:sz="4" w:space="0"/>
                  </w:tcBorders>
                  <w:noWrap w:val="0"/>
                  <w:vAlign w:val="center"/>
                </w:tcPr>
                <w:p w14:paraId="1E2CAA1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砂定量装置</w:t>
                  </w:r>
                </w:p>
              </w:tc>
              <w:tc>
                <w:tcPr>
                  <w:tcW w:w="1146" w:type="pct"/>
                  <w:noWrap w:val="0"/>
                  <w:vAlign w:val="center"/>
                </w:tcPr>
                <w:p w14:paraId="27E249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w:t>
                  </w:r>
                </w:p>
              </w:tc>
              <w:tc>
                <w:tcPr>
                  <w:tcW w:w="401" w:type="pct"/>
                  <w:noWrap w:val="0"/>
                  <w:vAlign w:val="center"/>
                </w:tcPr>
                <w:p w14:paraId="0FCD00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19FA9B1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lang w:val="en-US" w:eastAsia="zh-CN"/>
                    </w:rPr>
                  </w:pPr>
                  <w:r>
                    <w:rPr>
                      <w:rFonts w:hint="eastAsia"/>
                      <w:color w:val="000000"/>
                      <w:sz w:val="21"/>
                      <w:szCs w:val="21"/>
                      <w:lang w:val="en-US" w:eastAsia="zh-CN"/>
                    </w:rPr>
                    <w:t>/</w:t>
                  </w:r>
                </w:p>
              </w:tc>
            </w:tr>
            <w:tr w14:paraId="16A0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5DFB3D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11BAF4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20</w:t>
                  </w:r>
                </w:p>
              </w:tc>
              <w:tc>
                <w:tcPr>
                  <w:tcW w:w="912" w:type="pct"/>
                  <w:tcBorders>
                    <w:left w:val="single" w:color="auto" w:sz="6" w:space="0"/>
                    <w:right w:val="single" w:color="auto" w:sz="4" w:space="0"/>
                  </w:tcBorders>
                  <w:noWrap w:val="0"/>
                  <w:vAlign w:val="center"/>
                </w:tcPr>
                <w:p w14:paraId="55BBEE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气力发送器</w:t>
                  </w:r>
                </w:p>
              </w:tc>
              <w:tc>
                <w:tcPr>
                  <w:tcW w:w="1146" w:type="pct"/>
                  <w:noWrap w:val="0"/>
                  <w:vAlign w:val="center"/>
                </w:tcPr>
                <w:p w14:paraId="0EA9B7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401" w:type="pct"/>
                  <w:noWrap w:val="0"/>
                  <w:vAlign w:val="center"/>
                </w:tcPr>
                <w:p w14:paraId="4DC09C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1EDEDA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lang w:val="en-US" w:eastAsia="zh-CN"/>
                    </w:rPr>
                  </w:pPr>
                  <w:r>
                    <w:rPr>
                      <w:rFonts w:hint="eastAsia"/>
                      <w:color w:val="000000"/>
                      <w:sz w:val="21"/>
                      <w:szCs w:val="21"/>
                      <w:lang w:val="en-US" w:eastAsia="zh-CN"/>
                    </w:rPr>
                    <w:t>/</w:t>
                  </w:r>
                </w:p>
              </w:tc>
            </w:tr>
            <w:tr w14:paraId="62443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686EC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09E250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21</w:t>
                  </w:r>
                </w:p>
              </w:tc>
              <w:tc>
                <w:tcPr>
                  <w:tcW w:w="912" w:type="pct"/>
                  <w:tcBorders>
                    <w:left w:val="single" w:color="auto" w:sz="6" w:space="0"/>
                    <w:right w:val="single" w:color="auto" w:sz="4" w:space="0"/>
                  </w:tcBorders>
                  <w:noWrap w:val="0"/>
                  <w:vAlign w:val="center"/>
                </w:tcPr>
                <w:p w14:paraId="025DC6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提升机</w:t>
                  </w:r>
                </w:p>
              </w:tc>
              <w:tc>
                <w:tcPr>
                  <w:tcW w:w="1146" w:type="pct"/>
                  <w:shd w:val="clear" w:color="auto" w:fill="auto"/>
                  <w:noWrap w:val="0"/>
                  <w:vAlign w:val="center"/>
                </w:tcPr>
                <w:p w14:paraId="7D61D44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color w:val="000000"/>
                      <w:kern w:val="2"/>
                      <w:position w:val="1"/>
                      <w:sz w:val="21"/>
                      <w:szCs w:val="21"/>
                      <w:highlight w:val="none"/>
                      <w:lang w:val="en-US" w:eastAsia="zh-CN" w:bidi="ar-SA"/>
                    </w:rPr>
                  </w:pPr>
                  <w:r>
                    <w:rPr>
                      <w:rFonts w:hint="eastAsia"/>
                      <w:color w:val="000000"/>
                      <w:sz w:val="21"/>
                      <w:szCs w:val="21"/>
                      <w:highlight w:val="none"/>
                      <w:lang w:val="en-US" w:eastAsia="zh-CN"/>
                    </w:rPr>
                    <w:t>电机功率：7.5</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5A0F9CB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6AD098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生产率：40t/h，H=10.5m，</w:t>
                  </w:r>
                  <w:r>
                    <w:rPr>
                      <w:rFonts w:hint="eastAsia" w:ascii="Times New Roman" w:hAnsi="Times New Roman" w:eastAsia="宋体" w:cs="Times New Roman"/>
                      <w:color w:val="000000"/>
                      <w:sz w:val="21"/>
                      <w:szCs w:val="21"/>
                      <w:highlight w:val="none"/>
                      <w:lang w:val="en-US" w:eastAsia="zh-CN"/>
                    </w:rPr>
                    <w:t>含转速脉冲检测保护装置及逆向制动装置</w:t>
                  </w:r>
                </w:p>
              </w:tc>
            </w:tr>
            <w:tr w14:paraId="2EC54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CE9A30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4131A8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22</w:t>
                  </w:r>
                </w:p>
              </w:tc>
              <w:tc>
                <w:tcPr>
                  <w:tcW w:w="912" w:type="pct"/>
                  <w:tcBorders>
                    <w:left w:val="single" w:color="auto" w:sz="6" w:space="0"/>
                    <w:right w:val="single" w:color="auto" w:sz="4" w:space="0"/>
                  </w:tcBorders>
                  <w:noWrap w:val="0"/>
                  <w:vAlign w:val="center"/>
                </w:tcPr>
                <w:p w14:paraId="79F639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移动式混砂机</w:t>
                  </w:r>
                </w:p>
              </w:tc>
              <w:tc>
                <w:tcPr>
                  <w:tcW w:w="1146" w:type="pct"/>
                  <w:noWrap w:val="0"/>
                  <w:vAlign w:val="center"/>
                </w:tcPr>
                <w:p w14:paraId="7848A2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电机功率：42.48</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0DE492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25C2BD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rPr>
                  </w:pPr>
                  <w:r>
                    <w:rPr>
                      <w:rFonts w:hint="eastAsia"/>
                      <w:color w:val="000000"/>
                      <w:sz w:val="21"/>
                      <w:szCs w:val="21"/>
                      <w:highlight w:val="none"/>
                      <w:lang w:val="en-US" w:eastAsia="zh-CN"/>
                    </w:rPr>
                    <w:t>生产率：20t/h</w:t>
                  </w:r>
                </w:p>
              </w:tc>
            </w:tr>
            <w:tr w14:paraId="47B47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3CA3F7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1FB376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24</w:t>
                  </w:r>
                </w:p>
              </w:tc>
              <w:tc>
                <w:tcPr>
                  <w:tcW w:w="912" w:type="pct"/>
                  <w:tcBorders>
                    <w:left w:val="single" w:color="auto" w:sz="6" w:space="0"/>
                    <w:right w:val="single" w:color="auto" w:sz="4" w:space="0"/>
                  </w:tcBorders>
                  <w:noWrap w:val="0"/>
                  <w:vAlign w:val="center"/>
                </w:tcPr>
                <w:p w14:paraId="1126AB8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3#砂库</w:t>
                  </w:r>
                </w:p>
              </w:tc>
              <w:tc>
                <w:tcPr>
                  <w:tcW w:w="1146" w:type="pct"/>
                  <w:noWrap w:val="0"/>
                  <w:vAlign w:val="center"/>
                </w:tcPr>
                <w:p w14:paraId="5B41F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容重：60t</w:t>
                  </w:r>
                </w:p>
              </w:tc>
              <w:tc>
                <w:tcPr>
                  <w:tcW w:w="401" w:type="pct"/>
                  <w:noWrap w:val="0"/>
                  <w:vAlign w:val="center"/>
                </w:tcPr>
                <w:p w14:paraId="0E3172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7111E3CB">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highlight w:val="none"/>
                    </w:rPr>
                  </w:pPr>
                  <w:r>
                    <w:rPr>
                      <w:rFonts w:hint="eastAsia"/>
                      <w:bCs/>
                      <w:color w:val="000000"/>
                      <w:sz w:val="21"/>
                      <w:szCs w:val="21"/>
                      <w:lang w:val="en-US" w:eastAsia="zh-CN"/>
                    </w:rPr>
                    <w:t>/</w:t>
                  </w:r>
                </w:p>
              </w:tc>
            </w:tr>
            <w:tr w14:paraId="720B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72A498D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790CB7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25</w:t>
                  </w:r>
                </w:p>
              </w:tc>
              <w:tc>
                <w:tcPr>
                  <w:tcW w:w="912" w:type="pct"/>
                  <w:tcBorders>
                    <w:left w:val="single" w:color="auto" w:sz="6" w:space="0"/>
                    <w:right w:val="single" w:color="auto" w:sz="4" w:space="0"/>
                  </w:tcBorders>
                  <w:noWrap w:val="0"/>
                  <w:vAlign w:val="center"/>
                </w:tcPr>
                <w:p w14:paraId="1EB06B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料位计</w:t>
                  </w:r>
                </w:p>
              </w:tc>
              <w:tc>
                <w:tcPr>
                  <w:tcW w:w="1146" w:type="pct"/>
                  <w:noWrap w:val="0"/>
                  <w:vAlign w:val="center"/>
                </w:tcPr>
                <w:p w14:paraId="732B8F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w:t>
                  </w:r>
                </w:p>
              </w:tc>
              <w:tc>
                <w:tcPr>
                  <w:tcW w:w="401" w:type="pct"/>
                  <w:noWrap w:val="0"/>
                  <w:vAlign w:val="center"/>
                </w:tcPr>
                <w:p w14:paraId="231DE5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2件</w:t>
                  </w:r>
                </w:p>
              </w:tc>
              <w:tc>
                <w:tcPr>
                  <w:tcW w:w="1874" w:type="pct"/>
                  <w:noWrap w:val="0"/>
                  <w:vAlign w:val="center"/>
                </w:tcPr>
                <w:p w14:paraId="24DFEA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r>
            <w:tr w14:paraId="4A75A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18F73CC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3FD5F2C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26</w:t>
                  </w:r>
                </w:p>
              </w:tc>
              <w:tc>
                <w:tcPr>
                  <w:tcW w:w="912" w:type="pct"/>
                  <w:tcBorders>
                    <w:left w:val="single" w:color="auto" w:sz="6" w:space="0"/>
                    <w:right w:val="single" w:color="auto" w:sz="4" w:space="0"/>
                  </w:tcBorders>
                  <w:noWrap w:val="0"/>
                  <w:vAlign w:val="center"/>
                </w:tcPr>
                <w:p w14:paraId="1CDAC9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螺旋输送机</w:t>
                  </w:r>
                </w:p>
              </w:tc>
              <w:tc>
                <w:tcPr>
                  <w:tcW w:w="1146" w:type="pct"/>
                  <w:noWrap w:val="0"/>
                  <w:vAlign w:val="center"/>
                </w:tcPr>
                <w:p w14:paraId="03987D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电机功率：4.0</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426E25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64D4477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highlight w:val="none"/>
                    </w:rPr>
                  </w:pPr>
                  <w:r>
                    <w:rPr>
                      <w:rFonts w:hint="eastAsia"/>
                      <w:bCs/>
                      <w:color w:val="000000"/>
                      <w:sz w:val="21"/>
                      <w:szCs w:val="21"/>
                      <w:lang w:val="en-US" w:eastAsia="zh-CN"/>
                    </w:rPr>
                    <w:t>/</w:t>
                  </w:r>
                </w:p>
              </w:tc>
            </w:tr>
            <w:tr w14:paraId="27C5D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1D9DBC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rPr>
                  </w:pPr>
                </w:p>
              </w:tc>
              <w:tc>
                <w:tcPr>
                  <w:tcW w:w="271" w:type="pct"/>
                  <w:tcBorders>
                    <w:left w:val="single" w:color="auto" w:sz="6" w:space="0"/>
                    <w:right w:val="single" w:color="auto" w:sz="4" w:space="0"/>
                  </w:tcBorders>
                  <w:noWrap w:val="0"/>
                  <w:vAlign w:val="center"/>
                </w:tcPr>
                <w:p w14:paraId="51715A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27</w:t>
                  </w:r>
                </w:p>
              </w:tc>
              <w:tc>
                <w:tcPr>
                  <w:tcW w:w="912" w:type="pct"/>
                  <w:tcBorders>
                    <w:left w:val="single" w:color="auto" w:sz="6" w:space="0"/>
                    <w:right w:val="single" w:color="auto" w:sz="4" w:space="0"/>
                  </w:tcBorders>
                  <w:noWrap w:val="0"/>
                  <w:vAlign w:val="center"/>
                </w:tcPr>
                <w:p w14:paraId="0CD92F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固定式混砂机</w:t>
                  </w:r>
                </w:p>
              </w:tc>
              <w:tc>
                <w:tcPr>
                  <w:tcW w:w="1146" w:type="pct"/>
                  <w:noWrap w:val="0"/>
                  <w:vAlign w:val="center"/>
                </w:tcPr>
                <w:p w14:paraId="0D4129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2"/>
                      <w:position w:val="2"/>
                      <w:sz w:val="21"/>
                      <w:szCs w:val="21"/>
                      <w:highlight w:val="none"/>
                    </w:rPr>
                  </w:pPr>
                  <w:r>
                    <w:rPr>
                      <w:rFonts w:hint="eastAsia"/>
                      <w:color w:val="000000"/>
                      <w:sz w:val="21"/>
                      <w:szCs w:val="21"/>
                      <w:highlight w:val="none"/>
                      <w:lang w:val="en-US" w:eastAsia="zh-CN"/>
                    </w:rPr>
                    <w:t>电机功率：18.61</w:t>
                  </w:r>
                  <w:r>
                    <w:rPr>
                      <w:rFonts w:hint="default" w:ascii="Times New Roman" w:hAnsi="Times New Roman" w:cs="Times New Roman"/>
                      <w:color w:val="000000"/>
                      <w:position w:val="1"/>
                      <w:sz w:val="21"/>
                      <w:szCs w:val="21"/>
                      <w:highlight w:val="none"/>
                      <w:lang w:val="en-US" w:eastAsia="zh-CN"/>
                    </w:rPr>
                    <w:t>kW</w:t>
                  </w:r>
                </w:p>
              </w:tc>
              <w:tc>
                <w:tcPr>
                  <w:tcW w:w="401" w:type="pct"/>
                  <w:noWrap w:val="0"/>
                  <w:vAlign w:val="center"/>
                </w:tcPr>
                <w:p w14:paraId="17AA4D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2722D3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rPr>
                  </w:pPr>
                  <w:r>
                    <w:rPr>
                      <w:rFonts w:hint="eastAsia"/>
                      <w:color w:val="000000"/>
                      <w:sz w:val="21"/>
                      <w:szCs w:val="21"/>
                      <w:highlight w:val="none"/>
                      <w:lang w:val="en-US" w:eastAsia="zh-CN"/>
                    </w:rPr>
                    <w:t>生产率：10t/h</w:t>
                  </w:r>
                </w:p>
              </w:tc>
            </w:tr>
            <w:tr w14:paraId="5BB72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tcBorders>
                    <w:left w:val="single" w:color="auto" w:sz="6" w:space="0"/>
                    <w:right w:val="single" w:color="auto" w:sz="4" w:space="0"/>
                  </w:tcBorders>
                  <w:noWrap w:val="0"/>
                  <w:vAlign w:val="center"/>
                </w:tcPr>
                <w:p w14:paraId="53BD35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工件清理</w:t>
                  </w:r>
                </w:p>
              </w:tc>
              <w:tc>
                <w:tcPr>
                  <w:tcW w:w="271" w:type="pct"/>
                  <w:tcBorders>
                    <w:left w:val="single" w:color="auto" w:sz="6" w:space="0"/>
                    <w:right w:val="single" w:color="auto" w:sz="4" w:space="0"/>
                  </w:tcBorders>
                  <w:noWrap w:val="0"/>
                  <w:vAlign w:val="center"/>
                </w:tcPr>
                <w:p w14:paraId="6D4F64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27</w:t>
                  </w:r>
                </w:p>
              </w:tc>
              <w:tc>
                <w:tcPr>
                  <w:tcW w:w="912" w:type="pct"/>
                  <w:tcBorders>
                    <w:left w:val="single" w:color="auto" w:sz="6" w:space="0"/>
                    <w:right w:val="single" w:color="auto" w:sz="4" w:space="0"/>
                  </w:tcBorders>
                  <w:noWrap w:val="0"/>
                  <w:vAlign w:val="center"/>
                </w:tcPr>
                <w:p w14:paraId="6748D1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打磨机</w:t>
                  </w:r>
                </w:p>
              </w:tc>
              <w:tc>
                <w:tcPr>
                  <w:tcW w:w="1146" w:type="pct"/>
                  <w:noWrap w:val="0"/>
                  <w:vAlign w:val="center"/>
                </w:tcPr>
                <w:p w14:paraId="4FA8A6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401" w:type="pct"/>
                  <w:noWrap w:val="0"/>
                  <w:vAlign w:val="center"/>
                </w:tcPr>
                <w:p w14:paraId="72DE2D0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20台</w:t>
                  </w:r>
                </w:p>
              </w:tc>
              <w:tc>
                <w:tcPr>
                  <w:tcW w:w="1874" w:type="pct"/>
                  <w:noWrap w:val="0"/>
                  <w:vAlign w:val="center"/>
                </w:tcPr>
                <w:p w14:paraId="0AA1DA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w:t>
                  </w:r>
                </w:p>
              </w:tc>
            </w:tr>
            <w:tr w14:paraId="7C642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7C9D53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lang w:val="en-US" w:eastAsia="zh-CN"/>
                    </w:rPr>
                  </w:pPr>
                </w:p>
              </w:tc>
              <w:tc>
                <w:tcPr>
                  <w:tcW w:w="463" w:type="dxa"/>
                  <w:tcBorders>
                    <w:left w:val="single" w:color="auto" w:sz="6" w:space="0"/>
                    <w:right w:val="single" w:color="auto" w:sz="4" w:space="0"/>
                  </w:tcBorders>
                  <w:noWrap w:val="0"/>
                  <w:vAlign w:val="center"/>
                </w:tcPr>
                <w:p w14:paraId="309432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lang w:val="en-US" w:eastAsia="zh-CN"/>
                    </w:rPr>
                  </w:pPr>
                  <w:r>
                    <w:rPr>
                      <w:rFonts w:hint="eastAsia"/>
                      <w:color w:val="000000"/>
                      <w:sz w:val="21"/>
                      <w:szCs w:val="21"/>
                      <w:lang w:val="en-US" w:eastAsia="zh-CN"/>
                    </w:rPr>
                    <w:t>28</w:t>
                  </w:r>
                </w:p>
              </w:tc>
              <w:tc>
                <w:tcPr>
                  <w:tcW w:w="912" w:type="pct"/>
                  <w:tcBorders>
                    <w:left w:val="single" w:color="auto" w:sz="6" w:space="0"/>
                    <w:right w:val="single" w:color="auto" w:sz="4" w:space="0"/>
                  </w:tcBorders>
                  <w:noWrap w:val="0"/>
                  <w:vAlign w:val="center"/>
                </w:tcPr>
                <w:p w14:paraId="6983C26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切割机</w:t>
                  </w:r>
                </w:p>
              </w:tc>
              <w:tc>
                <w:tcPr>
                  <w:tcW w:w="1146" w:type="pct"/>
                  <w:noWrap w:val="0"/>
                  <w:vAlign w:val="center"/>
                </w:tcPr>
                <w:p w14:paraId="4BD70C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685" w:type="dxa"/>
                  <w:noWrap w:val="0"/>
                  <w:vAlign w:val="center"/>
                </w:tcPr>
                <w:p w14:paraId="686D181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2台</w:t>
                  </w:r>
                </w:p>
              </w:tc>
              <w:tc>
                <w:tcPr>
                  <w:tcW w:w="3202" w:type="dxa"/>
                  <w:noWrap w:val="0"/>
                  <w:vAlign w:val="center"/>
                </w:tcPr>
                <w:p w14:paraId="4F2688D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w:t>
                  </w:r>
                </w:p>
              </w:tc>
            </w:tr>
            <w:tr w14:paraId="074BC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tcBorders>
                    <w:left w:val="single" w:color="auto" w:sz="6" w:space="0"/>
                    <w:right w:val="single" w:color="auto" w:sz="4" w:space="0"/>
                  </w:tcBorders>
                  <w:noWrap w:val="0"/>
                  <w:vAlign w:val="center"/>
                </w:tcPr>
                <w:p w14:paraId="0DB56D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lang w:val="en-US" w:eastAsia="zh-CN"/>
                    </w:rPr>
                  </w:pPr>
                  <w:r>
                    <w:rPr>
                      <w:rFonts w:hint="eastAsia"/>
                      <w:color w:val="000000"/>
                      <w:sz w:val="21"/>
                      <w:szCs w:val="21"/>
                      <w:lang w:val="en-US" w:eastAsia="zh-CN"/>
                    </w:rPr>
                    <w:t>热处理</w:t>
                  </w:r>
                </w:p>
              </w:tc>
              <w:tc>
                <w:tcPr>
                  <w:tcW w:w="463" w:type="dxa"/>
                  <w:tcBorders>
                    <w:left w:val="single" w:color="auto" w:sz="6" w:space="0"/>
                    <w:right w:val="single" w:color="auto" w:sz="4" w:space="0"/>
                  </w:tcBorders>
                  <w:noWrap w:val="0"/>
                  <w:vAlign w:val="center"/>
                </w:tcPr>
                <w:p w14:paraId="020D76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29</w:t>
                  </w:r>
                </w:p>
              </w:tc>
              <w:tc>
                <w:tcPr>
                  <w:tcW w:w="912" w:type="pct"/>
                  <w:tcBorders>
                    <w:left w:val="single" w:color="auto" w:sz="6" w:space="0"/>
                    <w:right w:val="single" w:color="auto" w:sz="4" w:space="0"/>
                  </w:tcBorders>
                  <w:noWrap w:val="0"/>
                  <w:vAlign w:val="center"/>
                </w:tcPr>
                <w:p w14:paraId="3FFD5B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全纤维中温台车炉</w:t>
                  </w:r>
                </w:p>
              </w:tc>
              <w:tc>
                <w:tcPr>
                  <w:tcW w:w="1146" w:type="pct"/>
                  <w:noWrap w:val="0"/>
                  <w:vAlign w:val="center"/>
                </w:tcPr>
                <w:p w14:paraId="62EE63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额定加热功率：1200kW</w:t>
                  </w:r>
                </w:p>
              </w:tc>
              <w:tc>
                <w:tcPr>
                  <w:tcW w:w="401" w:type="pct"/>
                  <w:noWrap w:val="0"/>
                  <w:vAlign w:val="center"/>
                </w:tcPr>
                <w:p w14:paraId="32454F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5D4144D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r>
            <w:tr w14:paraId="1921B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tcBorders>
                    <w:left w:val="single" w:color="auto" w:sz="6" w:space="0"/>
                    <w:right w:val="single" w:color="auto" w:sz="4" w:space="0"/>
                  </w:tcBorders>
                  <w:noWrap w:val="0"/>
                  <w:vAlign w:val="center"/>
                </w:tcPr>
                <w:p w14:paraId="4D94AD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lang w:val="en-US" w:eastAsia="zh-CN"/>
                    </w:rPr>
                  </w:pPr>
                  <w:r>
                    <w:rPr>
                      <w:rFonts w:hint="eastAsia"/>
                      <w:color w:val="000000"/>
                      <w:sz w:val="21"/>
                      <w:szCs w:val="21"/>
                      <w:lang w:val="en-US" w:eastAsia="zh-CN"/>
                    </w:rPr>
                    <w:t>抛丸</w:t>
                  </w:r>
                </w:p>
              </w:tc>
              <w:tc>
                <w:tcPr>
                  <w:tcW w:w="463" w:type="dxa"/>
                  <w:tcBorders>
                    <w:left w:val="single" w:color="auto" w:sz="6" w:space="0"/>
                    <w:right w:val="single" w:color="auto" w:sz="4" w:space="0"/>
                  </w:tcBorders>
                  <w:noWrap w:val="0"/>
                  <w:vAlign w:val="center"/>
                </w:tcPr>
                <w:p w14:paraId="569B73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lang w:val="en-US" w:eastAsia="zh-CN"/>
                    </w:rPr>
                  </w:pPr>
                  <w:r>
                    <w:rPr>
                      <w:rFonts w:hint="eastAsia"/>
                      <w:color w:val="000000"/>
                      <w:sz w:val="21"/>
                      <w:szCs w:val="21"/>
                      <w:lang w:val="en-US" w:eastAsia="zh-CN"/>
                    </w:rPr>
                    <w:t>30</w:t>
                  </w:r>
                </w:p>
              </w:tc>
              <w:tc>
                <w:tcPr>
                  <w:tcW w:w="912" w:type="pct"/>
                  <w:tcBorders>
                    <w:left w:val="single" w:color="auto" w:sz="6" w:space="0"/>
                    <w:right w:val="single" w:color="auto" w:sz="4" w:space="0"/>
                  </w:tcBorders>
                  <w:noWrap w:val="0"/>
                  <w:vAlign w:val="center"/>
                </w:tcPr>
                <w:p w14:paraId="0F2E70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z w:val="21"/>
                      <w:szCs w:val="21"/>
                      <w:highlight w:val="none"/>
                      <w:lang w:val="en-US" w:eastAsia="zh-CN"/>
                    </w:rPr>
                  </w:pPr>
                  <w:r>
                    <w:rPr>
                      <w:rFonts w:hint="eastAsia"/>
                      <w:color w:val="000000"/>
                      <w:sz w:val="21"/>
                      <w:szCs w:val="21"/>
                      <w:highlight w:val="none"/>
                      <w:lang w:val="en-US" w:eastAsia="zh-CN"/>
                    </w:rPr>
                    <w:t>吊钩式抛丸机</w:t>
                  </w:r>
                </w:p>
              </w:tc>
              <w:tc>
                <w:tcPr>
                  <w:tcW w:w="1146" w:type="pct"/>
                  <w:noWrap w:val="0"/>
                  <w:vAlign w:val="center"/>
                </w:tcPr>
                <w:p w14:paraId="529589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设备总功率：192kW</w:t>
                  </w:r>
                </w:p>
              </w:tc>
              <w:tc>
                <w:tcPr>
                  <w:tcW w:w="401" w:type="pct"/>
                  <w:noWrap w:val="0"/>
                  <w:vAlign w:val="center"/>
                </w:tcPr>
                <w:p w14:paraId="7672E0F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highlight w:val="none"/>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37F4BF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000000"/>
                      <w:sz w:val="21"/>
                      <w:szCs w:val="21"/>
                      <w:highlight w:val="none"/>
                      <w:lang w:val="en-US" w:eastAsia="zh-CN"/>
                    </w:rPr>
                  </w:pPr>
                  <w:r>
                    <w:rPr>
                      <w:rFonts w:hint="eastAsia"/>
                      <w:color w:val="000000"/>
                      <w:sz w:val="21"/>
                      <w:szCs w:val="21"/>
                      <w:highlight w:val="none"/>
                      <w:lang w:val="en-US" w:eastAsia="zh-CN"/>
                    </w:rPr>
                    <w:t>/</w:t>
                  </w:r>
                </w:p>
              </w:tc>
            </w:tr>
            <w:tr w14:paraId="7CEB8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tcBorders>
                    <w:left w:val="single" w:color="auto" w:sz="6" w:space="0"/>
                    <w:right w:val="single" w:color="auto" w:sz="4" w:space="0"/>
                  </w:tcBorders>
                  <w:noWrap w:val="0"/>
                  <w:vAlign w:val="center"/>
                </w:tcPr>
                <w:p w14:paraId="08B0204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检验</w:t>
                  </w:r>
                </w:p>
              </w:tc>
              <w:tc>
                <w:tcPr>
                  <w:tcW w:w="463" w:type="dxa"/>
                  <w:tcBorders>
                    <w:left w:val="single" w:color="auto" w:sz="6" w:space="0"/>
                    <w:right w:val="single" w:color="auto" w:sz="4" w:space="0"/>
                  </w:tcBorders>
                  <w:noWrap w:val="0"/>
                  <w:vAlign w:val="center"/>
                </w:tcPr>
                <w:p w14:paraId="1C5A0F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31</w:t>
                  </w:r>
                </w:p>
              </w:tc>
              <w:tc>
                <w:tcPr>
                  <w:tcW w:w="912" w:type="pct"/>
                  <w:tcBorders>
                    <w:left w:val="single" w:color="auto" w:sz="6" w:space="0"/>
                    <w:right w:val="single" w:color="auto" w:sz="4" w:space="0"/>
                  </w:tcBorders>
                  <w:noWrap w:val="0"/>
                  <w:vAlign w:val="center"/>
                </w:tcPr>
                <w:p w14:paraId="475A49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调温枪</w:t>
                  </w:r>
                </w:p>
              </w:tc>
              <w:tc>
                <w:tcPr>
                  <w:tcW w:w="1146" w:type="pct"/>
                  <w:noWrap w:val="0"/>
                  <w:vAlign w:val="center"/>
                </w:tcPr>
                <w:p w14:paraId="52D4469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401" w:type="pct"/>
                  <w:noWrap w:val="0"/>
                  <w:vAlign w:val="center"/>
                </w:tcPr>
                <w:p w14:paraId="2FF628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38C98E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w:t>
                  </w:r>
                </w:p>
              </w:tc>
            </w:tr>
            <w:tr w14:paraId="1A97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409DFF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lang w:val="en-US" w:eastAsia="zh-CN"/>
                    </w:rPr>
                  </w:pPr>
                </w:p>
              </w:tc>
              <w:tc>
                <w:tcPr>
                  <w:tcW w:w="463" w:type="dxa"/>
                  <w:tcBorders>
                    <w:left w:val="single" w:color="auto" w:sz="6" w:space="0"/>
                    <w:right w:val="single" w:color="auto" w:sz="4" w:space="0"/>
                  </w:tcBorders>
                  <w:noWrap w:val="0"/>
                  <w:vAlign w:val="center"/>
                </w:tcPr>
                <w:p w14:paraId="76BB85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32</w:t>
                  </w:r>
                </w:p>
              </w:tc>
              <w:tc>
                <w:tcPr>
                  <w:tcW w:w="912" w:type="pct"/>
                  <w:tcBorders>
                    <w:left w:val="single" w:color="auto" w:sz="6" w:space="0"/>
                    <w:right w:val="single" w:color="auto" w:sz="4" w:space="0"/>
                  </w:tcBorders>
                  <w:noWrap w:val="0"/>
                  <w:vAlign w:val="center"/>
                </w:tcPr>
                <w:p w14:paraId="2D746EA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热分析仪</w:t>
                  </w:r>
                </w:p>
              </w:tc>
              <w:tc>
                <w:tcPr>
                  <w:tcW w:w="1146" w:type="pct"/>
                  <w:noWrap w:val="0"/>
                  <w:vAlign w:val="center"/>
                </w:tcPr>
                <w:p w14:paraId="36694E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401" w:type="pct"/>
                  <w:noWrap w:val="0"/>
                  <w:vAlign w:val="center"/>
                </w:tcPr>
                <w:p w14:paraId="6F697E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6C10C5C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w:t>
                  </w:r>
                </w:p>
              </w:tc>
            </w:tr>
            <w:tr w14:paraId="6CDCF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tcBorders>
                    <w:left w:val="single" w:color="auto" w:sz="6" w:space="0"/>
                    <w:right w:val="single" w:color="auto" w:sz="4" w:space="0"/>
                  </w:tcBorders>
                  <w:noWrap w:val="0"/>
                  <w:vAlign w:val="center"/>
                </w:tcPr>
                <w:p w14:paraId="352DC0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lang w:val="en-US" w:eastAsia="zh-CN"/>
                    </w:rPr>
                  </w:pPr>
                </w:p>
              </w:tc>
              <w:tc>
                <w:tcPr>
                  <w:tcW w:w="463" w:type="dxa"/>
                  <w:tcBorders>
                    <w:left w:val="single" w:color="auto" w:sz="6" w:space="0"/>
                    <w:right w:val="single" w:color="auto" w:sz="4" w:space="0"/>
                  </w:tcBorders>
                  <w:noWrap w:val="0"/>
                  <w:vAlign w:val="center"/>
                </w:tcPr>
                <w:p w14:paraId="01D9E4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33</w:t>
                  </w:r>
                </w:p>
              </w:tc>
              <w:tc>
                <w:tcPr>
                  <w:tcW w:w="912" w:type="pct"/>
                  <w:tcBorders>
                    <w:left w:val="single" w:color="auto" w:sz="6" w:space="0"/>
                    <w:right w:val="single" w:color="auto" w:sz="4" w:space="0"/>
                  </w:tcBorders>
                  <w:noWrap w:val="0"/>
                  <w:vAlign w:val="center"/>
                </w:tcPr>
                <w:p w14:paraId="2E9F97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olor w:val="000000"/>
                      <w:sz w:val="21"/>
                      <w:szCs w:val="21"/>
                      <w:highlight w:val="none"/>
                      <w:lang w:val="en-US" w:eastAsia="zh-CN"/>
                    </w:rPr>
                  </w:pPr>
                  <w:r>
                    <w:rPr>
                      <w:rFonts w:hint="eastAsia"/>
                      <w:color w:val="000000"/>
                      <w:sz w:val="21"/>
                      <w:szCs w:val="21"/>
                      <w:highlight w:val="none"/>
                      <w:lang w:val="en-US" w:eastAsia="zh-CN"/>
                    </w:rPr>
                    <w:t>光谱仪</w:t>
                  </w:r>
                </w:p>
              </w:tc>
              <w:tc>
                <w:tcPr>
                  <w:tcW w:w="1146" w:type="pct"/>
                  <w:noWrap w:val="0"/>
                  <w:vAlign w:val="center"/>
                </w:tcPr>
                <w:p w14:paraId="242978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pacing w:val="2"/>
                      <w:position w:val="2"/>
                      <w:sz w:val="21"/>
                      <w:szCs w:val="21"/>
                      <w:highlight w:val="none"/>
                      <w:lang w:val="en-US" w:eastAsia="zh-CN"/>
                    </w:rPr>
                  </w:pPr>
                  <w:r>
                    <w:rPr>
                      <w:rFonts w:hint="eastAsia"/>
                      <w:color w:val="000000"/>
                      <w:spacing w:val="2"/>
                      <w:position w:val="2"/>
                      <w:sz w:val="21"/>
                      <w:szCs w:val="21"/>
                      <w:highlight w:val="none"/>
                      <w:lang w:val="en-US" w:eastAsia="zh-CN"/>
                    </w:rPr>
                    <w:t>/</w:t>
                  </w:r>
                </w:p>
              </w:tc>
              <w:tc>
                <w:tcPr>
                  <w:tcW w:w="401" w:type="pct"/>
                  <w:noWrap w:val="0"/>
                  <w:vAlign w:val="center"/>
                </w:tcPr>
                <w:p w14:paraId="14E9DB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1</w:t>
                  </w:r>
                  <w:r>
                    <w:rPr>
                      <w:bCs/>
                      <w:color w:val="000000"/>
                      <w:sz w:val="21"/>
                      <w:szCs w:val="21"/>
                    </w:rPr>
                    <w:t>台</w:t>
                  </w:r>
                </w:p>
              </w:tc>
              <w:tc>
                <w:tcPr>
                  <w:tcW w:w="1874" w:type="pct"/>
                  <w:noWrap w:val="0"/>
                  <w:vAlign w:val="center"/>
                </w:tcPr>
                <w:p w14:paraId="3D863D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000000"/>
                      <w:sz w:val="21"/>
                      <w:szCs w:val="21"/>
                      <w:highlight w:val="none"/>
                      <w:lang w:val="en-US" w:eastAsia="zh-CN"/>
                    </w:rPr>
                  </w:pPr>
                  <w:r>
                    <w:rPr>
                      <w:rFonts w:hint="eastAsia"/>
                      <w:color w:val="000000"/>
                      <w:sz w:val="21"/>
                      <w:szCs w:val="21"/>
                      <w:highlight w:val="none"/>
                      <w:lang w:val="en-US" w:eastAsia="zh-CN"/>
                    </w:rPr>
                    <w:t>/</w:t>
                  </w:r>
                </w:p>
              </w:tc>
            </w:tr>
          </w:tbl>
          <w:p w14:paraId="4601C713">
            <w:pPr>
              <w:bidi w:val="0"/>
              <w:rPr>
                <w:rFonts w:hint="default"/>
                <w:lang w:val="en-US" w:eastAsia="zh-CN"/>
              </w:rPr>
            </w:pPr>
            <w:r>
              <w:rPr>
                <w:rFonts w:hint="eastAsia" w:ascii="黑体" w:hAnsi="黑体" w:eastAsia="黑体" w:cs="黑体"/>
                <w:b w:val="0"/>
                <w:bCs w:val="0"/>
                <w:lang w:val="en-US" w:eastAsia="zh-CN"/>
              </w:rPr>
              <w:t>设计产能与生产设备匹配性分析：</w:t>
            </w:r>
          </w:p>
          <w:p w14:paraId="048475D2">
            <w:pPr>
              <w:bidi w:val="0"/>
            </w:pPr>
            <w:r>
              <w:t>据《铸造企业生产能力核算方法》（T/CFA030501-2020），对项目生产能力进行详细核算如下：</w:t>
            </w:r>
          </w:p>
          <w:p w14:paraId="31001DE9">
            <w:pPr>
              <w:bidi w:val="0"/>
            </w:pPr>
            <w:r>
              <w:rPr>
                <w:rFonts w:hint="eastAsia"/>
              </w:rPr>
              <w:t>（1）</w:t>
            </w:r>
            <w:r>
              <w:t>熔炼（化）工序生产能力进行核算</w:t>
            </w:r>
          </w:p>
          <w:p w14:paraId="0CCC7811">
            <w:pPr>
              <w:bidi w:val="0"/>
            </w:pPr>
            <w:r>
              <w:t>①金属液熔化能力</w:t>
            </w:r>
          </w:p>
          <w:p w14:paraId="6A29D898">
            <w:pPr>
              <w:bidi w:val="0"/>
            </w:pPr>
            <w:r>
              <w:t>按公式计算：R</w:t>
            </w:r>
            <w:r>
              <w:rPr>
                <w:vertAlign w:val="subscript"/>
              </w:rPr>
              <w:t>j</w:t>
            </w:r>
            <w:r>
              <w:t>=L×G</w:t>
            </w:r>
          </w:p>
          <w:p w14:paraId="6A2AB03A">
            <w:pPr>
              <w:bidi w:val="0"/>
            </w:pPr>
            <w:r>
              <w:t>式中：R</w:t>
            </w:r>
            <w:r>
              <w:rPr>
                <w:vertAlign w:val="subscript"/>
              </w:rPr>
              <w:t>j</w:t>
            </w:r>
            <w:r>
              <w:t>—单台设备金属熔化能力（t/a）</w:t>
            </w:r>
          </w:p>
          <w:p w14:paraId="7BB4E562">
            <w:pPr>
              <w:bidi w:val="0"/>
            </w:pPr>
            <w:r>
              <w:t>L—熔化设备熔化率（t/h），本项目设置</w:t>
            </w:r>
            <w:r>
              <w:rPr>
                <w:rFonts w:hint="eastAsia"/>
                <w:lang w:val="en-US" w:eastAsia="zh-CN"/>
              </w:rPr>
              <w:t>2</w:t>
            </w:r>
            <w:r>
              <w:t>套</w:t>
            </w:r>
            <w:r>
              <w:rPr>
                <w:rFonts w:hint="eastAsia"/>
                <w:lang w:val="en-US" w:eastAsia="zh-CN"/>
              </w:rPr>
              <w:t>3.5</w:t>
            </w:r>
            <w:r>
              <w:t>t/h</w:t>
            </w:r>
            <w:r>
              <w:rPr>
                <w:rFonts w:hint="eastAsia"/>
                <w:lang w:val="en-US" w:eastAsia="zh-CN"/>
              </w:rPr>
              <w:t>中频</w:t>
            </w:r>
            <w:r>
              <w:t>炉。</w:t>
            </w:r>
          </w:p>
          <w:p w14:paraId="786777CF">
            <w:pPr>
              <w:bidi w:val="0"/>
            </w:pPr>
            <w:r>
              <w:t>G—设计年时基数（h/a），根据附录A，本项目属于</w:t>
            </w:r>
            <w:r>
              <w:rPr>
                <w:rFonts w:hint="eastAsia"/>
                <w:lang w:val="en-US" w:eastAsia="zh-CN"/>
              </w:rPr>
              <w:t>中频</w:t>
            </w:r>
            <w:r>
              <w:t>炉，</w:t>
            </w:r>
            <w:r>
              <w:rPr>
                <w:rFonts w:hint="eastAsia"/>
                <w:lang w:val="en-US" w:eastAsia="zh-CN"/>
              </w:rPr>
              <w:t>两班</w:t>
            </w:r>
            <w:r>
              <w:t>生产，取</w:t>
            </w:r>
            <w:r>
              <w:rPr>
                <w:rFonts w:hint="eastAsia"/>
                <w:lang w:val="en-US" w:eastAsia="zh-CN"/>
              </w:rPr>
              <w:t>528</w:t>
            </w:r>
            <w:r>
              <w:rPr>
                <w:rFonts w:hint="eastAsia"/>
              </w:rPr>
              <w:t>0</w:t>
            </w:r>
            <w:r>
              <w:t>h/a。</w:t>
            </w:r>
          </w:p>
          <w:p w14:paraId="350B4898">
            <w:pPr>
              <w:bidi w:val="0"/>
            </w:pPr>
            <w:r>
              <w:t>经计算，单台金属液熔化能力为</w:t>
            </w:r>
            <w:r>
              <w:rPr>
                <w:rFonts w:hint="eastAsia"/>
                <w:lang w:val="en-US" w:eastAsia="zh-CN"/>
              </w:rPr>
              <w:t>3.5</w:t>
            </w:r>
            <w:r>
              <w:t>t/h×</w:t>
            </w:r>
            <w:r>
              <w:rPr>
                <w:rFonts w:hint="eastAsia"/>
                <w:lang w:val="en-US" w:eastAsia="zh-CN"/>
              </w:rPr>
              <w:t>528</w:t>
            </w:r>
            <w:r>
              <w:rPr>
                <w:rFonts w:hint="eastAsia"/>
              </w:rPr>
              <w:t>0</w:t>
            </w:r>
            <w:r>
              <w:t>h/a=</w:t>
            </w:r>
            <w:r>
              <w:rPr>
                <w:rFonts w:hint="eastAsia"/>
                <w:lang w:val="en-US" w:eastAsia="zh-CN"/>
              </w:rPr>
              <w:t>18480</w:t>
            </w:r>
            <w:r>
              <w:t>t/a。</w:t>
            </w:r>
          </w:p>
          <w:p w14:paraId="383D36D3">
            <w:pPr>
              <w:bidi w:val="0"/>
            </w:pPr>
            <w:r>
              <w:t>②熔化设备铸件生产能力</w:t>
            </w:r>
          </w:p>
          <w:p w14:paraId="3A435444">
            <w:pPr>
              <w:bidi w:val="0"/>
            </w:pPr>
            <w:r>
              <w:t>按公式计算：R</w:t>
            </w:r>
            <w:r>
              <w:rPr>
                <w:vertAlign w:val="subscript"/>
              </w:rPr>
              <w:t>i</w:t>
            </w:r>
            <w:r>
              <w:t>=R</w:t>
            </w:r>
            <w:r>
              <w:rPr>
                <w:vertAlign w:val="subscript"/>
              </w:rPr>
              <w:t>j</w:t>
            </w:r>
            <w:r>
              <w:t>×K</w:t>
            </w:r>
            <w:r>
              <w:rPr>
                <w:vertAlign w:val="subscript"/>
              </w:rPr>
              <w:t>1</w:t>
            </w:r>
            <w:r>
              <w:t>×（1-K</w:t>
            </w:r>
            <w:r>
              <w:rPr>
                <w:vertAlign w:val="subscript"/>
              </w:rPr>
              <w:t>2</w:t>
            </w:r>
            <w:r>
              <w:t>）×K</w:t>
            </w:r>
            <w:r>
              <w:rPr>
                <w:vertAlign w:val="subscript"/>
              </w:rPr>
              <w:t>3</w:t>
            </w:r>
          </w:p>
          <w:p w14:paraId="7018EE85">
            <w:pPr>
              <w:bidi w:val="0"/>
            </w:pPr>
            <w:r>
              <w:t>式中：R</w:t>
            </w:r>
            <w:r>
              <w:rPr>
                <w:vertAlign w:val="subscript"/>
              </w:rPr>
              <w:t>i</w:t>
            </w:r>
            <w:r>
              <w:t>—单台熔化设备铸件生产能力（t/a）</w:t>
            </w:r>
          </w:p>
          <w:p w14:paraId="473D844F">
            <w:pPr>
              <w:bidi w:val="0"/>
              <w:ind w:firstLine="1200" w:firstLineChars="500"/>
            </w:pPr>
            <w:r>
              <w:t>R</w:t>
            </w:r>
            <w:r>
              <w:rPr>
                <w:vertAlign w:val="subscript"/>
              </w:rPr>
              <w:t>j</w:t>
            </w:r>
            <w:r>
              <w:t>—单台设备金属液熔化能力（t/a）</w:t>
            </w:r>
          </w:p>
          <w:p w14:paraId="3E3B3766">
            <w:pPr>
              <w:bidi w:val="0"/>
              <w:ind w:firstLine="1200" w:firstLineChars="500"/>
            </w:pPr>
            <w:r>
              <w:t>K</w:t>
            </w:r>
            <w:r>
              <w:rPr>
                <w:vertAlign w:val="subscript"/>
              </w:rPr>
              <w:t>1</w:t>
            </w:r>
            <w:r>
              <w:t>—工艺出品率（%），根据附录B，取</w:t>
            </w:r>
            <w:r>
              <w:rPr>
                <w:rFonts w:hint="eastAsia"/>
                <w:lang w:val="en-US" w:eastAsia="zh-CN"/>
              </w:rPr>
              <w:t>7</w:t>
            </w:r>
            <w:r>
              <w:t>0%。</w:t>
            </w:r>
          </w:p>
          <w:p w14:paraId="1FF47615">
            <w:pPr>
              <w:bidi w:val="0"/>
              <w:ind w:firstLine="1200" w:firstLineChars="500"/>
            </w:pPr>
            <w:r>
              <w:t>K</w:t>
            </w:r>
            <w:r>
              <w:rPr>
                <w:vertAlign w:val="subscript"/>
              </w:rPr>
              <w:t>2</w:t>
            </w:r>
            <w:r>
              <w:t>—铸件废品率（%），根据附录B，取</w:t>
            </w:r>
            <w:r>
              <w:rPr>
                <w:rFonts w:hint="eastAsia"/>
                <w:lang w:val="en-US" w:eastAsia="zh-CN"/>
              </w:rPr>
              <w:t>5</w:t>
            </w:r>
            <w:r>
              <w:t>%。</w:t>
            </w:r>
          </w:p>
          <w:p w14:paraId="7204B380">
            <w:pPr>
              <w:bidi w:val="0"/>
              <w:ind w:firstLine="1200" w:firstLineChars="500"/>
            </w:pPr>
            <w:r>
              <w:t>K</w:t>
            </w:r>
            <w:r>
              <w:rPr>
                <w:vertAlign w:val="subscript"/>
              </w:rPr>
              <w:t>3</w:t>
            </w:r>
            <w:r>
              <w:t>—金属液利用率（%），根据附录B，取97%。</w:t>
            </w:r>
          </w:p>
          <w:p w14:paraId="4E5880EC">
            <w:pPr>
              <w:bidi w:val="0"/>
            </w:pPr>
            <w:r>
              <w:t>经计算，单台铸件生产能力=</w:t>
            </w:r>
            <w:r>
              <w:rPr>
                <w:rFonts w:hint="eastAsia"/>
                <w:lang w:val="en-US" w:eastAsia="zh-CN"/>
              </w:rPr>
              <w:t>18480</w:t>
            </w:r>
            <w:r>
              <w:t>×</w:t>
            </w:r>
            <w:r>
              <w:rPr>
                <w:rFonts w:hint="eastAsia"/>
                <w:lang w:val="en-US" w:eastAsia="zh-CN"/>
              </w:rPr>
              <w:t>7</w:t>
            </w:r>
            <w:r>
              <w:t>0%×（1-</w:t>
            </w:r>
            <w:r>
              <w:rPr>
                <w:rFonts w:hint="eastAsia"/>
                <w:lang w:val="en-US" w:eastAsia="zh-CN"/>
              </w:rPr>
              <w:t>5</w:t>
            </w:r>
            <w:r>
              <w:t>%）×97%=</w:t>
            </w:r>
            <w:r>
              <w:rPr>
                <w:rFonts w:hint="eastAsia"/>
                <w:lang w:val="en-US" w:eastAsia="zh-CN"/>
              </w:rPr>
              <w:t>11920.524</w:t>
            </w:r>
            <w:r>
              <w:t>t/a。</w:t>
            </w:r>
          </w:p>
          <w:p w14:paraId="7E91D1A1">
            <w:pPr>
              <w:bidi w:val="0"/>
            </w:pPr>
            <w:r>
              <w:t>③熔化工序生产能力</w:t>
            </w:r>
          </w:p>
          <w:p w14:paraId="0EE5C492">
            <w:pPr>
              <w:bidi w:val="0"/>
            </w:pPr>
            <w:r>
              <w:t>按公式计算：∑R=R</w:t>
            </w:r>
            <w:r>
              <w:rPr>
                <w:vertAlign w:val="subscript"/>
              </w:rPr>
              <w:t>1</w:t>
            </w:r>
            <w:r>
              <w:t>+R</w:t>
            </w:r>
            <w:r>
              <w:rPr>
                <w:vertAlign w:val="subscript"/>
              </w:rPr>
              <w:t>2</w:t>
            </w:r>
            <w:r>
              <w:t>+…R</w:t>
            </w:r>
            <w:r>
              <w:rPr>
                <w:vertAlign w:val="subscript"/>
              </w:rPr>
              <w:t>i</w:t>
            </w:r>
            <w:r>
              <w:t>+R</w:t>
            </w:r>
            <w:r>
              <w:rPr>
                <w:vertAlign w:val="subscript"/>
              </w:rPr>
              <w:t>n</w:t>
            </w:r>
          </w:p>
          <w:p w14:paraId="2D8A2020">
            <w:pPr>
              <w:bidi w:val="0"/>
            </w:pPr>
            <w:r>
              <w:t>式中：i—熔化设备数量</w:t>
            </w:r>
          </w:p>
          <w:p w14:paraId="66972A53">
            <w:pPr>
              <w:bidi w:val="0"/>
              <w:ind w:firstLine="1200" w:firstLineChars="500"/>
            </w:pPr>
            <w:r>
              <w:t>R—熔化工序生产能力（t/a)</w:t>
            </w:r>
          </w:p>
          <w:p w14:paraId="27E8D84E">
            <w:pPr>
              <w:bidi w:val="0"/>
              <w:ind w:firstLine="1200" w:firstLineChars="500"/>
            </w:pPr>
            <w:r>
              <w:t>当n=1时，取单台熔化设备的铸件生产能力；</w:t>
            </w:r>
          </w:p>
          <w:p w14:paraId="5AD9F4AA">
            <w:pPr>
              <w:bidi w:val="0"/>
              <w:ind w:left="1200" w:leftChars="500" w:firstLine="0" w:firstLineChars="0"/>
            </w:pPr>
            <w:r>
              <w:t>当n&gt;1时，每台熔化设备可满足同时按照设计熔化率生产时，取所有设备铸件生产能力之和；每台熔化设备不能同时满足按设计熔化率生产时，取每台设备在实际功率条件下的铸件生产能力之和。</w:t>
            </w:r>
          </w:p>
          <w:p w14:paraId="57037AD2">
            <w:pPr>
              <w:bidi w:val="0"/>
              <w:rPr>
                <w:rFonts w:hint="default" w:ascii="Times New Roman" w:hAnsi="Times New Roman" w:eastAsia="黑体" w:cs="Times New Roman"/>
                <w:b w:val="0"/>
                <w:bCs w:val="0"/>
                <w:color w:val="000000"/>
                <w:kern w:val="0"/>
                <w:sz w:val="24"/>
                <w:szCs w:val="24"/>
                <w:lang w:val="en-US" w:eastAsia="zh-CN" w:bidi="ar"/>
              </w:rPr>
            </w:pPr>
            <w:r>
              <w:t>本项目设置</w:t>
            </w:r>
            <w:r>
              <w:rPr>
                <w:rFonts w:hint="eastAsia"/>
                <w:lang w:val="en-US" w:eastAsia="zh-CN"/>
              </w:rPr>
              <w:t>2</w:t>
            </w:r>
            <w:r>
              <w:t>台</w:t>
            </w:r>
            <w:r>
              <w:rPr>
                <w:rFonts w:hint="eastAsia"/>
                <w:lang w:val="en-US" w:eastAsia="zh-CN"/>
              </w:rPr>
              <w:t>中频</w:t>
            </w:r>
            <w:r>
              <w:t>炉，全厂的熔化工序能力=</w:t>
            </w:r>
            <w:r>
              <w:rPr>
                <w:rFonts w:hint="eastAsia"/>
                <w:lang w:val="en-US" w:eastAsia="zh-CN"/>
              </w:rPr>
              <w:t>11920.524</w:t>
            </w:r>
            <w:r>
              <w:t>×</w:t>
            </w:r>
            <w:r>
              <w:rPr>
                <w:rFonts w:hint="eastAsia"/>
                <w:lang w:val="en-US" w:eastAsia="zh-CN"/>
              </w:rPr>
              <w:t>2</w:t>
            </w:r>
            <w:r>
              <w:t>=</w:t>
            </w:r>
            <w:r>
              <w:rPr>
                <w:rFonts w:hint="eastAsia"/>
                <w:lang w:val="en-US" w:eastAsia="zh-CN"/>
              </w:rPr>
              <w:t>23841.048</w:t>
            </w:r>
            <w:r>
              <w:t>t/a，本项目设计年铸件量为</w:t>
            </w:r>
            <w:r>
              <w:rPr>
                <w:rFonts w:hint="eastAsia"/>
                <w:lang w:val="en-US" w:eastAsia="zh-CN"/>
              </w:rPr>
              <w:t>12</w:t>
            </w:r>
            <w:r>
              <w:t>000t，项目选用的生产设备能够满足本项目使用需求。</w:t>
            </w:r>
          </w:p>
          <w:p w14:paraId="571A3D57">
            <w:pPr>
              <w:keepNext w:val="0"/>
              <w:keepLines w:val="0"/>
              <w:widowControl/>
              <w:suppressLineNumbers w:val="0"/>
              <w:ind w:left="0" w:leftChars="0" w:firstLine="0" w:firstLineChars="0"/>
              <w:jc w:val="left"/>
              <w:rPr>
                <w:rFonts w:hint="default" w:ascii="Times New Roman" w:hAnsi="Times New Roman" w:eastAsia="黑体" w:cs="Times New Roman"/>
                <w:b w:val="0"/>
                <w:bCs w:val="0"/>
              </w:rPr>
            </w:pPr>
            <w:r>
              <w:rPr>
                <w:rFonts w:hint="default" w:ascii="Times New Roman" w:hAnsi="Times New Roman" w:eastAsia="黑体" w:cs="Times New Roman"/>
                <w:b w:val="0"/>
                <w:bCs w:val="0"/>
                <w:color w:val="000000"/>
                <w:kern w:val="0"/>
                <w:sz w:val="24"/>
                <w:szCs w:val="24"/>
                <w:lang w:val="en-US" w:eastAsia="zh-CN" w:bidi="ar"/>
              </w:rPr>
              <w:t>5、主要原辅材料消耗</w:t>
            </w:r>
          </w:p>
          <w:p w14:paraId="0A1DD9E6">
            <w:pPr>
              <w:keepNext w:val="0"/>
              <w:keepLines w:val="0"/>
              <w:widowControl/>
              <w:suppressLineNumbers w:val="0"/>
              <w:jc w:val="left"/>
            </w:pPr>
            <w:r>
              <w:rPr>
                <w:rFonts w:hint="eastAsia" w:ascii="宋体" w:hAnsi="宋体" w:eastAsia="宋体" w:cs="宋体"/>
                <w:color w:val="000000"/>
                <w:kern w:val="0"/>
                <w:sz w:val="24"/>
                <w:szCs w:val="24"/>
                <w:lang w:val="en-US" w:eastAsia="zh-CN" w:bidi="ar"/>
              </w:rPr>
              <w:t>项目主要原辅材料见下表。</w:t>
            </w:r>
          </w:p>
          <w:p w14:paraId="52352947">
            <w:pPr>
              <w:keepNext w:val="0"/>
              <w:keepLines w:val="0"/>
              <w:widowControl/>
              <w:suppressLineNumbers w:val="0"/>
              <w:ind w:left="0" w:leftChars="0" w:firstLine="0" w:firstLineChars="0"/>
              <w:jc w:val="center"/>
              <w:rPr>
                <w:rFonts w:hint="default" w:ascii="Times New Roman" w:hAnsi="Times New Roman" w:eastAsia="黑体" w:cs="Times New Roman"/>
                <w:b w:val="0"/>
                <w:bCs w:val="0"/>
                <w:color w:val="000000"/>
                <w:kern w:val="0"/>
                <w:sz w:val="24"/>
                <w:szCs w:val="24"/>
                <w:lang w:val="en-US" w:eastAsia="zh-CN" w:bidi="ar"/>
              </w:rPr>
            </w:pPr>
            <w:r>
              <w:rPr>
                <w:rFonts w:hint="default" w:ascii="Times New Roman" w:hAnsi="Times New Roman" w:eastAsia="黑体" w:cs="Times New Roman"/>
                <w:b w:val="0"/>
                <w:bCs w:val="0"/>
                <w:color w:val="000000"/>
                <w:kern w:val="0"/>
                <w:sz w:val="24"/>
                <w:szCs w:val="24"/>
                <w:lang w:val="en-US" w:eastAsia="zh-CN" w:bidi="ar"/>
              </w:rPr>
              <w:t>表2-</w:t>
            </w:r>
            <w:r>
              <w:rPr>
                <w:rFonts w:hint="eastAsia" w:eastAsia="黑体" w:cs="Times New Roman"/>
                <w:b w:val="0"/>
                <w:bCs w:val="0"/>
                <w:color w:val="000000"/>
                <w:kern w:val="0"/>
                <w:sz w:val="24"/>
                <w:szCs w:val="24"/>
                <w:lang w:val="en-US" w:eastAsia="zh-CN" w:bidi="ar"/>
              </w:rPr>
              <w:t>6</w:t>
            </w:r>
            <w:r>
              <w:rPr>
                <w:rFonts w:hint="eastAsia" w:ascii="Times New Roman" w:hAnsi="Times New Roman" w:eastAsia="黑体" w:cs="Times New Roman"/>
                <w:b w:val="0"/>
                <w:bCs w:val="0"/>
                <w:color w:val="000000"/>
                <w:kern w:val="0"/>
                <w:sz w:val="24"/>
                <w:szCs w:val="24"/>
                <w:lang w:val="en-US" w:eastAsia="zh-CN" w:bidi="ar"/>
              </w:rPr>
              <w:t xml:space="preserve"> </w:t>
            </w:r>
            <w:r>
              <w:rPr>
                <w:rFonts w:hint="default" w:ascii="Times New Roman" w:hAnsi="Times New Roman" w:eastAsia="黑体" w:cs="Times New Roman"/>
                <w:b w:val="0"/>
                <w:bCs w:val="0"/>
                <w:color w:val="000000"/>
                <w:kern w:val="0"/>
                <w:sz w:val="24"/>
                <w:szCs w:val="24"/>
                <w:lang w:val="en-US" w:eastAsia="zh-CN" w:bidi="ar"/>
              </w:rPr>
              <w:t xml:space="preserve"> 项目主要原辅材料消耗一览表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1984"/>
              <w:gridCol w:w="1970"/>
              <w:gridCol w:w="3425"/>
            </w:tblGrid>
            <w:tr w14:paraId="4D868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787F57C9">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序号</w:t>
                  </w:r>
                </w:p>
              </w:tc>
              <w:tc>
                <w:tcPr>
                  <w:tcW w:w="1159" w:type="pct"/>
                  <w:noWrap w:val="0"/>
                  <w:vAlign w:val="center"/>
                </w:tcPr>
                <w:p w14:paraId="33179DDC">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color w:val="000000"/>
                      <w:sz w:val="21"/>
                      <w:szCs w:val="21"/>
                    </w:rPr>
                    <w:t>原辅料名称</w:t>
                  </w:r>
                </w:p>
              </w:tc>
              <w:tc>
                <w:tcPr>
                  <w:tcW w:w="1151" w:type="pct"/>
                  <w:noWrap w:val="0"/>
                  <w:vAlign w:val="center"/>
                </w:tcPr>
                <w:p w14:paraId="54927A51">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color w:val="000000"/>
                      <w:sz w:val="21"/>
                      <w:szCs w:val="21"/>
                    </w:rPr>
                    <w:t>年用量</w:t>
                  </w:r>
                </w:p>
              </w:tc>
              <w:tc>
                <w:tcPr>
                  <w:tcW w:w="2000" w:type="pct"/>
                  <w:noWrap w:val="0"/>
                  <w:vAlign w:val="center"/>
                </w:tcPr>
                <w:p w14:paraId="715B2A9C">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来源及贮存位置</w:t>
                  </w:r>
                </w:p>
              </w:tc>
            </w:tr>
            <w:tr w14:paraId="0D874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582948DA">
                  <w:pPr>
                    <w:keepNext w:val="0"/>
                    <w:keepLines w:val="0"/>
                    <w:pageBreakBefore w:val="0"/>
                    <w:widowControl/>
                    <w:kinsoku/>
                    <w:wordWrap/>
                    <w:overflowPunct/>
                    <w:topLinePunct w:val="0"/>
                    <w:autoSpaceDE/>
                    <w:autoSpaceDN/>
                    <w:bidi w:val="0"/>
                    <w:snapToGrid/>
                    <w:spacing w:line="240" w:lineRule="auto"/>
                    <w:ind w:firstLine="0" w:firstLineChars="0"/>
                    <w:jc w:val="center"/>
                    <w:textAlignment w:val="center"/>
                    <w:rPr>
                      <w:color w:val="000000"/>
                      <w:kern w:val="0"/>
                      <w:sz w:val="21"/>
                      <w:szCs w:val="21"/>
                      <w:lang w:bidi="ar"/>
                    </w:rPr>
                  </w:pPr>
                  <w:r>
                    <w:rPr>
                      <w:rFonts w:hint="eastAsia"/>
                      <w:color w:val="000000"/>
                      <w:kern w:val="0"/>
                      <w:sz w:val="21"/>
                      <w:szCs w:val="21"/>
                      <w:lang w:val="en-US" w:eastAsia="zh-CN" w:bidi="ar"/>
                    </w:rPr>
                    <w:t>一、主要原辅材料</w:t>
                  </w:r>
                </w:p>
              </w:tc>
            </w:tr>
            <w:tr w14:paraId="4E292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5A44645E">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工序名称</w:t>
                  </w:r>
                </w:p>
              </w:tc>
              <w:tc>
                <w:tcPr>
                  <w:tcW w:w="4310" w:type="pct"/>
                  <w:gridSpan w:val="3"/>
                  <w:noWrap w:val="0"/>
                  <w:vAlign w:val="center"/>
                </w:tcPr>
                <w:p w14:paraId="73D06539">
                  <w:pPr>
                    <w:keepNext w:val="0"/>
                    <w:keepLines w:val="0"/>
                    <w:pageBreakBefore w:val="0"/>
                    <w:widowControl/>
                    <w:kinsoku/>
                    <w:wordWrap/>
                    <w:overflowPunct/>
                    <w:topLinePunct w:val="0"/>
                    <w:autoSpaceDE/>
                    <w:autoSpaceDN/>
                    <w:bidi w:val="0"/>
                    <w:snapToGrid/>
                    <w:spacing w:line="240" w:lineRule="auto"/>
                    <w:ind w:firstLine="0" w:firstLineChars="0"/>
                    <w:jc w:val="center"/>
                    <w:textAlignment w:val="center"/>
                    <w:rPr>
                      <w:color w:val="000000"/>
                      <w:kern w:val="0"/>
                      <w:sz w:val="21"/>
                      <w:szCs w:val="21"/>
                      <w:lang w:bidi="ar"/>
                    </w:rPr>
                  </w:pPr>
                  <w:r>
                    <w:rPr>
                      <w:rFonts w:hint="eastAsia"/>
                      <w:color w:val="000000"/>
                      <w:kern w:val="0"/>
                      <w:sz w:val="21"/>
                      <w:szCs w:val="21"/>
                      <w:lang w:val="en-US" w:eastAsia="zh-CN" w:bidi="ar"/>
                    </w:rPr>
                    <w:t>中频炉熔炼</w:t>
                  </w:r>
                </w:p>
              </w:tc>
            </w:tr>
            <w:tr w14:paraId="60949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59DE0977">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1</w:t>
                  </w:r>
                </w:p>
              </w:tc>
              <w:tc>
                <w:tcPr>
                  <w:tcW w:w="1159" w:type="pct"/>
                  <w:noWrap w:val="0"/>
                  <w:vAlign w:val="center"/>
                </w:tcPr>
                <w:p w14:paraId="44D46619">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宋体" w:hAnsi="宋体" w:cs="宋体"/>
                      <w:color w:val="000000"/>
                      <w:sz w:val="21"/>
                      <w:szCs w:val="21"/>
                    </w:rPr>
                  </w:pPr>
                  <w:r>
                    <w:rPr>
                      <w:rFonts w:hint="eastAsia" w:ascii="宋体" w:hAnsi="宋体" w:cs="宋体"/>
                      <w:color w:val="000000"/>
                      <w:sz w:val="21"/>
                      <w:szCs w:val="21"/>
                      <w:lang w:val="en-US" w:eastAsia="zh-CN"/>
                    </w:rPr>
                    <w:t>废钢</w:t>
                  </w:r>
                </w:p>
              </w:tc>
              <w:tc>
                <w:tcPr>
                  <w:tcW w:w="1151" w:type="pct"/>
                  <w:noWrap w:val="0"/>
                  <w:vAlign w:val="center"/>
                </w:tcPr>
                <w:p w14:paraId="47B92F15">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z w:val="21"/>
                      <w:szCs w:val="21"/>
                      <w:lang w:val="en-US" w:eastAsia="zh-CN"/>
                    </w:rPr>
                  </w:pPr>
                  <w:r>
                    <w:rPr>
                      <w:rFonts w:hint="eastAsia" w:eastAsia="宋体"/>
                      <w:color w:val="000000"/>
                      <w:sz w:val="21"/>
                      <w:szCs w:val="21"/>
                      <w:lang w:val="en-US" w:eastAsia="zh-CN"/>
                    </w:rPr>
                    <w:t>6071.465t/a</w:t>
                  </w:r>
                </w:p>
              </w:tc>
              <w:tc>
                <w:tcPr>
                  <w:tcW w:w="2000" w:type="pct"/>
                  <w:vMerge w:val="restart"/>
                  <w:noWrap w:val="0"/>
                  <w:vAlign w:val="center"/>
                </w:tcPr>
                <w:p w14:paraId="1BBC42D9">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color w:val="000000"/>
                      <w:sz w:val="21"/>
                      <w:szCs w:val="21"/>
                    </w:rPr>
                  </w:pPr>
                  <w:r>
                    <w:rPr>
                      <w:color w:val="000000"/>
                      <w:kern w:val="0"/>
                      <w:sz w:val="21"/>
                      <w:szCs w:val="21"/>
                      <w:lang w:bidi="ar"/>
                    </w:rPr>
                    <w:t>外购</w:t>
                  </w:r>
                  <w:r>
                    <w:rPr>
                      <w:rFonts w:hint="eastAsia"/>
                      <w:color w:val="000000"/>
                      <w:kern w:val="0"/>
                      <w:sz w:val="21"/>
                      <w:szCs w:val="21"/>
                      <w:lang w:bidi="ar"/>
                    </w:rPr>
                    <w:t>；</w:t>
                  </w:r>
                  <w:r>
                    <w:rPr>
                      <w:rStyle w:val="31"/>
                      <w:rFonts w:hint="eastAsia"/>
                      <w:color w:val="000000"/>
                      <w:kern w:val="0"/>
                      <w:sz w:val="21"/>
                      <w:szCs w:val="21"/>
                    </w:rPr>
                    <w:t>固态、堆放，</w:t>
                  </w:r>
                  <w:r>
                    <w:rPr>
                      <w:color w:val="000000"/>
                      <w:sz w:val="21"/>
                      <w:szCs w:val="21"/>
                    </w:rPr>
                    <w:t>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70</w:t>
                  </w:r>
                  <w:r>
                    <w:rPr>
                      <w:rFonts w:hint="eastAsia"/>
                      <w:color w:val="000000"/>
                      <w:sz w:val="21"/>
                      <w:szCs w:val="21"/>
                    </w:rPr>
                    <w:t>0t</w:t>
                  </w:r>
                </w:p>
              </w:tc>
            </w:tr>
            <w:tr w14:paraId="28061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789BF6BC">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2</w:t>
                  </w:r>
                </w:p>
              </w:tc>
              <w:tc>
                <w:tcPr>
                  <w:tcW w:w="1159" w:type="pct"/>
                  <w:noWrap w:val="0"/>
                  <w:vAlign w:val="center"/>
                </w:tcPr>
                <w:p w14:paraId="22D0FB36">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宋体" w:hAnsi="宋体" w:eastAsia="宋体" w:cs="宋体"/>
                      <w:color w:val="000000"/>
                      <w:sz w:val="21"/>
                      <w:szCs w:val="21"/>
                      <w:lang w:eastAsia="zh-CN"/>
                    </w:rPr>
                  </w:pPr>
                  <w:r>
                    <w:rPr>
                      <w:rFonts w:hint="eastAsia" w:ascii="宋体" w:hAnsi="宋体" w:cs="宋体"/>
                      <w:color w:val="000000"/>
                      <w:spacing w:val="6"/>
                      <w:sz w:val="21"/>
                      <w:szCs w:val="21"/>
                      <w:lang w:val="en-US" w:eastAsia="zh-CN"/>
                    </w:rPr>
                    <w:t>生铁</w:t>
                  </w:r>
                </w:p>
              </w:tc>
              <w:tc>
                <w:tcPr>
                  <w:tcW w:w="1151" w:type="pct"/>
                  <w:noWrap w:val="0"/>
                  <w:vAlign w:val="center"/>
                </w:tcPr>
                <w:p w14:paraId="4003F60F">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z w:val="21"/>
                      <w:szCs w:val="21"/>
                      <w:lang w:val="en-US" w:eastAsia="zh-CN"/>
                    </w:rPr>
                  </w:pPr>
                  <w:r>
                    <w:rPr>
                      <w:rFonts w:hint="eastAsia" w:eastAsia="宋体"/>
                      <w:color w:val="000000"/>
                      <w:sz w:val="21"/>
                      <w:szCs w:val="21"/>
                      <w:lang w:val="en-US" w:eastAsia="zh-CN"/>
                    </w:rPr>
                    <w:t>6071.465t/a</w:t>
                  </w:r>
                </w:p>
              </w:tc>
              <w:tc>
                <w:tcPr>
                  <w:tcW w:w="2000" w:type="pct"/>
                  <w:vMerge w:val="continue"/>
                  <w:noWrap w:val="0"/>
                  <w:vAlign w:val="center"/>
                </w:tcPr>
                <w:p w14:paraId="7B8400A4">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p>
              </w:tc>
            </w:tr>
            <w:tr w14:paraId="1CF30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35EA131D">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color w:val="000000"/>
                      <w:sz w:val="21"/>
                      <w:szCs w:val="21"/>
                      <w:lang w:val="en-US" w:eastAsia="zh-CN"/>
                    </w:rPr>
                  </w:pPr>
                  <w:r>
                    <w:rPr>
                      <w:rFonts w:hint="eastAsia"/>
                      <w:color w:val="000000"/>
                      <w:sz w:val="21"/>
                      <w:szCs w:val="21"/>
                      <w:lang w:val="en-US" w:eastAsia="zh-CN"/>
                    </w:rPr>
                    <w:t>3</w:t>
                  </w:r>
                </w:p>
              </w:tc>
              <w:tc>
                <w:tcPr>
                  <w:tcW w:w="1159" w:type="pct"/>
                  <w:noWrap w:val="0"/>
                  <w:vAlign w:val="center"/>
                </w:tcPr>
                <w:p w14:paraId="2B535A67">
                  <w:pPr>
                    <w:keepNext w:val="0"/>
                    <w:keepLines w:val="0"/>
                    <w:pageBreakBefore w:val="0"/>
                    <w:kinsoku/>
                    <w:wordWrap/>
                    <w:overflowPunct/>
                    <w:topLinePunct w:val="0"/>
                    <w:autoSpaceDE/>
                    <w:autoSpaceDN/>
                    <w:bidi w:val="0"/>
                    <w:snapToGrid/>
                    <w:spacing w:line="240" w:lineRule="auto"/>
                    <w:ind w:firstLine="0" w:firstLineChars="0"/>
                    <w:jc w:val="center"/>
                    <w:rPr>
                      <w:rFonts w:hint="default" w:ascii="宋体" w:hAnsi="宋体" w:cs="宋体"/>
                      <w:color w:val="000000"/>
                      <w:spacing w:val="6"/>
                      <w:sz w:val="21"/>
                      <w:szCs w:val="21"/>
                      <w:lang w:val="en-US" w:eastAsia="zh-CN"/>
                    </w:rPr>
                  </w:pPr>
                  <w:r>
                    <w:rPr>
                      <w:rFonts w:hint="eastAsia" w:ascii="宋体" w:hAnsi="宋体" w:cs="宋体"/>
                      <w:color w:val="000000"/>
                      <w:spacing w:val="6"/>
                      <w:sz w:val="21"/>
                      <w:szCs w:val="21"/>
                      <w:lang w:val="en-US" w:eastAsia="zh-CN"/>
                    </w:rPr>
                    <w:t>除渣剂</w:t>
                  </w:r>
                </w:p>
              </w:tc>
              <w:tc>
                <w:tcPr>
                  <w:tcW w:w="1151" w:type="pct"/>
                  <w:noWrap w:val="0"/>
                  <w:vAlign w:val="center"/>
                </w:tcPr>
                <w:p w14:paraId="2B20A3BF">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z w:val="21"/>
                      <w:szCs w:val="21"/>
                      <w:lang w:val="en-US" w:eastAsia="zh-CN"/>
                    </w:rPr>
                  </w:pPr>
                  <w:r>
                    <w:rPr>
                      <w:rFonts w:hint="eastAsia" w:eastAsia="宋体"/>
                      <w:color w:val="000000"/>
                      <w:sz w:val="21"/>
                      <w:szCs w:val="21"/>
                      <w:lang w:val="en-US" w:eastAsia="zh-CN"/>
                    </w:rPr>
                    <w:t>18t/a</w:t>
                  </w:r>
                </w:p>
              </w:tc>
              <w:tc>
                <w:tcPr>
                  <w:tcW w:w="2000" w:type="pct"/>
                  <w:noWrap w:val="0"/>
                  <w:vAlign w:val="center"/>
                </w:tcPr>
                <w:p w14:paraId="67DCEFC4">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外</w:t>
                  </w:r>
                  <w:r>
                    <w:rPr>
                      <w:color w:val="000000"/>
                      <w:sz w:val="21"/>
                      <w:szCs w:val="21"/>
                    </w:rPr>
                    <w:t>购</w:t>
                  </w:r>
                  <w:r>
                    <w:rPr>
                      <w:rFonts w:hint="eastAsia"/>
                      <w:color w:val="000000"/>
                      <w:sz w:val="21"/>
                      <w:szCs w:val="21"/>
                    </w:rPr>
                    <w:t>，袋装，20kg/袋，</w:t>
                  </w:r>
                  <w:r>
                    <w:rPr>
                      <w:color w:val="000000"/>
                      <w:sz w:val="21"/>
                      <w:szCs w:val="21"/>
                    </w:rPr>
                    <w:t>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1.0</w:t>
                  </w:r>
                  <w:r>
                    <w:rPr>
                      <w:rFonts w:hint="eastAsia"/>
                      <w:color w:val="000000"/>
                      <w:sz w:val="21"/>
                      <w:szCs w:val="21"/>
                    </w:rPr>
                    <w:t>t</w:t>
                  </w:r>
                </w:p>
              </w:tc>
            </w:tr>
            <w:tr w14:paraId="6BEF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26392A2F">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工序名称</w:t>
                  </w:r>
                </w:p>
              </w:tc>
              <w:tc>
                <w:tcPr>
                  <w:tcW w:w="4310" w:type="pct"/>
                  <w:gridSpan w:val="3"/>
                  <w:noWrap w:val="0"/>
                  <w:vAlign w:val="center"/>
                </w:tcPr>
                <w:p w14:paraId="4EB83E3D">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树脂砂工序</w:t>
                  </w:r>
                </w:p>
              </w:tc>
            </w:tr>
            <w:tr w14:paraId="6C7A2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49CB1C0B">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1</w:t>
                  </w:r>
                </w:p>
              </w:tc>
              <w:tc>
                <w:tcPr>
                  <w:tcW w:w="1159" w:type="pct"/>
                  <w:noWrap w:val="0"/>
                  <w:vAlign w:val="center"/>
                </w:tcPr>
                <w:p w14:paraId="18156E9B">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宋体" w:hAnsi="宋体" w:eastAsia="宋体" w:cs="宋体"/>
                      <w:color w:val="000000"/>
                      <w:sz w:val="21"/>
                      <w:szCs w:val="21"/>
                      <w:lang w:val="en-US" w:eastAsia="zh-CN"/>
                    </w:rPr>
                  </w:pPr>
                  <w:r>
                    <w:rPr>
                      <w:rFonts w:hint="eastAsia" w:ascii="宋体" w:hAnsi="宋体" w:cs="宋体"/>
                      <w:color w:val="000000"/>
                      <w:sz w:val="21"/>
                      <w:szCs w:val="21"/>
                      <w:lang w:val="en-US" w:eastAsia="zh-CN"/>
                    </w:rPr>
                    <w:t>原砂</w:t>
                  </w:r>
                </w:p>
              </w:tc>
              <w:tc>
                <w:tcPr>
                  <w:tcW w:w="1151" w:type="pct"/>
                  <w:noWrap w:val="0"/>
                  <w:vAlign w:val="center"/>
                </w:tcPr>
                <w:p w14:paraId="072EE665">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z w:val="21"/>
                      <w:szCs w:val="21"/>
                      <w:lang w:val="en-US" w:eastAsia="zh-CN"/>
                    </w:rPr>
                  </w:pPr>
                  <w:r>
                    <w:rPr>
                      <w:rFonts w:hint="eastAsia" w:eastAsia="宋体"/>
                      <w:color w:val="000000"/>
                      <w:sz w:val="21"/>
                      <w:szCs w:val="21"/>
                      <w:lang w:val="en-US" w:eastAsia="zh-CN"/>
                    </w:rPr>
                    <w:t>1773t</w:t>
                  </w:r>
                </w:p>
              </w:tc>
              <w:tc>
                <w:tcPr>
                  <w:tcW w:w="2000" w:type="pct"/>
                  <w:shd w:val="clear" w:color="auto" w:fill="auto"/>
                  <w:noWrap w:val="0"/>
                  <w:vAlign w:val="center"/>
                </w:tcPr>
                <w:p w14:paraId="33B7971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color w:val="000000"/>
                      <w:sz w:val="21"/>
                      <w:szCs w:val="21"/>
                    </w:rPr>
                    <w:t>外购，</w:t>
                  </w:r>
                  <w:r>
                    <w:rPr>
                      <w:rFonts w:hint="eastAsia"/>
                      <w:color w:val="000000"/>
                      <w:sz w:val="21"/>
                      <w:szCs w:val="21"/>
                    </w:rPr>
                    <w:t>袋装</w:t>
                  </w:r>
                  <w:r>
                    <w:rPr>
                      <w:color w:val="000000"/>
                      <w:sz w:val="21"/>
                      <w:szCs w:val="21"/>
                    </w:rPr>
                    <w:t>储存于</w:t>
                  </w:r>
                  <w:r>
                    <w:rPr>
                      <w:rFonts w:hint="eastAsia"/>
                      <w:b w:val="0"/>
                      <w:bCs w:val="0"/>
                      <w:sz w:val="21"/>
                      <w:szCs w:val="21"/>
                      <w:u w:val="none" w:color="auto"/>
                      <w:lang w:val="en-US" w:eastAsia="zh-CN"/>
                    </w:rPr>
                    <w:t>原料库</w:t>
                  </w:r>
                  <w:r>
                    <w:rPr>
                      <w:rFonts w:hint="eastAsia"/>
                      <w:color w:val="000000"/>
                      <w:sz w:val="21"/>
                      <w:szCs w:val="21"/>
                    </w:rPr>
                    <w:t>内，石英砂的最大储存量为50t</w:t>
                  </w:r>
                </w:p>
              </w:tc>
            </w:tr>
            <w:tr w14:paraId="73302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474760A9">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2</w:t>
                  </w:r>
                </w:p>
              </w:tc>
              <w:tc>
                <w:tcPr>
                  <w:tcW w:w="1159" w:type="pct"/>
                  <w:noWrap w:val="0"/>
                  <w:vAlign w:val="center"/>
                </w:tcPr>
                <w:p w14:paraId="752868E5">
                  <w:pPr>
                    <w:keepNext w:val="0"/>
                    <w:keepLines w:val="0"/>
                    <w:pageBreakBefore w:val="0"/>
                    <w:kinsoku/>
                    <w:wordWrap/>
                    <w:overflowPunct/>
                    <w:topLinePunct w:val="0"/>
                    <w:autoSpaceDE/>
                    <w:autoSpaceDN/>
                    <w:bidi w:val="0"/>
                    <w:snapToGrid/>
                    <w:spacing w:line="240" w:lineRule="auto"/>
                    <w:ind w:firstLine="0" w:firstLineChars="0"/>
                    <w:jc w:val="center"/>
                    <w:rPr>
                      <w:rFonts w:hint="default" w:ascii="宋体" w:hAnsi="宋体" w:eastAsia="宋体" w:cs="宋体"/>
                      <w:color w:val="000000"/>
                      <w:spacing w:val="7"/>
                      <w:sz w:val="21"/>
                      <w:szCs w:val="21"/>
                      <w:lang w:val="en-US" w:eastAsia="zh-CN"/>
                    </w:rPr>
                  </w:pPr>
                  <w:r>
                    <w:rPr>
                      <w:rFonts w:hint="eastAsia" w:ascii="宋体" w:hAnsi="宋体" w:cs="宋体"/>
                      <w:color w:val="000000"/>
                      <w:spacing w:val="7"/>
                      <w:sz w:val="21"/>
                      <w:szCs w:val="21"/>
                      <w:lang w:val="en-US" w:eastAsia="zh-CN"/>
                    </w:rPr>
                    <w:t>再生砂</w:t>
                  </w:r>
                </w:p>
              </w:tc>
              <w:tc>
                <w:tcPr>
                  <w:tcW w:w="1151" w:type="pct"/>
                  <w:noWrap w:val="0"/>
                  <w:vAlign w:val="center"/>
                </w:tcPr>
                <w:p w14:paraId="4DC6D8A8">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pacing w:val="5"/>
                      <w:position w:val="2"/>
                      <w:sz w:val="21"/>
                      <w:szCs w:val="21"/>
                      <w:lang w:val="en-US" w:eastAsia="zh-CN"/>
                    </w:rPr>
                  </w:pPr>
                  <w:r>
                    <w:rPr>
                      <w:rFonts w:hint="eastAsia"/>
                      <w:color w:val="000000"/>
                      <w:spacing w:val="5"/>
                      <w:position w:val="2"/>
                      <w:sz w:val="21"/>
                      <w:szCs w:val="21"/>
                      <w:lang w:val="en-US" w:eastAsia="zh-CN"/>
                    </w:rPr>
                    <w:t>34179.351t</w:t>
                  </w:r>
                </w:p>
              </w:tc>
              <w:tc>
                <w:tcPr>
                  <w:tcW w:w="2000" w:type="pct"/>
                  <w:noWrap w:val="0"/>
                  <w:vAlign w:val="center"/>
                </w:tcPr>
                <w:p w14:paraId="01A80371">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储存于砂处理线砂库内</w:t>
                  </w:r>
                </w:p>
              </w:tc>
            </w:tr>
            <w:tr w14:paraId="0F7A3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69C05C56">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3</w:t>
                  </w:r>
                </w:p>
              </w:tc>
              <w:tc>
                <w:tcPr>
                  <w:tcW w:w="1159" w:type="pct"/>
                  <w:noWrap w:val="0"/>
                  <w:vAlign w:val="center"/>
                </w:tcPr>
                <w:p w14:paraId="7C1E28E6">
                  <w:pPr>
                    <w:keepNext w:val="0"/>
                    <w:keepLines w:val="0"/>
                    <w:pageBreakBefore w:val="0"/>
                    <w:kinsoku/>
                    <w:wordWrap/>
                    <w:overflowPunct/>
                    <w:topLinePunct w:val="0"/>
                    <w:autoSpaceDE/>
                    <w:autoSpaceDN/>
                    <w:bidi w:val="0"/>
                    <w:snapToGrid/>
                    <w:spacing w:line="240" w:lineRule="auto"/>
                    <w:ind w:firstLine="0" w:firstLineChars="0"/>
                    <w:jc w:val="center"/>
                    <w:rPr>
                      <w:rFonts w:hint="eastAsia" w:ascii="宋体" w:hAnsi="宋体" w:eastAsia="宋体" w:cs="宋体"/>
                      <w:color w:val="000000"/>
                      <w:sz w:val="21"/>
                      <w:szCs w:val="21"/>
                      <w:lang w:val="en-US" w:eastAsia="zh-CN"/>
                    </w:rPr>
                  </w:pPr>
                  <w:r>
                    <w:rPr>
                      <w:rFonts w:hint="eastAsia" w:ascii="宋体" w:hAnsi="宋体" w:cs="宋体"/>
                      <w:color w:val="000000"/>
                      <w:spacing w:val="7"/>
                      <w:sz w:val="21"/>
                      <w:szCs w:val="21"/>
                      <w:lang w:val="en-US" w:eastAsia="zh-CN"/>
                    </w:rPr>
                    <w:t>呋喃树脂</w:t>
                  </w:r>
                </w:p>
              </w:tc>
              <w:tc>
                <w:tcPr>
                  <w:tcW w:w="1151" w:type="pct"/>
                  <w:noWrap w:val="0"/>
                  <w:vAlign w:val="center"/>
                </w:tcPr>
                <w:p w14:paraId="7147419C">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z w:val="21"/>
                      <w:szCs w:val="21"/>
                      <w:lang w:val="en-US" w:eastAsia="zh-CN"/>
                    </w:rPr>
                  </w:pPr>
                  <w:r>
                    <w:rPr>
                      <w:rFonts w:hint="eastAsia"/>
                      <w:color w:val="000000"/>
                      <w:spacing w:val="5"/>
                      <w:position w:val="2"/>
                      <w:sz w:val="21"/>
                      <w:szCs w:val="21"/>
                      <w:lang w:val="en-US" w:eastAsia="zh-CN"/>
                    </w:rPr>
                    <w:t>360t/a</w:t>
                  </w:r>
                </w:p>
              </w:tc>
              <w:tc>
                <w:tcPr>
                  <w:tcW w:w="2000" w:type="pct"/>
                  <w:noWrap w:val="0"/>
                  <w:vAlign w:val="center"/>
                </w:tcPr>
                <w:p w14:paraId="4BDC2967">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color w:val="000000"/>
                      <w:sz w:val="21"/>
                      <w:szCs w:val="21"/>
                    </w:rPr>
                    <w:t>外购</w:t>
                  </w:r>
                  <w:r>
                    <w:rPr>
                      <w:rFonts w:hint="eastAsia"/>
                      <w:color w:val="000000"/>
                      <w:sz w:val="21"/>
                      <w:szCs w:val="21"/>
                    </w:rPr>
                    <w:t>，液态，</w:t>
                  </w:r>
                  <w:r>
                    <w:rPr>
                      <w:rFonts w:hint="eastAsia"/>
                      <w:color w:val="000000"/>
                      <w:sz w:val="21"/>
                      <w:szCs w:val="21"/>
                      <w:lang w:val="en-US" w:eastAsia="zh-CN"/>
                    </w:rPr>
                    <w:t>50</w:t>
                  </w:r>
                  <w:r>
                    <w:rPr>
                      <w:rFonts w:hint="eastAsia"/>
                      <w:color w:val="000000"/>
                      <w:sz w:val="21"/>
                      <w:szCs w:val="21"/>
                    </w:rPr>
                    <w:t>kg/桶装，储存于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10</w:t>
                  </w:r>
                  <w:r>
                    <w:rPr>
                      <w:rFonts w:hint="eastAsia"/>
                      <w:color w:val="000000"/>
                      <w:sz w:val="21"/>
                      <w:szCs w:val="21"/>
                    </w:rPr>
                    <w:t>t</w:t>
                  </w:r>
                </w:p>
              </w:tc>
            </w:tr>
            <w:tr w14:paraId="182B6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76AC6B6C">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4</w:t>
                  </w:r>
                </w:p>
              </w:tc>
              <w:tc>
                <w:tcPr>
                  <w:tcW w:w="1159" w:type="pct"/>
                  <w:noWrap w:val="0"/>
                  <w:vAlign w:val="center"/>
                </w:tcPr>
                <w:p w14:paraId="7503B1C2">
                  <w:pPr>
                    <w:keepNext w:val="0"/>
                    <w:keepLines w:val="0"/>
                    <w:pageBreakBefore w:val="0"/>
                    <w:kinsoku/>
                    <w:wordWrap/>
                    <w:overflowPunct/>
                    <w:topLinePunct w:val="0"/>
                    <w:autoSpaceDE/>
                    <w:autoSpaceDN/>
                    <w:bidi w:val="0"/>
                    <w:snapToGrid/>
                    <w:spacing w:line="240" w:lineRule="auto"/>
                    <w:ind w:firstLine="0" w:firstLineChars="0"/>
                    <w:jc w:val="center"/>
                    <w:rPr>
                      <w:rFonts w:hint="default" w:ascii="宋体" w:hAnsi="宋体" w:eastAsia="宋体" w:cs="宋体"/>
                      <w:color w:val="000000"/>
                      <w:spacing w:val="6"/>
                      <w:sz w:val="21"/>
                      <w:szCs w:val="21"/>
                      <w:lang w:val="en-US" w:eastAsia="zh-CN"/>
                    </w:rPr>
                  </w:pPr>
                  <w:r>
                    <w:rPr>
                      <w:rFonts w:hint="eastAsia" w:ascii="宋体" w:hAnsi="宋体" w:cs="宋体"/>
                      <w:color w:val="000000"/>
                      <w:sz w:val="21"/>
                      <w:szCs w:val="21"/>
                      <w:lang w:val="en-US" w:eastAsia="zh-CN"/>
                    </w:rPr>
                    <w:t>固化剂</w:t>
                  </w:r>
                </w:p>
              </w:tc>
              <w:tc>
                <w:tcPr>
                  <w:tcW w:w="1151" w:type="pct"/>
                  <w:noWrap w:val="0"/>
                  <w:vAlign w:val="center"/>
                </w:tcPr>
                <w:p w14:paraId="1AADAB04">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pacing w:val="4"/>
                      <w:position w:val="2"/>
                      <w:sz w:val="21"/>
                      <w:szCs w:val="21"/>
                      <w:lang w:val="en-US" w:eastAsia="zh-CN"/>
                    </w:rPr>
                  </w:pPr>
                  <w:r>
                    <w:rPr>
                      <w:rFonts w:hint="eastAsia" w:eastAsia="宋体"/>
                      <w:color w:val="000000"/>
                      <w:sz w:val="21"/>
                      <w:szCs w:val="21"/>
                      <w:lang w:val="en-US" w:eastAsia="zh-CN"/>
                    </w:rPr>
                    <w:t>180t/a</w:t>
                  </w:r>
                </w:p>
              </w:tc>
              <w:tc>
                <w:tcPr>
                  <w:tcW w:w="2000" w:type="pct"/>
                  <w:shd w:val="clear" w:color="auto" w:fill="auto"/>
                  <w:noWrap w:val="0"/>
                  <w:vAlign w:val="center"/>
                </w:tcPr>
                <w:p w14:paraId="0498BA1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color w:val="000000"/>
                      <w:sz w:val="21"/>
                      <w:szCs w:val="21"/>
                    </w:rPr>
                    <w:t>外购</w:t>
                  </w:r>
                  <w:r>
                    <w:rPr>
                      <w:rFonts w:hint="eastAsia"/>
                      <w:color w:val="000000"/>
                      <w:sz w:val="21"/>
                      <w:szCs w:val="21"/>
                    </w:rPr>
                    <w:t>，液态，</w:t>
                  </w:r>
                  <w:r>
                    <w:rPr>
                      <w:rFonts w:hint="eastAsia"/>
                      <w:color w:val="000000"/>
                      <w:sz w:val="21"/>
                      <w:szCs w:val="21"/>
                      <w:lang w:val="en-US" w:eastAsia="zh-CN"/>
                    </w:rPr>
                    <w:t>50</w:t>
                  </w:r>
                  <w:r>
                    <w:rPr>
                      <w:rFonts w:hint="eastAsia"/>
                      <w:color w:val="000000"/>
                      <w:sz w:val="21"/>
                      <w:szCs w:val="21"/>
                    </w:rPr>
                    <w:t>kg/桶，储存于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5</w:t>
                  </w:r>
                  <w:r>
                    <w:rPr>
                      <w:rFonts w:hint="eastAsia"/>
                      <w:color w:val="000000"/>
                      <w:sz w:val="21"/>
                      <w:szCs w:val="21"/>
                    </w:rPr>
                    <w:t>t</w:t>
                  </w:r>
                </w:p>
              </w:tc>
            </w:tr>
            <w:tr w14:paraId="41315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333F088A">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5</w:t>
                  </w:r>
                </w:p>
              </w:tc>
              <w:tc>
                <w:tcPr>
                  <w:tcW w:w="1159" w:type="pct"/>
                  <w:noWrap w:val="0"/>
                  <w:vAlign w:val="center"/>
                </w:tcPr>
                <w:p w14:paraId="0A5035F2">
                  <w:pPr>
                    <w:keepNext w:val="0"/>
                    <w:keepLines w:val="0"/>
                    <w:pageBreakBefore w:val="0"/>
                    <w:kinsoku/>
                    <w:wordWrap/>
                    <w:overflowPunct/>
                    <w:topLinePunct w:val="0"/>
                    <w:autoSpaceDE/>
                    <w:autoSpaceDN/>
                    <w:bidi w:val="0"/>
                    <w:snapToGrid/>
                    <w:spacing w:line="240" w:lineRule="auto"/>
                    <w:ind w:firstLine="0" w:firstLineChars="0"/>
                    <w:jc w:val="center"/>
                    <w:rPr>
                      <w:rFonts w:hint="default" w:ascii="宋体" w:hAnsi="宋体" w:eastAsia="宋体" w:cs="宋体"/>
                      <w:color w:val="000000"/>
                      <w:spacing w:val="6"/>
                      <w:sz w:val="21"/>
                      <w:szCs w:val="21"/>
                      <w:lang w:val="en-US" w:eastAsia="zh-CN"/>
                    </w:rPr>
                  </w:pPr>
                  <w:r>
                    <w:rPr>
                      <w:rFonts w:hint="eastAsia" w:ascii="宋体" w:hAnsi="宋体" w:cs="宋体"/>
                      <w:color w:val="000000"/>
                      <w:spacing w:val="6"/>
                      <w:sz w:val="21"/>
                      <w:szCs w:val="21"/>
                      <w:lang w:val="en-US" w:eastAsia="zh-CN"/>
                    </w:rPr>
                    <w:t>醇基涂料</w:t>
                  </w:r>
                </w:p>
              </w:tc>
              <w:tc>
                <w:tcPr>
                  <w:tcW w:w="1151" w:type="pct"/>
                  <w:noWrap w:val="0"/>
                  <w:vAlign w:val="center"/>
                </w:tcPr>
                <w:p w14:paraId="09B5A442">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pacing w:val="4"/>
                      <w:position w:val="2"/>
                      <w:sz w:val="21"/>
                      <w:szCs w:val="21"/>
                      <w:lang w:val="en-US" w:eastAsia="zh-CN"/>
                    </w:rPr>
                  </w:pPr>
                  <w:r>
                    <w:rPr>
                      <w:rFonts w:hint="eastAsia"/>
                      <w:color w:val="000000"/>
                      <w:spacing w:val="4"/>
                      <w:position w:val="2"/>
                      <w:sz w:val="21"/>
                      <w:szCs w:val="21"/>
                      <w:lang w:val="en-US" w:eastAsia="zh-CN"/>
                    </w:rPr>
                    <w:t>5t/a</w:t>
                  </w:r>
                </w:p>
              </w:tc>
              <w:tc>
                <w:tcPr>
                  <w:tcW w:w="2000" w:type="pct"/>
                  <w:noWrap w:val="0"/>
                  <w:vAlign w:val="center"/>
                </w:tcPr>
                <w:p w14:paraId="3971FE9E">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eastAsia="宋体"/>
                      <w:color w:val="000000"/>
                      <w:sz w:val="21"/>
                      <w:szCs w:val="21"/>
                      <w:lang w:val="en-US" w:eastAsia="zh-CN"/>
                    </w:rPr>
                  </w:pPr>
                  <w:r>
                    <w:rPr>
                      <w:color w:val="000000"/>
                      <w:sz w:val="21"/>
                      <w:szCs w:val="21"/>
                    </w:rPr>
                    <w:t>外购</w:t>
                  </w:r>
                  <w:r>
                    <w:rPr>
                      <w:rFonts w:hint="eastAsia"/>
                      <w:color w:val="000000"/>
                      <w:sz w:val="21"/>
                      <w:szCs w:val="21"/>
                    </w:rPr>
                    <w:t>，液态，</w:t>
                  </w:r>
                  <w:r>
                    <w:rPr>
                      <w:rFonts w:hint="eastAsia"/>
                      <w:color w:val="000000"/>
                      <w:sz w:val="21"/>
                      <w:szCs w:val="21"/>
                      <w:lang w:val="en-US" w:eastAsia="zh-CN"/>
                    </w:rPr>
                    <w:t>50</w:t>
                  </w:r>
                  <w:r>
                    <w:rPr>
                      <w:rFonts w:hint="eastAsia"/>
                      <w:color w:val="000000"/>
                      <w:sz w:val="21"/>
                      <w:szCs w:val="21"/>
                    </w:rPr>
                    <w:t>kg/桶，储存于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0.5</w:t>
                  </w:r>
                  <w:r>
                    <w:rPr>
                      <w:rFonts w:hint="eastAsia"/>
                      <w:color w:val="000000"/>
                      <w:sz w:val="21"/>
                      <w:szCs w:val="21"/>
                    </w:rPr>
                    <w:t>t</w:t>
                  </w:r>
                </w:p>
              </w:tc>
            </w:tr>
            <w:tr w14:paraId="01004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0F0321D1">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6</w:t>
                  </w:r>
                </w:p>
              </w:tc>
              <w:tc>
                <w:tcPr>
                  <w:tcW w:w="1159" w:type="pct"/>
                  <w:noWrap w:val="0"/>
                  <w:vAlign w:val="center"/>
                </w:tcPr>
                <w:p w14:paraId="284A82B6">
                  <w:pPr>
                    <w:keepNext w:val="0"/>
                    <w:keepLines w:val="0"/>
                    <w:pageBreakBefore w:val="0"/>
                    <w:kinsoku/>
                    <w:wordWrap/>
                    <w:overflowPunct/>
                    <w:topLinePunct w:val="0"/>
                    <w:autoSpaceDE/>
                    <w:autoSpaceDN/>
                    <w:bidi w:val="0"/>
                    <w:snapToGrid/>
                    <w:spacing w:line="240" w:lineRule="auto"/>
                    <w:ind w:firstLine="0" w:firstLineChars="0"/>
                    <w:jc w:val="center"/>
                    <w:rPr>
                      <w:rFonts w:hint="default" w:ascii="宋体" w:hAnsi="宋体" w:eastAsia="宋体" w:cs="宋体"/>
                      <w:color w:val="000000"/>
                      <w:spacing w:val="6"/>
                      <w:sz w:val="21"/>
                      <w:szCs w:val="21"/>
                      <w:lang w:val="en-US" w:eastAsia="zh-CN"/>
                    </w:rPr>
                  </w:pPr>
                  <w:r>
                    <w:rPr>
                      <w:rFonts w:hint="eastAsia" w:ascii="宋体" w:hAnsi="宋体" w:cs="宋体"/>
                      <w:color w:val="000000"/>
                      <w:spacing w:val="6"/>
                      <w:sz w:val="21"/>
                      <w:szCs w:val="21"/>
                      <w:lang w:val="en-US" w:eastAsia="zh-CN"/>
                    </w:rPr>
                    <w:t>脱模剂</w:t>
                  </w:r>
                </w:p>
              </w:tc>
              <w:tc>
                <w:tcPr>
                  <w:tcW w:w="1151" w:type="pct"/>
                  <w:noWrap w:val="0"/>
                  <w:vAlign w:val="center"/>
                </w:tcPr>
                <w:p w14:paraId="62935A9C">
                  <w:pPr>
                    <w:keepNext w:val="0"/>
                    <w:keepLines w:val="0"/>
                    <w:pageBreakBefore w:val="0"/>
                    <w:kinsoku/>
                    <w:wordWrap/>
                    <w:overflowPunct/>
                    <w:topLinePunct w:val="0"/>
                    <w:autoSpaceDE/>
                    <w:autoSpaceDN/>
                    <w:bidi w:val="0"/>
                    <w:snapToGrid/>
                    <w:spacing w:line="240" w:lineRule="auto"/>
                    <w:ind w:firstLine="0" w:firstLineChars="0"/>
                    <w:jc w:val="center"/>
                    <w:rPr>
                      <w:rFonts w:hint="default" w:eastAsia="宋体"/>
                      <w:color w:val="000000"/>
                      <w:spacing w:val="4"/>
                      <w:position w:val="2"/>
                      <w:sz w:val="21"/>
                      <w:szCs w:val="21"/>
                      <w:lang w:val="en-US" w:eastAsia="zh-CN"/>
                    </w:rPr>
                  </w:pPr>
                  <w:r>
                    <w:rPr>
                      <w:rFonts w:hint="eastAsia"/>
                      <w:color w:val="000000"/>
                      <w:spacing w:val="4"/>
                      <w:position w:val="2"/>
                      <w:sz w:val="21"/>
                      <w:szCs w:val="21"/>
                      <w:lang w:val="en-US" w:eastAsia="zh-CN"/>
                    </w:rPr>
                    <w:t>1.2t/a</w:t>
                  </w:r>
                </w:p>
              </w:tc>
              <w:tc>
                <w:tcPr>
                  <w:tcW w:w="2000" w:type="pct"/>
                  <w:noWrap w:val="0"/>
                  <w:vAlign w:val="center"/>
                </w:tcPr>
                <w:p w14:paraId="67A750D4">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default" w:eastAsia="宋体"/>
                      <w:color w:val="000000"/>
                      <w:sz w:val="21"/>
                      <w:szCs w:val="21"/>
                      <w:lang w:val="en-US" w:eastAsia="zh-CN"/>
                    </w:rPr>
                  </w:pPr>
                  <w:r>
                    <w:rPr>
                      <w:color w:val="000000"/>
                      <w:sz w:val="21"/>
                      <w:szCs w:val="21"/>
                    </w:rPr>
                    <w:t>外购</w:t>
                  </w:r>
                  <w:r>
                    <w:rPr>
                      <w:rFonts w:hint="eastAsia"/>
                      <w:color w:val="000000"/>
                      <w:sz w:val="21"/>
                      <w:szCs w:val="21"/>
                    </w:rPr>
                    <w:t>，液态，</w:t>
                  </w:r>
                  <w:r>
                    <w:rPr>
                      <w:rFonts w:hint="eastAsia"/>
                      <w:color w:val="000000"/>
                      <w:sz w:val="21"/>
                      <w:szCs w:val="21"/>
                      <w:lang w:val="en-US" w:eastAsia="zh-CN"/>
                    </w:rPr>
                    <w:t>25</w:t>
                  </w:r>
                  <w:r>
                    <w:rPr>
                      <w:rFonts w:hint="eastAsia"/>
                      <w:color w:val="000000"/>
                      <w:sz w:val="21"/>
                      <w:szCs w:val="21"/>
                    </w:rPr>
                    <w:t>kg/桶，储存于</w:t>
                  </w:r>
                  <w:r>
                    <w:rPr>
                      <w:rFonts w:hint="eastAsia"/>
                      <w:b w:val="0"/>
                      <w:bCs w:val="0"/>
                      <w:sz w:val="21"/>
                      <w:szCs w:val="21"/>
                      <w:u w:val="none" w:color="auto"/>
                      <w:lang w:val="en-US" w:eastAsia="zh-CN"/>
                    </w:rPr>
                    <w:t>原料库</w:t>
                  </w:r>
                  <w:r>
                    <w:rPr>
                      <w:rFonts w:hint="eastAsia"/>
                      <w:color w:val="000000"/>
                      <w:sz w:val="21"/>
                      <w:szCs w:val="21"/>
                    </w:rPr>
                    <w:t>内，最大储存量为</w:t>
                  </w:r>
                  <w:r>
                    <w:rPr>
                      <w:rFonts w:hint="eastAsia"/>
                      <w:color w:val="000000"/>
                      <w:sz w:val="21"/>
                      <w:szCs w:val="21"/>
                      <w:lang w:val="en-US" w:eastAsia="zh-CN"/>
                    </w:rPr>
                    <w:t>0.1</w:t>
                  </w:r>
                  <w:r>
                    <w:rPr>
                      <w:rFonts w:hint="eastAsia"/>
                      <w:color w:val="000000"/>
                      <w:sz w:val="21"/>
                      <w:szCs w:val="21"/>
                    </w:rPr>
                    <w:t>t</w:t>
                  </w:r>
                </w:p>
              </w:tc>
            </w:tr>
            <w:tr w14:paraId="79472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7F8292D4">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rFonts w:hint="eastAsia"/>
                      <w:color w:val="000000"/>
                      <w:sz w:val="21"/>
                      <w:szCs w:val="21"/>
                      <w:lang w:val="en-US" w:eastAsia="zh-CN"/>
                    </w:rPr>
                    <w:t>二、能源消耗</w:t>
                  </w:r>
                </w:p>
              </w:tc>
            </w:tr>
            <w:tr w14:paraId="15458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3BE033A4">
                  <w:pPr>
                    <w:keepNext w:val="0"/>
                    <w:keepLines w:val="0"/>
                    <w:pageBreakBefore w:val="0"/>
                    <w:kinsoku/>
                    <w:wordWrap/>
                    <w:overflowPunct/>
                    <w:topLinePunct w:val="0"/>
                    <w:autoSpaceDE/>
                    <w:autoSpaceDN/>
                    <w:bidi w:val="0"/>
                    <w:adjustRightInd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1</w:t>
                  </w:r>
                </w:p>
              </w:tc>
              <w:tc>
                <w:tcPr>
                  <w:tcW w:w="1159" w:type="pct"/>
                  <w:noWrap w:val="0"/>
                  <w:vAlign w:val="center"/>
                </w:tcPr>
                <w:p w14:paraId="3E9474C0">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color w:val="000000"/>
                      <w:sz w:val="21"/>
                      <w:szCs w:val="21"/>
                    </w:rPr>
                    <w:t>新鲜水</w:t>
                  </w:r>
                </w:p>
              </w:tc>
              <w:tc>
                <w:tcPr>
                  <w:tcW w:w="1151" w:type="pct"/>
                  <w:noWrap w:val="0"/>
                  <w:vAlign w:val="center"/>
                </w:tcPr>
                <w:p w14:paraId="182FE5EB">
                  <w:pPr>
                    <w:keepNext w:val="0"/>
                    <w:keepLines w:val="0"/>
                    <w:pageBreakBefore w:val="0"/>
                    <w:kinsoku/>
                    <w:wordWrap/>
                    <w:overflowPunct/>
                    <w:topLinePunct w:val="0"/>
                    <w:autoSpaceDE/>
                    <w:autoSpaceDN/>
                    <w:bidi w:val="0"/>
                    <w:snapToGrid/>
                    <w:spacing w:line="240" w:lineRule="auto"/>
                    <w:ind w:firstLine="0" w:firstLineChars="0"/>
                    <w:jc w:val="center"/>
                    <w:rPr>
                      <w:color w:val="000000"/>
                      <w:sz w:val="21"/>
                      <w:szCs w:val="21"/>
                    </w:rPr>
                  </w:pPr>
                  <w:r>
                    <w:rPr>
                      <w:rFonts w:hint="eastAsia"/>
                      <w:color w:val="000000"/>
                      <w:spacing w:val="-3"/>
                      <w:sz w:val="21"/>
                      <w:szCs w:val="21"/>
                      <w:lang w:val="en-US" w:eastAsia="zh-CN"/>
                    </w:rPr>
                    <w:t>10385.1</w:t>
                  </w:r>
                  <w:r>
                    <w:rPr>
                      <w:color w:val="000000"/>
                      <w:spacing w:val="-3"/>
                      <w:sz w:val="21"/>
                      <w:szCs w:val="21"/>
                    </w:rPr>
                    <w:t>m</w:t>
                  </w:r>
                  <w:r>
                    <w:rPr>
                      <w:color w:val="000000"/>
                      <w:spacing w:val="-3"/>
                      <w:sz w:val="21"/>
                      <w:szCs w:val="21"/>
                      <w:vertAlign w:val="superscript"/>
                    </w:rPr>
                    <w:t>3</w:t>
                  </w:r>
                  <w:r>
                    <w:rPr>
                      <w:color w:val="000000"/>
                      <w:spacing w:val="-3"/>
                      <w:sz w:val="21"/>
                      <w:szCs w:val="21"/>
                    </w:rPr>
                    <w:t>/a</w:t>
                  </w:r>
                </w:p>
              </w:tc>
              <w:tc>
                <w:tcPr>
                  <w:tcW w:w="2000" w:type="pct"/>
                  <w:noWrap w:val="0"/>
                  <w:vAlign w:val="center"/>
                </w:tcPr>
                <w:p w14:paraId="4768F576">
                  <w:pPr>
                    <w:keepNext w:val="0"/>
                    <w:keepLines w:val="0"/>
                    <w:pageBreakBefore w:val="0"/>
                    <w:kinsoku/>
                    <w:wordWrap/>
                    <w:overflowPunct/>
                    <w:topLinePunct w:val="0"/>
                    <w:autoSpaceDE/>
                    <w:autoSpaceDN/>
                    <w:bidi w:val="0"/>
                    <w:snapToGrid/>
                    <w:spacing w:line="240" w:lineRule="auto"/>
                    <w:ind w:firstLine="0" w:firstLineChars="0"/>
                    <w:jc w:val="center"/>
                    <w:rPr>
                      <w:color w:val="000000"/>
                      <w:sz w:val="21"/>
                      <w:szCs w:val="21"/>
                    </w:rPr>
                  </w:pPr>
                  <w:r>
                    <w:rPr>
                      <w:bCs/>
                      <w:color w:val="000000"/>
                      <w:sz w:val="21"/>
                      <w:szCs w:val="21"/>
                    </w:rPr>
                    <w:t>由市政供水系统提供</w:t>
                  </w:r>
                </w:p>
              </w:tc>
            </w:tr>
            <w:tr w14:paraId="545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 w:type="pct"/>
                  <w:tcBorders>
                    <w:right w:val="single" w:color="auto" w:sz="6" w:space="0"/>
                  </w:tcBorders>
                  <w:noWrap w:val="0"/>
                  <w:vAlign w:val="center"/>
                </w:tcPr>
                <w:p w14:paraId="5661698B">
                  <w:pPr>
                    <w:keepNext w:val="0"/>
                    <w:keepLines w:val="0"/>
                    <w:pageBreakBefore w:val="0"/>
                    <w:kinsoku/>
                    <w:wordWrap/>
                    <w:overflowPunct/>
                    <w:topLinePunct w:val="0"/>
                    <w:autoSpaceDE/>
                    <w:autoSpaceDN/>
                    <w:bidi w:val="0"/>
                    <w:snapToGrid/>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2</w:t>
                  </w:r>
                </w:p>
              </w:tc>
              <w:tc>
                <w:tcPr>
                  <w:tcW w:w="1159" w:type="pct"/>
                  <w:noWrap w:val="0"/>
                  <w:vAlign w:val="center"/>
                </w:tcPr>
                <w:p w14:paraId="79674775">
                  <w:pPr>
                    <w:keepNext w:val="0"/>
                    <w:keepLines w:val="0"/>
                    <w:pageBreakBefore w:val="0"/>
                    <w:kinsoku/>
                    <w:wordWrap/>
                    <w:overflowPunct/>
                    <w:topLinePunct w:val="0"/>
                    <w:autoSpaceDE/>
                    <w:autoSpaceDN/>
                    <w:bidi w:val="0"/>
                    <w:adjustRightInd w:val="0"/>
                    <w:snapToGrid/>
                    <w:spacing w:line="240" w:lineRule="auto"/>
                    <w:ind w:firstLine="0" w:firstLineChars="0"/>
                    <w:jc w:val="center"/>
                    <w:rPr>
                      <w:color w:val="000000"/>
                      <w:sz w:val="21"/>
                      <w:szCs w:val="21"/>
                    </w:rPr>
                  </w:pPr>
                  <w:r>
                    <w:rPr>
                      <w:color w:val="000000"/>
                      <w:sz w:val="21"/>
                      <w:szCs w:val="21"/>
                    </w:rPr>
                    <w:t>电</w:t>
                  </w:r>
                </w:p>
              </w:tc>
              <w:tc>
                <w:tcPr>
                  <w:tcW w:w="1151" w:type="pct"/>
                  <w:noWrap w:val="0"/>
                  <w:vAlign w:val="center"/>
                </w:tcPr>
                <w:p w14:paraId="6D022206">
                  <w:pPr>
                    <w:pStyle w:val="37"/>
                    <w:keepNext w:val="0"/>
                    <w:keepLines w:val="0"/>
                    <w:pageBreakBefore w:val="0"/>
                    <w:kinsoku/>
                    <w:wordWrap/>
                    <w:overflowPunct/>
                    <w:topLinePunct w:val="0"/>
                    <w:autoSpaceDE/>
                    <w:autoSpaceDN/>
                    <w:bidi w:val="0"/>
                    <w:snapToGrid/>
                    <w:spacing w:line="240" w:lineRule="auto"/>
                    <w:ind w:firstLine="0" w:firstLineChars="0"/>
                    <w:jc w:val="center"/>
                    <w:rPr>
                      <w:rFonts w:ascii="Times New Roman" w:hAnsi="Times New Roman" w:cs="Times New Roman"/>
                      <w:color w:val="000000"/>
                      <w:sz w:val="21"/>
                      <w:szCs w:val="21"/>
                    </w:rPr>
                  </w:pPr>
                  <w:r>
                    <w:rPr>
                      <w:rFonts w:hint="eastAsia" w:ascii="Times New Roman" w:hAnsi="Times New Roman" w:cs="Times New Roman"/>
                      <w:color w:val="000000"/>
                      <w:spacing w:val="-1"/>
                      <w:sz w:val="21"/>
                      <w:szCs w:val="21"/>
                      <w:highlight w:val="none"/>
                      <w:lang w:val="en-US" w:eastAsia="zh-CN"/>
                    </w:rPr>
                    <w:t>1000</w:t>
                  </w:r>
                  <w:r>
                    <w:rPr>
                      <w:rFonts w:ascii="Times New Roman" w:hAnsi="Times New Roman" w:cs="Times New Roman"/>
                      <w:color w:val="000000"/>
                      <w:spacing w:val="-1"/>
                      <w:sz w:val="21"/>
                      <w:szCs w:val="21"/>
                      <w:highlight w:val="none"/>
                    </w:rPr>
                    <w:t>万</w:t>
                  </w:r>
                  <w:r>
                    <w:rPr>
                      <w:rFonts w:ascii="Times New Roman" w:hAnsi="Times New Roman" w:cs="Times New Roman"/>
                      <w:color w:val="000000"/>
                      <w:spacing w:val="-1"/>
                      <w:sz w:val="21"/>
                      <w:szCs w:val="21"/>
                    </w:rPr>
                    <w:t>KW·h/a</w:t>
                  </w:r>
                </w:p>
              </w:tc>
              <w:tc>
                <w:tcPr>
                  <w:tcW w:w="2000" w:type="pct"/>
                  <w:noWrap w:val="0"/>
                  <w:vAlign w:val="center"/>
                </w:tcPr>
                <w:p w14:paraId="67801ADF">
                  <w:pPr>
                    <w:keepNext w:val="0"/>
                    <w:keepLines w:val="0"/>
                    <w:pageBreakBefore w:val="0"/>
                    <w:kinsoku/>
                    <w:wordWrap/>
                    <w:overflowPunct/>
                    <w:topLinePunct w:val="0"/>
                    <w:autoSpaceDE/>
                    <w:autoSpaceDN/>
                    <w:bidi w:val="0"/>
                    <w:snapToGrid/>
                    <w:spacing w:line="240" w:lineRule="auto"/>
                    <w:ind w:firstLine="0" w:firstLineChars="0"/>
                    <w:jc w:val="center"/>
                    <w:rPr>
                      <w:color w:val="000000"/>
                      <w:sz w:val="21"/>
                      <w:szCs w:val="21"/>
                    </w:rPr>
                  </w:pPr>
                  <w:r>
                    <w:rPr>
                      <w:bCs/>
                      <w:color w:val="000000"/>
                      <w:sz w:val="21"/>
                      <w:szCs w:val="21"/>
                    </w:rPr>
                    <w:t>由市政供电系统提供</w:t>
                  </w:r>
                </w:p>
              </w:tc>
            </w:tr>
          </w:tbl>
          <w:p w14:paraId="044F2F76">
            <w:pPr>
              <w:spacing w:line="360" w:lineRule="auto"/>
              <w:ind w:left="0" w:leftChars="0" w:firstLine="0" w:firstLineChars="0"/>
              <w:rPr>
                <w:rFonts w:hint="eastAsia" w:eastAsia="黑体" w:cs="Times New Roman"/>
                <w:u w:val="none" w:color="auto"/>
                <w:lang w:val="en-US" w:eastAsia="zh-CN"/>
              </w:rPr>
            </w:pPr>
          </w:p>
          <w:p w14:paraId="7E71A0A4">
            <w:pPr>
              <w:spacing w:line="360" w:lineRule="auto"/>
              <w:ind w:left="0" w:leftChars="0" w:firstLine="0" w:firstLineChars="0"/>
              <w:jc w:val="both"/>
              <w:rPr>
                <w:rFonts w:hint="default" w:ascii="Times New Roman" w:hAnsi="黑体" w:eastAsia="黑体" w:cs="Times New Roman"/>
                <w:bCs/>
                <w:sz w:val="24"/>
                <w:szCs w:val="32"/>
                <w:u w:val="none" w:color="auto"/>
                <w:lang w:val="en-US" w:eastAsia="zh-CN"/>
              </w:rPr>
            </w:pPr>
          </w:p>
          <w:p w14:paraId="1BD6828C">
            <w:pPr>
              <w:spacing w:line="360" w:lineRule="auto"/>
              <w:ind w:left="0" w:leftChars="0" w:firstLine="0" w:firstLineChars="0"/>
              <w:jc w:val="both"/>
              <w:rPr>
                <w:rFonts w:hint="default" w:ascii="Times New Roman" w:hAnsi="黑体" w:eastAsia="黑体" w:cs="Times New Roman"/>
                <w:bCs/>
                <w:sz w:val="24"/>
                <w:szCs w:val="32"/>
                <w:u w:val="none" w:color="auto"/>
                <w:lang w:val="en-US" w:eastAsia="zh-CN"/>
              </w:rPr>
            </w:pPr>
          </w:p>
          <w:p w14:paraId="734F2098">
            <w:pPr>
              <w:spacing w:line="360" w:lineRule="auto"/>
              <w:jc w:val="center"/>
              <w:rPr>
                <w:rFonts w:hint="default" w:ascii="Times New Roman" w:hAnsi="黑体" w:eastAsia="黑体" w:cs="Times New Roman"/>
                <w:bCs/>
                <w:sz w:val="24"/>
                <w:szCs w:val="32"/>
                <w:u w:val="none" w:color="auto"/>
                <w:lang w:val="en-US" w:eastAsia="zh-CN"/>
              </w:rPr>
            </w:pPr>
            <w:r>
              <w:rPr>
                <w:rFonts w:hint="default" w:ascii="Times New Roman" w:hAnsi="黑体" w:eastAsia="黑体" w:cs="Times New Roman"/>
                <w:bCs/>
                <w:sz w:val="24"/>
                <w:szCs w:val="32"/>
                <w:u w:val="none" w:color="auto"/>
                <w:lang w:val="en-US" w:eastAsia="zh-CN"/>
              </w:rPr>
              <w:t>表2-</w:t>
            </w:r>
            <w:r>
              <w:rPr>
                <w:rFonts w:hint="eastAsia" w:hAnsi="黑体" w:eastAsia="黑体" w:cs="Times New Roman"/>
                <w:bCs/>
                <w:sz w:val="24"/>
                <w:szCs w:val="32"/>
                <w:u w:val="none" w:color="auto"/>
                <w:lang w:val="en-US" w:eastAsia="zh-CN"/>
              </w:rPr>
              <w:t>7</w:t>
            </w:r>
            <w:r>
              <w:rPr>
                <w:rFonts w:hint="default" w:ascii="Times New Roman" w:hAnsi="黑体" w:eastAsia="黑体" w:cs="Times New Roman"/>
                <w:bCs/>
                <w:sz w:val="24"/>
                <w:szCs w:val="32"/>
                <w:u w:val="none" w:color="auto"/>
                <w:lang w:val="en-US" w:eastAsia="zh-CN"/>
              </w:rPr>
              <w:t xml:space="preserve">  </w:t>
            </w:r>
            <w:r>
              <w:rPr>
                <w:rFonts w:hint="eastAsia" w:hAnsi="黑体" w:eastAsia="黑体" w:cs="Times New Roman"/>
                <w:bCs/>
                <w:sz w:val="24"/>
                <w:szCs w:val="32"/>
                <w:u w:val="none" w:color="auto"/>
                <w:lang w:val="en-US" w:eastAsia="zh-CN"/>
              </w:rPr>
              <w:t>主要</w:t>
            </w:r>
            <w:r>
              <w:rPr>
                <w:rFonts w:hint="default" w:ascii="Times New Roman" w:hAnsi="黑体" w:eastAsia="黑体" w:cs="Times New Roman"/>
                <w:bCs/>
                <w:sz w:val="24"/>
                <w:szCs w:val="32"/>
                <w:u w:val="none" w:color="auto"/>
                <w:lang w:val="en-US" w:eastAsia="zh-CN"/>
              </w:rPr>
              <w:t>原辅材料</w:t>
            </w:r>
            <w:r>
              <w:rPr>
                <w:rFonts w:hint="eastAsia" w:hAnsi="黑体" w:eastAsia="黑体" w:cs="Times New Roman"/>
                <w:bCs/>
                <w:sz w:val="24"/>
                <w:szCs w:val="32"/>
                <w:u w:val="none" w:color="auto"/>
                <w:lang w:val="en-US" w:eastAsia="zh-CN"/>
              </w:rPr>
              <w:t>理化性质</w:t>
            </w:r>
            <w:r>
              <w:rPr>
                <w:rFonts w:hint="default" w:ascii="Times New Roman" w:hAnsi="黑体" w:eastAsia="黑体" w:cs="Times New Roman"/>
                <w:bCs/>
                <w:sz w:val="24"/>
                <w:szCs w:val="32"/>
                <w:u w:val="none" w:color="auto"/>
                <w:lang w:val="en-US" w:eastAsia="zh-CN"/>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084"/>
              <w:gridCol w:w="6712"/>
            </w:tblGrid>
            <w:tr w14:paraId="06E26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28A03D9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序号</w:t>
                  </w:r>
                </w:p>
              </w:tc>
              <w:tc>
                <w:tcPr>
                  <w:tcW w:w="633" w:type="pct"/>
                  <w:noWrap w:val="0"/>
                  <w:vAlign w:val="center"/>
                </w:tcPr>
                <w:p w14:paraId="1AC0B2B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名称</w:t>
                  </w:r>
                </w:p>
              </w:tc>
              <w:tc>
                <w:tcPr>
                  <w:tcW w:w="3921" w:type="pct"/>
                  <w:noWrap w:val="0"/>
                  <w:vAlign w:val="center"/>
                </w:tcPr>
                <w:p w14:paraId="50A7D02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成分及理化性质</w:t>
                  </w:r>
                </w:p>
              </w:tc>
            </w:tr>
            <w:tr w14:paraId="60C23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53B9E9A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c>
                <w:tcPr>
                  <w:tcW w:w="633" w:type="pct"/>
                  <w:noWrap w:val="0"/>
                  <w:vAlign w:val="center"/>
                </w:tcPr>
                <w:p w14:paraId="0F41F1E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000000"/>
                      <w:spacing w:val="6"/>
                      <w:sz w:val="21"/>
                      <w:szCs w:val="21"/>
                      <w:lang w:val="en-US" w:eastAsia="zh-CN"/>
                    </w:rPr>
                    <w:t>除渣剂</w:t>
                  </w:r>
                </w:p>
              </w:tc>
              <w:tc>
                <w:tcPr>
                  <w:tcW w:w="3921" w:type="pct"/>
                  <w:noWrap w:val="0"/>
                  <w:vAlign w:val="center"/>
                </w:tcPr>
                <w:p w14:paraId="56CEC568">
                  <w:pPr>
                    <w:keepNext w:val="0"/>
                    <w:keepLines w:val="0"/>
                    <w:pageBreakBefore w:val="0"/>
                    <w:widowControl w:val="0"/>
                    <w:kinsoku/>
                    <w:wordWrap/>
                    <w:overflowPunct/>
                    <w:topLinePunct w:val="0"/>
                    <w:autoSpaceDE/>
                    <w:autoSpaceDN/>
                    <w:bidi w:val="0"/>
                    <w:snapToGrid/>
                    <w:spacing w:line="240" w:lineRule="auto"/>
                    <w:ind w:firstLine="0" w:firstLineChars="0"/>
                    <w:jc w:val="both"/>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是铸造中用于清除铁水、钢水里杂质的。主要用于聚集铁水溶液表面的不熔物，使之易于除去，确保铁水溶液的纯净；还可作为优质保温覆盖剂及挡渣材料，具有较厚的保温层及优异的挡渣性能，还可有效隔绝空气防止铁水溶液二次氧化。</w:t>
                  </w:r>
                  <w:r>
                    <w:rPr>
                      <w:rFonts w:hint="default" w:ascii="Times New Roman" w:hAnsi="Times New Roman" w:eastAsia="宋体" w:cs="Times New Roman"/>
                      <w:color w:val="000000"/>
                      <w:sz w:val="21"/>
                      <w:szCs w:val="21"/>
                    </w:rPr>
                    <w:t>主要成分</w:t>
                  </w:r>
                  <w:r>
                    <w:rPr>
                      <w:rFonts w:hint="default" w:ascii="Times New Roman" w:hAnsi="Times New Roman" w:eastAsia="宋体" w:cs="Times New Roman"/>
                      <w:color w:val="auto"/>
                      <w:kern w:val="0"/>
                      <w:sz w:val="21"/>
                      <w:szCs w:val="21"/>
                      <w:highlight w:val="none"/>
                      <w:u w:val="none" w:color="auto"/>
                      <w:lang w:val="en-US" w:eastAsia="zh-CN"/>
                    </w:rPr>
                    <w:t>为：SiO</w:t>
                  </w:r>
                  <w:r>
                    <w:rPr>
                      <w:rFonts w:hint="default" w:ascii="Times New Roman" w:hAnsi="Times New Roman" w:eastAsia="宋体" w:cs="Times New Roman"/>
                      <w:color w:val="auto"/>
                      <w:kern w:val="0"/>
                      <w:sz w:val="21"/>
                      <w:szCs w:val="21"/>
                      <w:highlight w:val="none"/>
                      <w:u w:val="none" w:color="auto"/>
                      <w:vertAlign w:val="subscript"/>
                      <w:lang w:val="en-US" w:eastAsia="zh-CN"/>
                    </w:rPr>
                    <w:t>2</w:t>
                  </w:r>
                  <w:r>
                    <w:rPr>
                      <w:rFonts w:hint="default" w:ascii="Times New Roman" w:hAnsi="Times New Roman" w:eastAsia="宋体" w:cs="Times New Roman"/>
                      <w:color w:val="auto"/>
                      <w:kern w:val="0"/>
                      <w:sz w:val="21"/>
                      <w:szCs w:val="21"/>
                      <w:highlight w:val="none"/>
                      <w:u w:val="none" w:color="auto"/>
                      <w:lang w:val="en-US" w:eastAsia="zh-CN"/>
                    </w:rPr>
                    <w:t>65%、Al</w:t>
                  </w:r>
                  <w:r>
                    <w:rPr>
                      <w:rFonts w:hint="default" w:ascii="Times New Roman" w:hAnsi="Times New Roman" w:eastAsia="宋体" w:cs="Times New Roman"/>
                      <w:color w:val="auto"/>
                      <w:kern w:val="0"/>
                      <w:sz w:val="21"/>
                      <w:szCs w:val="21"/>
                      <w:highlight w:val="none"/>
                      <w:u w:val="none" w:color="auto"/>
                      <w:vertAlign w:val="subscript"/>
                      <w:lang w:val="en-US" w:eastAsia="zh-CN"/>
                    </w:rPr>
                    <w:t>2</w:t>
                  </w:r>
                  <w:r>
                    <w:rPr>
                      <w:rFonts w:hint="default" w:ascii="Times New Roman" w:hAnsi="Times New Roman" w:eastAsia="宋体" w:cs="Times New Roman"/>
                      <w:color w:val="auto"/>
                      <w:kern w:val="0"/>
                      <w:sz w:val="21"/>
                      <w:szCs w:val="21"/>
                      <w:highlight w:val="none"/>
                      <w:u w:val="none" w:color="auto"/>
                      <w:lang w:val="en-US" w:eastAsia="zh-CN"/>
                    </w:rPr>
                    <w:t>O</w:t>
                  </w:r>
                  <w:r>
                    <w:rPr>
                      <w:rFonts w:hint="default" w:ascii="Times New Roman" w:hAnsi="Times New Roman" w:eastAsia="宋体" w:cs="Times New Roman"/>
                      <w:color w:val="auto"/>
                      <w:kern w:val="0"/>
                      <w:sz w:val="21"/>
                      <w:szCs w:val="21"/>
                      <w:highlight w:val="none"/>
                      <w:u w:val="none" w:color="auto"/>
                      <w:vertAlign w:val="subscript"/>
                      <w:lang w:val="en-US" w:eastAsia="zh-CN"/>
                    </w:rPr>
                    <w:t>3</w:t>
                  </w:r>
                  <w:r>
                    <w:rPr>
                      <w:rFonts w:hint="default" w:ascii="Times New Roman" w:hAnsi="Times New Roman" w:eastAsia="宋体" w:cs="Times New Roman"/>
                      <w:color w:val="auto"/>
                      <w:kern w:val="0"/>
                      <w:sz w:val="21"/>
                      <w:szCs w:val="21"/>
                      <w:highlight w:val="none"/>
                      <w:u w:val="none" w:color="auto"/>
                      <w:lang w:val="en-US" w:eastAsia="zh-CN"/>
                    </w:rPr>
                    <w:t>11.2%、Fe</w:t>
                  </w:r>
                  <w:r>
                    <w:rPr>
                      <w:rFonts w:hint="default" w:ascii="Times New Roman" w:hAnsi="Times New Roman" w:eastAsia="宋体" w:cs="Times New Roman"/>
                      <w:color w:val="auto"/>
                      <w:kern w:val="0"/>
                      <w:sz w:val="21"/>
                      <w:szCs w:val="21"/>
                      <w:highlight w:val="none"/>
                      <w:u w:val="none" w:color="auto"/>
                      <w:vertAlign w:val="subscript"/>
                      <w:lang w:val="en-US" w:eastAsia="zh-CN"/>
                    </w:rPr>
                    <w:t>2</w:t>
                  </w:r>
                  <w:r>
                    <w:rPr>
                      <w:rFonts w:hint="default" w:ascii="Times New Roman" w:hAnsi="Times New Roman" w:eastAsia="宋体" w:cs="Times New Roman"/>
                      <w:color w:val="auto"/>
                      <w:kern w:val="0"/>
                      <w:sz w:val="21"/>
                      <w:szCs w:val="21"/>
                      <w:highlight w:val="none"/>
                      <w:u w:val="none" w:color="auto"/>
                      <w:lang w:val="en-US" w:eastAsia="zh-CN"/>
                    </w:rPr>
                    <w:t>O</w:t>
                  </w:r>
                  <w:r>
                    <w:rPr>
                      <w:rFonts w:hint="default" w:ascii="Times New Roman" w:hAnsi="Times New Roman" w:eastAsia="宋体" w:cs="Times New Roman"/>
                      <w:color w:val="auto"/>
                      <w:kern w:val="0"/>
                      <w:sz w:val="21"/>
                      <w:szCs w:val="21"/>
                      <w:highlight w:val="none"/>
                      <w:u w:val="none" w:color="auto"/>
                      <w:vertAlign w:val="subscript"/>
                      <w:lang w:val="en-US" w:eastAsia="zh-CN"/>
                    </w:rPr>
                    <w:t>3</w:t>
                  </w:r>
                  <w:r>
                    <w:rPr>
                      <w:rFonts w:hint="default" w:ascii="Times New Roman" w:hAnsi="Times New Roman" w:eastAsia="宋体" w:cs="Times New Roman"/>
                      <w:color w:val="auto"/>
                      <w:kern w:val="0"/>
                      <w:sz w:val="21"/>
                      <w:szCs w:val="21"/>
                      <w:highlight w:val="none"/>
                      <w:u w:val="none" w:color="auto"/>
                      <w:lang w:val="en-US" w:eastAsia="zh-CN"/>
                    </w:rPr>
                    <w:t>0.5%、CaO1.5%、MgO0.15%、Na</w:t>
                  </w:r>
                  <w:r>
                    <w:rPr>
                      <w:rFonts w:hint="default" w:ascii="Times New Roman" w:hAnsi="Times New Roman" w:eastAsia="宋体" w:cs="Times New Roman"/>
                      <w:color w:val="auto"/>
                      <w:kern w:val="0"/>
                      <w:sz w:val="21"/>
                      <w:szCs w:val="21"/>
                      <w:highlight w:val="none"/>
                      <w:u w:val="none" w:color="auto"/>
                      <w:vertAlign w:val="subscript"/>
                      <w:lang w:val="en-US" w:eastAsia="zh-CN"/>
                    </w:rPr>
                    <w:t>2</w:t>
                  </w:r>
                  <w:r>
                    <w:rPr>
                      <w:rFonts w:hint="default" w:ascii="Times New Roman" w:hAnsi="Times New Roman" w:eastAsia="宋体" w:cs="Times New Roman"/>
                      <w:color w:val="auto"/>
                      <w:kern w:val="0"/>
                      <w:sz w:val="21"/>
                      <w:szCs w:val="21"/>
                      <w:highlight w:val="none"/>
                      <w:u w:val="none" w:color="auto"/>
                      <w:lang w:val="en-US" w:eastAsia="zh-CN"/>
                    </w:rPr>
                    <w:t>O3.5%，余量为其他金属氧化物。</w:t>
                  </w:r>
                </w:p>
              </w:tc>
            </w:tr>
            <w:tr w14:paraId="46ECE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05D2F22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p>
              </w:tc>
              <w:tc>
                <w:tcPr>
                  <w:tcW w:w="633" w:type="pct"/>
                  <w:noWrap w:val="0"/>
                  <w:vAlign w:val="center"/>
                </w:tcPr>
                <w:p w14:paraId="077158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000000"/>
                      <w:sz w:val="21"/>
                      <w:szCs w:val="21"/>
                    </w:rPr>
                    <w:t>呋喃树脂</w:t>
                  </w:r>
                </w:p>
              </w:tc>
              <w:tc>
                <w:tcPr>
                  <w:tcW w:w="3921" w:type="pct"/>
                  <w:noWrap w:val="0"/>
                  <w:vAlign w:val="center"/>
                </w:tcPr>
                <w:p w14:paraId="3E61448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呋喃树脂是一类分子结构中含有呋喃环的合成树脂的统称，主要成分包括糠醇树脂、糠醛—丙酮树脂和糠醛一丙酮一甲醛树脂等。这些树脂因其分子结构中含有的呋喃环，而具有耐碱、耐酸、耐溶剂和耐热等优良性能。在高温状态下也不会释放有害气体，其次，呋喃树脂燃烧后可以重复利用，是一种环保材料。</w:t>
                  </w:r>
                </w:p>
                <w:p w14:paraId="59D5CB7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000000"/>
                      <w:sz w:val="21"/>
                      <w:szCs w:val="21"/>
                    </w:rPr>
                    <w:t>根据企业提供的呋喃树脂资料，本项目使用的呋喃树脂是一种琥珀色液体，稍有气味。混溶于水。密度为1.16×10</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kg/m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，常温常压下稳定。主要成分为：糠醇（C</w:t>
                  </w:r>
                  <w:r>
                    <w:rPr>
                      <w:rFonts w:hint="default" w:ascii="Times New Roman" w:hAnsi="Times New Roman" w:eastAsia="宋体" w:cs="Times New Roman"/>
                      <w:color w:val="000000"/>
                      <w:sz w:val="21"/>
                      <w:szCs w:val="21"/>
                      <w:vertAlign w:val="subscript"/>
                    </w:rPr>
                    <w:t>5</w:t>
                  </w:r>
                  <w:r>
                    <w:rPr>
                      <w:rFonts w:hint="default" w:ascii="Times New Roman" w:hAnsi="Times New Roman" w:eastAsia="宋体" w:cs="Times New Roman"/>
                      <w:color w:val="000000"/>
                      <w:sz w:val="21"/>
                      <w:szCs w:val="21"/>
                    </w:rPr>
                    <w:t>H</w:t>
                  </w:r>
                  <w:r>
                    <w:rPr>
                      <w:rFonts w:hint="default" w:ascii="Times New Roman" w:hAnsi="Times New Roman" w:eastAsia="宋体" w:cs="Times New Roman"/>
                      <w:color w:val="000000"/>
                      <w:sz w:val="21"/>
                      <w:szCs w:val="21"/>
                      <w:vertAlign w:val="subscript"/>
                    </w:rPr>
                    <w:t>6</w:t>
                  </w:r>
                  <w:r>
                    <w:rPr>
                      <w:rFonts w:hint="default" w:ascii="Times New Roman" w:hAnsi="Times New Roman" w:eastAsia="宋体" w:cs="Times New Roman"/>
                      <w:color w:val="000000"/>
                      <w:sz w:val="21"/>
                      <w:szCs w:val="21"/>
                    </w:rPr>
                    <w:t>O</w:t>
                  </w:r>
                  <w:r>
                    <w:rPr>
                      <w:rFonts w:hint="default" w:ascii="Times New Roman" w:hAnsi="Times New Roman" w:eastAsia="宋体" w:cs="Times New Roman"/>
                      <w:color w:val="000000"/>
                      <w:sz w:val="21"/>
                      <w:szCs w:val="21"/>
                      <w:vertAlign w:val="subscript"/>
                    </w:rPr>
                    <w:t>2</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val="en-US" w:eastAsia="zh-CN"/>
                    </w:rPr>
                    <w:t>50~80</w:t>
                  </w:r>
                  <w:r>
                    <w:rPr>
                      <w:rFonts w:hint="default" w:ascii="Times New Roman" w:hAnsi="Times New Roman" w:eastAsia="宋体" w:cs="Times New Roman"/>
                      <w:color w:val="000000"/>
                      <w:sz w:val="21"/>
                      <w:szCs w:val="21"/>
                    </w:rPr>
                    <w:t>%、水（H</w:t>
                  </w:r>
                  <w:r>
                    <w:rPr>
                      <w:rFonts w:hint="default" w:ascii="Times New Roman" w:hAnsi="Times New Roman" w:eastAsia="宋体" w:cs="Times New Roman"/>
                      <w:color w:val="000000"/>
                      <w:sz w:val="21"/>
                      <w:szCs w:val="21"/>
                      <w:vertAlign w:val="subscript"/>
                    </w:rPr>
                    <w:t>2</w:t>
                  </w:r>
                  <w:r>
                    <w:rPr>
                      <w:rFonts w:hint="default" w:ascii="Times New Roman" w:hAnsi="Times New Roman" w:eastAsia="宋体" w:cs="Times New Roman"/>
                      <w:color w:val="000000"/>
                      <w:sz w:val="21"/>
                      <w:szCs w:val="21"/>
                    </w:rPr>
                    <w:t>O）</w:t>
                  </w:r>
                  <w:r>
                    <w:rPr>
                      <w:rFonts w:hint="default" w:ascii="Times New Roman" w:hAnsi="Times New Roman" w:eastAsia="宋体" w:cs="Times New Roman"/>
                      <w:color w:val="000000"/>
                      <w:sz w:val="21"/>
                      <w:szCs w:val="21"/>
                      <w:lang w:val="en-US" w:eastAsia="zh-CN"/>
                    </w:rPr>
                    <w:t>15</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val="en-US" w:eastAsia="zh-CN"/>
                    </w:rPr>
                    <w:t>根据建设单位提供的资料，本项目使用的呋喃树脂</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为一级铸造用自硬呋喃树脂，对照《铸造用自硬呋喃树脂》（JB/T7526-2008）表3中游离甲醛≤0.1%为一级，因此，本项目游离甲醛含量≤0.1%，</w:t>
                  </w:r>
                </w:p>
              </w:tc>
            </w:tr>
            <w:tr w14:paraId="4166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0441024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w:t>
                  </w:r>
                </w:p>
              </w:tc>
              <w:tc>
                <w:tcPr>
                  <w:tcW w:w="633" w:type="pct"/>
                  <w:noWrap w:val="0"/>
                  <w:vAlign w:val="center"/>
                </w:tcPr>
                <w:p w14:paraId="36C147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000000"/>
                      <w:sz w:val="21"/>
                      <w:szCs w:val="21"/>
                    </w:rPr>
                    <w:t>固化剂</w:t>
                  </w:r>
                </w:p>
              </w:tc>
              <w:tc>
                <w:tcPr>
                  <w:tcW w:w="3921" w:type="pct"/>
                  <w:noWrap w:val="0"/>
                  <w:vAlign w:val="center"/>
                </w:tcPr>
                <w:p w14:paraId="6622DAD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000000"/>
                      <w:sz w:val="21"/>
                      <w:szCs w:val="21"/>
                    </w:rPr>
                    <w:t>根据企业提供的固化剂资料，本项目使用的固化剂是一种棕色或无色液体，密度为0.9~1.5×10</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kg/m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，主要成分2，4-二甲苯磺酸（二甲基苯磺酸）及水，用于呋喃树脂固化。</w:t>
                  </w:r>
                </w:p>
              </w:tc>
            </w:tr>
            <w:tr w14:paraId="78ED1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1FFC5DC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w:t>
                  </w:r>
                </w:p>
              </w:tc>
              <w:tc>
                <w:tcPr>
                  <w:tcW w:w="633" w:type="pct"/>
                  <w:noWrap w:val="0"/>
                  <w:vAlign w:val="center"/>
                </w:tcPr>
                <w:p w14:paraId="6D0572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醇基涂料</w:t>
                  </w:r>
                </w:p>
              </w:tc>
              <w:tc>
                <w:tcPr>
                  <w:tcW w:w="3921" w:type="pct"/>
                  <w:noWrap w:val="0"/>
                  <w:vAlign w:val="center"/>
                </w:tcPr>
                <w:p w14:paraId="61E3E6E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醇基涂料是由各种耐火材料、粘结剂、悬浮剂和触变剂等混制成的膏状物或粉状物，再用乙醇、异丙醇等有机剂稀释而成具有一定密度、粘度、悬浮性的涂料。项目所使用的醇基涂料主要化学成份</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为高铝粉60%、羧甲基纤维素1%、钙基膨润土3%、白乳胶1.5%、硅溶胶4%、乙醇30.5%。</w:t>
                  </w:r>
                </w:p>
              </w:tc>
            </w:tr>
            <w:tr w14:paraId="7D2EC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64A1721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w:t>
                  </w:r>
                </w:p>
              </w:tc>
              <w:tc>
                <w:tcPr>
                  <w:tcW w:w="633" w:type="pct"/>
                  <w:noWrap w:val="0"/>
                  <w:vAlign w:val="center"/>
                </w:tcPr>
                <w:p w14:paraId="26B3F4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脱模剂</w:t>
                  </w:r>
                </w:p>
              </w:tc>
              <w:tc>
                <w:tcPr>
                  <w:tcW w:w="3921" w:type="pct"/>
                  <w:noWrap w:val="0"/>
                  <w:vAlign w:val="center"/>
                </w:tcPr>
                <w:p w14:paraId="62C47AC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脱模剂具有耐热及应力性能，不易分解或磨损；脱模剂粘合到模具上而不转移到被加工的制件上。化学性能稳定，不与成型产品发生化学反应。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根据企业提供的脱模剂资料，</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本项目使用脱模剂主要成分为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改性硅油15%、有机脂肪酯类1-5%、乳化剂8-11%、氧化聚乙烯蜡5%、水65%、其他有效成分5%</w:t>
                  </w:r>
                  <w:r>
                    <w:rPr>
                      <w:rFonts w:hint="default" w:ascii="Times New Roman" w:hAnsi="Times New Roman" w:eastAsia="宋体" w:cs="Times New Roman"/>
                      <w:color w:val="000000" w:themeColor="text1"/>
                      <w:sz w:val="21"/>
                      <w:szCs w:val="21"/>
                      <w:highlight w:val="none"/>
                      <w14:textFill>
                        <w14:solidFill>
                          <w14:schemeClr w14:val="tx1"/>
                        </w14:solidFill>
                      </w14:textFill>
                    </w:rPr>
                    <w:t>。脱模剂具有冷却效果好、不产生堆积、铸件表面质量好、有助于减少内部气孔率以及使用简单安全、环保无污染等优点。</w:t>
                  </w:r>
                </w:p>
              </w:tc>
            </w:tr>
            <w:tr w14:paraId="78EB5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5" w:type="pct"/>
                  <w:noWrap w:val="0"/>
                  <w:vAlign w:val="center"/>
                </w:tcPr>
                <w:p w14:paraId="1AF5823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6</w:t>
                  </w:r>
                </w:p>
              </w:tc>
              <w:tc>
                <w:tcPr>
                  <w:tcW w:w="633" w:type="pct"/>
                  <w:noWrap w:val="0"/>
                  <w:vAlign w:val="center"/>
                </w:tcPr>
                <w:p w14:paraId="7EB023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w:t>
                  </w:r>
                </w:p>
              </w:tc>
              <w:tc>
                <w:tcPr>
                  <w:tcW w:w="3921" w:type="pct"/>
                  <w:noWrap w:val="0"/>
                  <w:vAlign w:val="center"/>
                </w:tcPr>
                <w:p w14:paraId="2AFCCFA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铸造用废钢均为散装，根据建设单位介绍，废料来源为具有合法手续的其他企业冲压件边角料，主要成分为碳钢，不含有机涂层、塑料杂质等，原料进场前进行人工检验，不合格原料不得进入厂区，符合《废钢铁》（GB4223-2017）要求的，暂存于原料库。</w:t>
                  </w:r>
                </w:p>
                <w:p w14:paraId="05445B3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黑体" w:cs="Times New Roman"/>
                      <w:color w:val="000000" w:themeColor="text1"/>
                      <w:sz w:val="21"/>
                      <w:szCs w:val="21"/>
                      <w:highlight w:val="none"/>
                      <w:lang w:val="en-US" w:eastAsia="zh-CN"/>
                      <w14:textFill>
                        <w14:solidFill>
                          <w14:schemeClr w14:val="tx1"/>
                        </w14:solidFill>
                      </w14:textFill>
                    </w:rPr>
                    <w:t>原料进厂限制要求：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根据《废钢铁》（GB4223-2017）要求：</w:t>
                  </w:r>
                </w:p>
                <w:p w14:paraId="59467F5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成分的一般要求：碳含量一般小于2.0%，硫含量、磷含量一般不大于0.050%。非合金废钢中残余元素应符合以下要求：镍不大于0.30%，铬不大于0.30%、铜不大于0.30%。除锰、硅以外，其他残余元素含量总和不大于0.60%。</w:t>
                  </w:r>
                </w:p>
                <w:p w14:paraId="6FBE05E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废钢铁应分类。</w:t>
                  </w:r>
                </w:p>
                <w:p w14:paraId="3871EC6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废钢表面无严重及剥落状锈蚀。</w:t>
                  </w:r>
                </w:p>
                <w:p w14:paraId="4BDED34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废钢铁内不应混有铁合金；非合金废钢，低合金废钢不应混有合金废钢和废铁；合金废钢内不应混有非合金废钢、低合金废钢和废铁。废铁内不应混有废钢。</w:t>
                  </w:r>
                </w:p>
                <w:p w14:paraId="33B8107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废钢铁表面和器件、打包件内部不应存在泥块、水泥、粘砂、油脂、耐火材料、炉渣、矿渣以及珐琅等，打包块不应包芯、掺杂等。</w:t>
                  </w:r>
                </w:p>
                <w:p w14:paraId="12CB3E2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废钢铁中不应混有炸弹、炮弹等爆炸性武器弹药及其他易燃易爆物品，不应混有两端封闭的管状物、封闭器皿等物品。不应混有胶和塑料制品。</w:t>
                  </w:r>
                </w:p>
                <w:p w14:paraId="2211743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废钢铁中不应有成套的机器设备及结构件（如有，则应拆解且压碎或压扁成不可复原状）。各种形状的容器（罐简等）应全部从轴向割开。机械部件容器（发动机、齿轮箱等）应清除易燃品和润滑剂的残余物。</w:t>
                  </w:r>
                </w:p>
                <w:p w14:paraId="0121E4B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废钢铁中不应混有其浸出液中有害物质浓度超过GB5085.3中鉴别标准值的有害废物。</w:t>
                  </w:r>
                </w:p>
                <w:p w14:paraId="36BF74D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废钢铁中不应混有其浸出液中超过GB5085.1中鉴别标准值即pH值不小于12.5或不大于2.0的夹杂物。</w:t>
                  </w:r>
                </w:p>
                <w:p w14:paraId="0BF4AB5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废钢铁中不应混有多氯联苯含量超过GB13015控制标准值的有害物。</w:t>
                  </w:r>
                </w:p>
                <w:p w14:paraId="79516BF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钢铁中曾经盛装液体和半固体化学物质的容器、管道及其碎片等，应经过技术处理、清洗干净。进口废钢铁应向检验机构申报容器、管道及其碎片曾经盛装或输送过的化学物质的主要成分。</w:t>
                  </w:r>
                </w:p>
                <w:p w14:paraId="6CE8487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混有下列有害物：医药废物、废药品、医疗临床废物；农药和除草剂废物、含木材防腐剂废物；废乳化剂、有机溶剂废物；精(蒸)馏残渣、焚烧处残渣；感光材料废物；铍、六价铬、砷、硒、镉、锑、碲、汞、铊、铅及其化合物的废物，含氟、氰、酚化合物的废物；石棉废物；厨房废物、卫生间废物等。</w:t>
                  </w:r>
                </w:p>
                <w:p w14:paraId="6FCFC09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废钢铁中不应夹杂放射性废物。具体要求按GB16487.6执行。</w:t>
                  </w:r>
                </w:p>
              </w:tc>
            </w:tr>
          </w:tbl>
          <w:p w14:paraId="534E6815">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lang w:val="en-US" w:eastAsia="zh-CN"/>
              </w:rPr>
              <w:t>6</w:t>
            </w:r>
            <w:r>
              <w:rPr>
                <w:rFonts w:hint="default" w:ascii="Times New Roman" w:hAnsi="Times New Roman" w:eastAsia="黑体" w:cs="Times New Roman"/>
                <w:b w:val="0"/>
                <w:bCs/>
              </w:rPr>
              <w:t>、劳动定员及工作制度</w:t>
            </w:r>
          </w:p>
          <w:p w14:paraId="655D5DDE">
            <w:pPr>
              <w:widowControl/>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劳动定员：项目职工人数为</w:t>
            </w:r>
            <w:r>
              <w:rPr>
                <w:rFonts w:hint="eastAsia"/>
                <w:color w:val="000000" w:themeColor="text1"/>
                <w:kern w:val="0"/>
                <w:lang w:val="en-US" w:eastAsia="zh-CN"/>
                <w14:textFill>
                  <w14:solidFill>
                    <w14:schemeClr w14:val="tx1"/>
                  </w14:solidFill>
                </w14:textFill>
              </w:rPr>
              <w:t>15</w:t>
            </w:r>
            <w:r>
              <w:rPr>
                <w:color w:val="000000" w:themeColor="text1"/>
                <w:kern w:val="0"/>
                <w14:textFill>
                  <w14:solidFill>
                    <w14:schemeClr w14:val="tx1"/>
                  </w14:solidFill>
                </w14:textFill>
              </w:rPr>
              <w:t>人；不提供员工宿舍及食堂。</w:t>
            </w:r>
          </w:p>
          <w:p w14:paraId="4AEAE2AF">
            <w:pPr>
              <w:widowControl/>
              <w:ind w:firstLine="480"/>
              <w:rPr>
                <w:rFonts w:hint="default"/>
                <w:lang w:val="en-US"/>
              </w:rPr>
            </w:pPr>
            <w:r>
              <w:rPr>
                <w:color w:val="000000" w:themeColor="text1"/>
                <w:kern w:val="0"/>
                <w14:textFill>
                  <w14:solidFill>
                    <w14:schemeClr w14:val="tx1"/>
                  </w14:solidFill>
                </w14:textFill>
              </w:rPr>
              <w:t>工作制度：年</w:t>
            </w:r>
            <w:r>
              <w:rPr>
                <w:color w:val="000000" w:themeColor="text1"/>
                <w:kern w:val="0"/>
                <w:szCs w:val="20"/>
                <w14:textFill>
                  <w14:solidFill>
                    <w14:schemeClr w14:val="tx1"/>
                  </w14:solidFill>
                </w14:textFill>
              </w:rPr>
              <w:t>工作日</w:t>
            </w:r>
            <w:r>
              <w:rPr>
                <w:rFonts w:hint="eastAsia"/>
                <w:color w:val="000000" w:themeColor="text1"/>
                <w:kern w:val="0"/>
                <w:szCs w:val="20"/>
                <w:lang w:val="en-US" w:eastAsia="zh-CN"/>
                <w14:textFill>
                  <w14:solidFill>
                    <w14:schemeClr w14:val="tx1"/>
                  </w14:solidFill>
                </w14:textFill>
              </w:rPr>
              <w:t>330</w:t>
            </w:r>
            <w:r>
              <w:rPr>
                <w:color w:val="000000" w:themeColor="text1"/>
                <w:kern w:val="0"/>
                <w:szCs w:val="20"/>
                <w14:textFill>
                  <w14:solidFill>
                    <w14:schemeClr w14:val="tx1"/>
                  </w14:solidFill>
                </w14:textFill>
              </w:rPr>
              <w:t>天，实行</w:t>
            </w:r>
            <w:r>
              <w:rPr>
                <w:rFonts w:hint="eastAsia"/>
                <w:color w:val="000000" w:themeColor="text1"/>
                <w:kern w:val="0"/>
                <w:szCs w:val="20"/>
                <w:lang w:val="en-US" w:eastAsia="zh-CN"/>
                <w14:textFill>
                  <w14:solidFill>
                    <w14:schemeClr w14:val="tx1"/>
                  </w14:solidFill>
                </w14:textFill>
              </w:rPr>
              <w:t>两</w:t>
            </w:r>
            <w:r>
              <w:rPr>
                <w:color w:val="000000" w:themeColor="text1"/>
                <w:kern w:val="0"/>
                <w:szCs w:val="20"/>
                <w14:textFill>
                  <w14:solidFill>
                    <w14:schemeClr w14:val="tx1"/>
                  </w14:solidFill>
                </w14:textFill>
              </w:rPr>
              <w:t>班制，</w:t>
            </w:r>
            <w:r>
              <w:rPr>
                <w:color w:val="000000" w:themeColor="text1"/>
                <w14:textFill>
                  <w14:solidFill>
                    <w14:schemeClr w14:val="tx1"/>
                  </w14:solidFill>
                </w14:textFill>
              </w:rPr>
              <w:t>每班</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小时</w:t>
            </w:r>
            <w:r>
              <w:rPr>
                <w:color w:val="000000" w:themeColor="text1"/>
                <w:kern w:val="0"/>
                <w:szCs w:val="20"/>
                <w14:textFill>
                  <w14:solidFill>
                    <w14:schemeClr w14:val="tx1"/>
                  </w14:solidFill>
                </w14:textFill>
              </w:rPr>
              <w:t>。</w:t>
            </w:r>
          </w:p>
          <w:p w14:paraId="48D35DED">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lang w:val="en-US" w:eastAsia="zh-CN"/>
              </w:rPr>
              <w:t>7</w:t>
            </w:r>
            <w:r>
              <w:rPr>
                <w:rFonts w:hint="default" w:ascii="Times New Roman" w:hAnsi="Times New Roman" w:eastAsia="黑体" w:cs="Times New Roman"/>
                <w:b w:val="0"/>
                <w:bCs/>
              </w:rPr>
              <w:t>、厂区平面布置合理性分析</w:t>
            </w:r>
          </w:p>
          <w:p w14:paraId="0D181841">
            <w:pPr>
              <w:spacing w:line="360" w:lineRule="auto"/>
              <w:ind w:firstLine="480" w:firstLineChars="200"/>
              <w:rPr>
                <w:sz w:val="24"/>
              </w:rPr>
            </w:pPr>
            <w:r>
              <w:rPr>
                <w:sz w:val="24"/>
              </w:rPr>
              <w:t>本项目位于</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r>
              <w:rPr>
                <w:sz w:val="24"/>
              </w:rPr>
              <w:t>，项目布局紧凑，节约资源，可以满足产品生产工艺需求。总之，项目平面基本根据生产工艺需要进行布置，厂房内各区功能较为明确，从环保角度分析，本项目的平面布置是合理的。项目厂区平面布置见附图。</w:t>
            </w:r>
          </w:p>
          <w:p w14:paraId="64311A9A">
            <w:pPr>
              <w:spacing w:line="360" w:lineRule="auto"/>
              <w:ind w:firstLine="480" w:firstLineChars="200"/>
              <w:rPr>
                <w:sz w:val="24"/>
              </w:rPr>
            </w:pPr>
          </w:p>
          <w:p w14:paraId="783A64FE">
            <w:pPr>
              <w:spacing w:line="360" w:lineRule="auto"/>
              <w:ind w:firstLine="480" w:firstLineChars="200"/>
              <w:rPr>
                <w:sz w:val="24"/>
              </w:rPr>
            </w:pPr>
          </w:p>
          <w:p w14:paraId="37107AC0">
            <w:pPr>
              <w:spacing w:line="360" w:lineRule="auto"/>
              <w:ind w:firstLine="480" w:firstLineChars="200"/>
              <w:rPr>
                <w:sz w:val="24"/>
              </w:rPr>
            </w:pPr>
          </w:p>
          <w:p w14:paraId="533BC4E5">
            <w:pPr>
              <w:spacing w:line="360" w:lineRule="auto"/>
              <w:ind w:firstLine="480" w:firstLineChars="200"/>
              <w:rPr>
                <w:rFonts w:hint="eastAsia"/>
                <w:sz w:val="24"/>
                <w:lang w:val="en-US" w:eastAsia="zh-CN"/>
              </w:rPr>
            </w:pPr>
          </w:p>
        </w:tc>
      </w:tr>
    </w:tbl>
    <w:p w14:paraId="60095CCF">
      <w:pPr>
        <w:ind w:left="0" w:leftChars="0" w:firstLine="0" w:firstLineChars="0"/>
        <w:sectPr>
          <w:pgSz w:w="11906" w:h="16838"/>
          <w:pgMar w:top="1440" w:right="1440" w:bottom="1440" w:left="1440" w:header="851" w:footer="992" w:gutter="0"/>
          <w:cols w:space="0" w:num="1"/>
          <w:rtlGutter w:val="0"/>
          <w:docGrid w:type="lines" w:linePitch="312" w:charSpace="0"/>
        </w:sect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452"/>
        <w:gridCol w:w="8790"/>
      </w:tblGrid>
      <w:tr w14:paraId="02FEC00C">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6" w:type="pct"/>
            <w:vAlign w:val="center"/>
          </w:tcPr>
          <w:p w14:paraId="7B69EE56">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val="0"/>
                <w:color w:val="000000" w:themeColor="text1"/>
                <w:sz w:val="24"/>
                <w:szCs w:val="24"/>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工艺流程和产排污环节</w:t>
            </w:r>
          </w:p>
        </w:tc>
        <w:tc>
          <w:tcPr>
            <w:tcW w:w="4753" w:type="pct"/>
          </w:tcPr>
          <w:p w14:paraId="20F95F08">
            <w:pPr>
              <w:pStyle w:val="4"/>
              <w:rPr>
                <w:rFonts w:hint="default" w:ascii="Times New Roman" w:hAnsi="Times New Roman" w:eastAsia="黑体" w:cs="Times New Roman"/>
                <w:b w:val="0"/>
                <w:bCs/>
                <w:lang w:val="en-US" w:eastAsia="zh-CN"/>
              </w:rPr>
            </w:pPr>
            <w:bookmarkStart w:id="16" w:name="_Toc15337"/>
            <w:r>
              <w:rPr>
                <w:rFonts w:hint="default" w:ascii="Times New Roman" w:hAnsi="Times New Roman" w:eastAsia="黑体" w:cs="Times New Roman"/>
                <w:b w:val="0"/>
                <w:bCs/>
                <w:lang w:val="en-US" w:eastAsia="zh-CN"/>
              </w:rPr>
              <w:t>1、生产工艺流程</w:t>
            </w:r>
            <w:bookmarkEnd w:id="16"/>
          </w:p>
          <w:p w14:paraId="1CFF1D2E">
            <w:pPr>
              <w:bidi w:val="0"/>
              <w:rPr>
                <w:rFonts w:hint="eastAsia"/>
                <w:lang w:val="en-US" w:eastAsia="zh-CN"/>
              </w:rPr>
            </w:pPr>
            <w:r>
              <w:rPr>
                <w:rFonts w:hint="eastAsia"/>
                <w:lang w:val="en-US" w:eastAsia="zh-CN"/>
              </w:rPr>
              <w:t>本项目运营期主要生产工艺流程及产污环节如下：</w:t>
            </w:r>
          </w:p>
          <w:tbl>
            <w:tblPr>
              <w:tblStyle w:val="29"/>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69"/>
            </w:tblGrid>
            <w:tr w14:paraId="4CF2C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70" w:type="dxa"/>
                  <w:vAlign w:val="center"/>
                </w:tcPr>
                <w:p w14:paraId="486D0F8B">
                  <w:pPr>
                    <w:pStyle w:val="4"/>
                    <w:jc w:val="center"/>
                    <w:rPr>
                      <w:rFonts w:hint="eastAsia"/>
                      <w:vertAlign w:val="baseline"/>
                      <w:lang w:val="en-US" w:eastAsia="zh-CN"/>
                    </w:rPr>
                  </w:pPr>
                  <w:bookmarkStart w:id="17" w:name="_Toc23584"/>
                  <w:r>
                    <w:drawing>
                      <wp:inline distT="0" distB="0" distL="114300" distR="114300">
                        <wp:extent cx="5353685" cy="4444365"/>
                        <wp:effectExtent l="0" t="0" r="18415" b="13335"/>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16"/>
                                <a:stretch>
                                  <a:fillRect/>
                                </a:stretch>
                              </pic:blipFill>
                              <pic:spPr>
                                <a:xfrm>
                                  <a:off x="0" y="0"/>
                                  <a:ext cx="5353685" cy="4444365"/>
                                </a:xfrm>
                                <a:prstGeom prst="rect">
                                  <a:avLst/>
                                </a:prstGeom>
                                <a:noFill/>
                                <a:ln>
                                  <a:noFill/>
                                </a:ln>
                              </pic:spPr>
                            </pic:pic>
                          </a:graphicData>
                        </a:graphic>
                      </wp:inline>
                    </w:drawing>
                  </w:r>
                  <w:bookmarkEnd w:id="17"/>
                </w:p>
              </w:tc>
            </w:tr>
            <w:tr w14:paraId="3E774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70" w:type="dxa"/>
                  <w:vAlign w:val="center"/>
                </w:tcPr>
                <w:p w14:paraId="03D232DE">
                  <w:pPr>
                    <w:pStyle w:val="4"/>
                    <w:jc w:val="center"/>
                    <w:rPr>
                      <w:rFonts w:hint="eastAsia"/>
                      <w:vertAlign w:val="baseline"/>
                      <w:lang w:val="en-US" w:eastAsia="zh-CN"/>
                    </w:rPr>
                  </w:pPr>
                  <w:bookmarkStart w:id="18" w:name="_Toc15752"/>
                  <w:r>
                    <w:rPr>
                      <w:rFonts w:hint="default" w:ascii="Times New Roman" w:hAnsi="Times New Roman" w:eastAsia="黑体" w:cs="Times New Roman"/>
                      <w:b w:val="0"/>
                      <w:bCs/>
                      <w:vertAlign w:val="baseline"/>
                      <w:lang w:val="en-US" w:eastAsia="zh-CN"/>
                    </w:rPr>
                    <w:t>图2-</w:t>
                  </w:r>
                  <w:r>
                    <w:rPr>
                      <w:rFonts w:hint="eastAsia" w:ascii="Times New Roman" w:hAnsi="Times New Roman" w:eastAsia="黑体" w:cs="Times New Roman"/>
                      <w:b w:val="0"/>
                      <w:bCs/>
                      <w:vertAlign w:val="baseline"/>
                      <w:lang w:val="en-US" w:eastAsia="zh-CN"/>
                    </w:rPr>
                    <w:t xml:space="preserve">1  </w:t>
                  </w:r>
                  <w:r>
                    <w:rPr>
                      <w:rFonts w:hint="default" w:ascii="Times New Roman" w:hAnsi="Times New Roman" w:eastAsia="黑体" w:cs="Times New Roman"/>
                      <w:b w:val="0"/>
                      <w:bCs/>
                      <w:vertAlign w:val="baseline"/>
                      <w:lang w:val="en-US" w:eastAsia="zh-CN"/>
                    </w:rPr>
                    <w:t>生产工艺流程及产污节点图</w:t>
                  </w:r>
                  <w:bookmarkEnd w:id="18"/>
                </w:p>
              </w:tc>
            </w:tr>
          </w:tbl>
          <w:p w14:paraId="72F3CC29">
            <w:pPr>
              <w:bidi w:val="0"/>
              <w:rPr>
                <w:rFonts w:hint="default" w:ascii="Times New Roman" w:hAnsi="Times New Roman" w:eastAsia="黑体" w:cs="Times New Roman"/>
              </w:rPr>
            </w:pPr>
            <w:r>
              <w:rPr>
                <w:rFonts w:hint="default" w:ascii="Times New Roman" w:hAnsi="Times New Roman" w:eastAsia="黑体" w:cs="Times New Roman"/>
              </w:rPr>
              <w:t>工艺流程简述：</w:t>
            </w:r>
          </w:p>
          <w:p w14:paraId="70B64A0F">
            <w:pPr>
              <w:bidi w:val="0"/>
              <w:rPr>
                <w:rFonts w:hint="eastAsia"/>
                <w:lang w:val="en-US" w:eastAsia="zh-CN"/>
              </w:rPr>
            </w:pPr>
            <w:r>
              <w:rPr>
                <w:rFonts w:hint="eastAsia"/>
                <w:lang w:val="en-US" w:eastAsia="zh-CN"/>
              </w:rPr>
              <w:t>1、砂模制造</w:t>
            </w:r>
          </w:p>
          <w:p w14:paraId="5A7B09F7">
            <w:pPr>
              <w:bidi w:val="0"/>
              <w:rPr>
                <w:rFonts w:hint="eastAsia"/>
                <w:lang w:val="en-US" w:eastAsia="zh-CN"/>
              </w:rPr>
            </w:pPr>
            <w:r>
              <w:rPr>
                <w:rFonts w:hint="eastAsia"/>
                <w:lang w:val="en-US" w:eastAsia="zh-CN"/>
              </w:rPr>
              <w:t>（1）混砂：本项目外购呋喃树脂、固化剂及石英砂等物料均采用汽运进入厂区原料库堆存，呋喃树脂、固化剂密闭桶装，石英砂袋装，装卸过程中无粉尘产生，装卸后均储存于半密闭原料仓库内，呋喃树脂、固化剂在非取用状态时保持密闭。因原料仓库与生产车间距离较短，原料取用采用人工搬运即可。将呋喃树脂、固化剂、石英砂（包括旧砂再生以及新石英砂）按照配比（树脂占树脂砂比例为1%，固化剂占树脂的50%）进行混合。呋喃树脂、固化剂均存放于密闭吨桶内，原料均采用密闭管道输送至入料漏斗和液体注料管。后进入混砂机的内部，密闭混砂机可以自由转动，然后通过螺旋混砂叶片混合搅拌。最终混合物通过出料口送出，流入砂箱。此工序产生混砂粉尘、废包装材料、废包装桶、噪声。</w:t>
            </w:r>
          </w:p>
          <w:p w14:paraId="0A2C86D1">
            <w:pPr>
              <w:bidi w:val="0"/>
              <w:rPr>
                <w:rFonts w:hint="eastAsia"/>
                <w:lang w:val="en-US" w:eastAsia="zh-CN"/>
              </w:rPr>
            </w:pPr>
            <w:r>
              <w:rPr>
                <w:rFonts w:hint="eastAsia"/>
                <w:lang w:val="en-US" w:eastAsia="zh-CN"/>
              </w:rPr>
              <w:t>（2）造型：将树脂砂倒入砂箱中，按工艺要求分层填加型砂，振实一段时间（一般30~60秒），增加型砂的堆积密度并使型砂充满模型的各个部位后，刮平箱口，待型砂硬化以维持浇注过程中型砂不崩溃。呋喃树脂固化原理：呋喃树脂固化为自硬原理。呋喃树脂是以糠醇等原料在一定条件下合成的，稳定的呋喃环在室温下可与酸性固化剂产生缩合反应，形成体型结构固化。其优点为硬化速度快，生产效率高，砂芯表面光洁、尺寸精确。此工序产生造型废气、噪声。</w:t>
            </w:r>
          </w:p>
          <w:p w14:paraId="2975F11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树脂砂造型在常温下进行，在300℃以内呋喃树脂本身基本上不发生分解，根据建设单位提供的资料，本项目使用的呋喃树脂为一级铸造用自硬呋喃树脂，对照《铸造用自硬呋喃树脂》（JB/T7526-2008）表3中游离甲醛≤0.1%为一级，因此，本项目游离甲醛含量≤0.1%，该工序产生的挥发性有机物及甲醛量较小，混砂、造型工序不定量分析，在浇注工序考虑挥发性有机物及甲醛废气全部挥发。</w:t>
            </w:r>
          </w:p>
          <w:p w14:paraId="4C966F31">
            <w:pPr>
              <w:bidi w:val="0"/>
              <w:rPr>
                <w:rFonts w:hint="eastAsia"/>
                <w:lang w:val="en-US" w:eastAsia="zh-CN"/>
              </w:rPr>
            </w:pPr>
            <w:r>
              <w:rPr>
                <w:rFonts w:hint="eastAsia"/>
                <w:lang w:val="en-US" w:eastAsia="zh-CN"/>
              </w:rPr>
              <w:t>2、熔炼浇注</w:t>
            </w:r>
          </w:p>
          <w:p w14:paraId="39B6AE06">
            <w:pPr>
              <w:bidi w:val="0"/>
              <w:rPr>
                <w:rFonts w:hint="eastAsia"/>
                <w:lang w:val="en-US" w:eastAsia="zh-CN"/>
              </w:rPr>
            </w:pPr>
            <w:r>
              <w:rPr>
                <w:rFonts w:hint="eastAsia"/>
                <w:lang w:val="en-US" w:eastAsia="zh-CN"/>
              </w:rPr>
              <w:t>（1）熔炼：采用中频炉（采用炉盖一体化自动设备，增强集气效率）将生铁、废钢及除渣剂熔化成具有特定物理性能及化学性能的液态，中频炉配有检验设备，对其进行化学成分分析，把控铸件质量。该工段能源采用电能，加热温度约为1600℃。中频炉工作过程中，需用冷却水进行循环控制温度，在工作结束后也需要用冷却水冷却中频炉。该工序将产生熔炼废气（颗粒物）、炉渣及噪声。</w:t>
            </w:r>
          </w:p>
          <w:p w14:paraId="3749BB16">
            <w:pPr>
              <w:bidi w:val="0"/>
              <w:rPr>
                <w:rFonts w:hint="eastAsia"/>
                <w:lang w:val="en-US" w:eastAsia="zh-CN"/>
              </w:rPr>
            </w:pPr>
            <w:r>
              <w:rPr>
                <w:rFonts w:hint="eastAsia"/>
                <w:lang w:val="en-US" w:eastAsia="zh-CN"/>
              </w:rPr>
              <w:t>（2）浇注：将熔化的铁水用钢水包运至树脂砂浇注区，通过长柄小铁水包将铁水按工艺要求人工注入砂模中，在高温铁水与砂模接触时，会产生烟尘，同时树脂砂受热后会产生颗粒物、非甲烷总烃、甲醛。此工序产生浇注废气、噪声。</w:t>
            </w:r>
          </w:p>
          <w:p w14:paraId="02EC47EA">
            <w:pPr>
              <w:bidi w:val="0"/>
              <w:rPr>
                <w:rFonts w:hint="eastAsia"/>
                <w:lang w:val="en-US" w:eastAsia="zh-CN"/>
              </w:rPr>
            </w:pPr>
            <w:r>
              <w:rPr>
                <w:rFonts w:hint="eastAsia"/>
                <w:lang w:val="en-US" w:eastAsia="zh-CN"/>
              </w:rPr>
              <w:t>（3）冷却：进行自然冷却。</w:t>
            </w:r>
          </w:p>
          <w:p w14:paraId="1C9DA065">
            <w:pPr>
              <w:bidi w:val="0"/>
              <w:rPr>
                <w:rFonts w:hint="eastAsia"/>
                <w:lang w:val="en-US" w:eastAsia="zh-CN"/>
              </w:rPr>
            </w:pPr>
            <w:r>
              <w:rPr>
                <w:rFonts w:hint="eastAsia"/>
                <w:lang w:val="en-US" w:eastAsia="zh-CN"/>
              </w:rPr>
              <w:t>3、出箱落砂</w:t>
            </w:r>
          </w:p>
          <w:p w14:paraId="16A7B751">
            <w:pPr>
              <w:bidi w:val="0"/>
              <w:rPr>
                <w:rFonts w:hint="eastAsia"/>
                <w:lang w:val="en-US" w:eastAsia="zh-CN"/>
              </w:rPr>
            </w:pPr>
            <w:r>
              <w:rPr>
                <w:rFonts w:hint="eastAsia"/>
                <w:lang w:val="en-US" w:eastAsia="zh-CN"/>
              </w:rPr>
              <w:t>待铸型内的铁水自然冷却凝固形成铸件后通过行车将砂箱吊到振动落砂机上，落砂机将铸件和砂子分离完成机械落砂，</w:t>
            </w:r>
            <w:r>
              <w:rPr>
                <w:rFonts w:hint="eastAsia"/>
                <w:highlight w:val="none"/>
                <w:lang w:val="en-US" w:eastAsia="zh-CN"/>
              </w:rPr>
              <w:t>落下的砂子进入落砂机下方的输送装置输送到砂库中实现旧砂缓冲贮存。</w:t>
            </w:r>
            <w:r>
              <w:rPr>
                <w:rFonts w:hint="eastAsia"/>
                <w:lang w:val="en-US" w:eastAsia="zh-CN"/>
              </w:rPr>
              <w:t>毛坯件进入工件清理工序，废砂则进入废砂再生处理线进行再生。此工序产生落砂废气、噪声。</w:t>
            </w:r>
          </w:p>
          <w:p w14:paraId="119FCADD">
            <w:pPr>
              <w:bidi w:val="0"/>
              <w:rPr>
                <w:rFonts w:hint="eastAsia"/>
                <w:lang w:val="en-US" w:eastAsia="zh-CN"/>
              </w:rPr>
            </w:pPr>
            <w:r>
              <w:rPr>
                <w:rFonts w:hint="eastAsia"/>
                <w:lang w:val="en-US" w:eastAsia="zh-CN"/>
              </w:rPr>
              <w:t>4、砂再生</w:t>
            </w:r>
          </w:p>
          <w:p w14:paraId="094ABCD6">
            <w:pPr>
              <w:bidi w:val="0"/>
              <w:rPr>
                <w:rFonts w:hint="default"/>
                <w:lang w:val="en-US" w:eastAsia="zh-CN"/>
              </w:rPr>
            </w:pPr>
            <w:r>
              <w:rPr>
                <w:rFonts w:hint="eastAsia"/>
                <w:lang w:val="en-US" w:eastAsia="zh-CN"/>
              </w:rPr>
              <w:t>（1）破碎</w:t>
            </w:r>
          </w:p>
          <w:p w14:paraId="255DB777">
            <w:pPr>
              <w:bidi w:val="0"/>
              <w:rPr>
                <w:rFonts w:hint="default"/>
                <w:lang w:val="en-US" w:eastAsia="zh-CN"/>
              </w:rPr>
            </w:pPr>
            <w:r>
              <w:rPr>
                <w:rFonts w:hint="eastAsia"/>
                <w:lang w:val="en-US" w:eastAsia="zh-CN"/>
              </w:rPr>
              <w:t>旧砂经密闭式输送带送入振动破碎机进料口，通过高频振动使砂料产生剧烈运动，结合锤头的冲击、筛板的挤压，实现结块树脂砂的破碎与砂粒表面粘结膜的初步剥离。此工序会产生</w:t>
            </w:r>
          </w:p>
          <w:p w14:paraId="20FB5C22">
            <w:pPr>
              <w:bidi w:val="0"/>
              <w:rPr>
                <w:rFonts w:hint="default"/>
                <w:lang w:val="en-US" w:eastAsia="zh-CN"/>
              </w:rPr>
            </w:pPr>
            <w:r>
              <w:rPr>
                <w:rFonts w:hint="eastAsia"/>
                <w:lang w:val="en-US" w:eastAsia="zh-CN"/>
              </w:rPr>
              <w:t>（2）磁选、再生</w:t>
            </w:r>
          </w:p>
          <w:p w14:paraId="48185505">
            <w:pPr>
              <w:bidi w:val="0"/>
              <w:rPr>
                <w:rFonts w:hint="default"/>
                <w:lang w:val="en-US" w:eastAsia="zh-CN"/>
              </w:rPr>
            </w:pPr>
            <w:r>
              <w:rPr>
                <w:rFonts w:hint="eastAsia"/>
                <w:lang w:val="en-US" w:eastAsia="zh-CN"/>
              </w:rPr>
              <w:t>贯通式磁选机通过固定磁场形成贯通的磁吸通道，破碎后的砂料通过密闭提升机匀速进入贯通式磁场通道，砂料中的铁磁性杂质（金属碎屑、铁粉）在磁场力作用下，被吸附在通道内壁的磁吸板上，非磁性砂料不受影响，继续沿通道排出至下一道工序。磁吸板采用自动卸料设计，定期断电退磁。磁选后的砂料匀速进入离心涡流再生风选机，风选机进料口与贯通式磁选机出料口密闭衔接，通过气流与物料的相对运动，实现“合格砂粒</w:t>
            </w:r>
            <w:r>
              <w:rPr>
                <w:rFonts w:hint="default" w:ascii="Times New Roman" w:hAnsi="Times New Roman" w:cs="Times New Roman"/>
                <w:lang w:val="en-US" w:eastAsia="zh-CN"/>
              </w:rPr>
              <w:t>（≤140目）”与“粉尘/超细砂”（﹥140目）的高效分离，同时在砂粒之间的摩擦、碰撞作用下，砂粒表面的树脂膜脱除并圆整砂粒。因剥离后的废砂温度较高，项目</w:t>
            </w:r>
            <w:r>
              <w:rPr>
                <w:rFonts w:hint="eastAsia" w:ascii="Times New Roman" w:hAnsi="Times New Roman" w:cs="Times New Roman"/>
                <w:lang w:val="en-US" w:eastAsia="zh-CN"/>
              </w:rPr>
              <w:t>在磁选后设置振动沸腾冷却分离机</w:t>
            </w:r>
            <w:r>
              <w:rPr>
                <w:rFonts w:hint="default" w:ascii="Times New Roman" w:hAnsi="Times New Roman" w:cs="Times New Roman"/>
                <w:lang w:val="en-US" w:eastAsia="zh-CN"/>
              </w:rPr>
              <w:t>对废砂进行冷却，通过孔板的冷风与振动输送中的湿热旧砂在沸腾状态下进行热交换，带走大量汽化潜热从而冷却旧砂。树脂砂工艺废砂回用率为</w:t>
            </w:r>
            <w:r>
              <w:rPr>
                <w:rFonts w:hint="eastAsia" w:cs="Times New Roman"/>
                <w:lang w:val="en-US" w:eastAsia="zh-CN"/>
              </w:rPr>
              <w:t>95</w:t>
            </w:r>
            <w:r>
              <w:rPr>
                <w:rFonts w:hint="default" w:ascii="Times New Roman" w:hAnsi="Times New Roman" w:cs="Times New Roman"/>
                <w:lang w:val="en-US" w:eastAsia="zh-CN"/>
              </w:rPr>
              <w:t>%。</w:t>
            </w:r>
            <w:r>
              <w:rPr>
                <w:rFonts w:hint="eastAsia"/>
                <w:lang w:val="en-US" w:eastAsia="zh-CN"/>
              </w:rPr>
              <w:t>此工序产生</w:t>
            </w:r>
            <w:r>
              <w:rPr>
                <w:rFonts w:hint="eastAsia" w:ascii="Times New Roman" w:hAnsi="Times New Roman" w:cs="Times New Roman"/>
                <w:lang w:val="en-US" w:eastAsia="zh-CN"/>
              </w:rPr>
              <w:t>磁选、再生废气、噪声。</w:t>
            </w:r>
          </w:p>
          <w:p w14:paraId="2C2681C8">
            <w:pPr>
              <w:bidi w:val="0"/>
              <w:rPr>
                <w:rFonts w:hint="default"/>
                <w:lang w:val="en-US" w:eastAsia="zh-CN"/>
              </w:rPr>
            </w:pPr>
            <w:r>
              <w:rPr>
                <w:rFonts w:hint="eastAsia"/>
                <w:lang w:val="en-US" w:eastAsia="zh-CN"/>
              </w:rPr>
              <w:t>（3）筛分</w:t>
            </w:r>
          </w:p>
          <w:p w14:paraId="6074A4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经过再生后的砂料进入振动式筛分机，采用双层筛网设计，机身全密闭结构，上层筛网拦截粗杂质，下层筛网筛除细微粉尘，≤140目的合格砂落入筛灰机底部出料口，经提升机进入</w:t>
            </w:r>
            <w:r>
              <w:rPr>
                <w:rFonts w:hint="eastAsia" w:ascii="Times New Roman" w:hAnsi="Times New Roman" w:cs="Times New Roman"/>
                <w:lang w:val="en-US" w:eastAsia="zh-CN"/>
              </w:rPr>
              <w:t>砂库</w:t>
            </w:r>
            <w:r>
              <w:rPr>
                <w:rFonts w:hint="default" w:ascii="Times New Roman" w:hAnsi="Times New Roman" w:eastAsia="宋体" w:cs="Times New Roman"/>
                <w:lang w:val="en-US" w:eastAsia="zh-CN"/>
              </w:rPr>
              <w:t>暂存，﹥140目的粉砂作为一般固废处置。筛分过程中会产生颗粒物废气、固废和噪声污染。</w:t>
            </w:r>
          </w:p>
          <w:p w14:paraId="41587E56">
            <w:pPr>
              <w:bidi w:val="0"/>
              <w:rPr>
                <w:rFonts w:hint="default"/>
                <w:lang w:val="en-US" w:eastAsia="zh-CN"/>
              </w:rPr>
            </w:pPr>
            <w:r>
              <w:rPr>
                <w:rFonts w:hint="eastAsia"/>
                <w:lang w:val="en-US" w:eastAsia="zh-CN"/>
              </w:rPr>
              <w:t>5、工件清理</w:t>
            </w:r>
          </w:p>
          <w:p w14:paraId="42D5FC4D">
            <w:pPr>
              <w:bidi w:val="0"/>
            </w:pPr>
            <w:r>
              <w:t>落砂后的铸件进入清理工段后，</w:t>
            </w:r>
            <w:r>
              <w:rPr>
                <w:rFonts w:hint="eastAsia"/>
                <w:lang w:val="en-US" w:eastAsia="zh-CN"/>
              </w:rPr>
              <w:t>采用</w:t>
            </w:r>
            <w:r>
              <w:t>打磨机对铸件表面进行处理。</w:t>
            </w:r>
            <w:r>
              <w:rPr>
                <w:rFonts w:hint="eastAsia"/>
                <w:lang w:val="en-US" w:eastAsia="zh-CN"/>
              </w:rPr>
              <w:t>此工序</w:t>
            </w:r>
            <w:r>
              <w:t>会产生</w:t>
            </w:r>
            <w:r>
              <w:rPr>
                <w:rFonts w:hint="eastAsia"/>
                <w:lang w:val="en-US" w:eastAsia="zh-CN"/>
              </w:rPr>
              <w:t>打磨废气、噪声</w:t>
            </w:r>
            <w:r>
              <w:t>。</w:t>
            </w:r>
          </w:p>
          <w:p w14:paraId="5E09C7FB">
            <w:pPr>
              <w:bidi w:val="0"/>
              <w:rPr>
                <w:rFonts w:hint="eastAsia"/>
                <w:highlight w:val="none"/>
                <w:lang w:val="en-US" w:eastAsia="zh-CN"/>
              </w:rPr>
            </w:pPr>
            <w:r>
              <w:rPr>
                <w:rFonts w:hint="eastAsia"/>
                <w:highlight w:val="none"/>
                <w:lang w:val="en-US" w:eastAsia="zh-CN"/>
              </w:rPr>
              <w:t>6、热处理</w:t>
            </w:r>
          </w:p>
          <w:p w14:paraId="721E3977">
            <w:pPr>
              <w:bidi w:val="0"/>
              <w:rPr>
                <w:bCs/>
                <w:color w:val="000000"/>
                <w:kern w:val="52"/>
                <w:sz w:val="24"/>
              </w:rPr>
            </w:pPr>
            <w:r>
              <w:rPr>
                <w:bCs/>
                <w:color w:val="000000"/>
                <w:kern w:val="52"/>
                <w:sz w:val="24"/>
              </w:rPr>
              <w:t>将铸件放入</w:t>
            </w:r>
            <w:r>
              <w:rPr>
                <w:rFonts w:hint="eastAsia"/>
                <w:bCs/>
                <w:color w:val="000000"/>
                <w:kern w:val="52"/>
                <w:sz w:val="24"/>
                <w:lang w:val="en-US" w:eastAsia="zh-CN"/>
              </w:rPr>
              <w:t>全纤维中温台车炉</w:t>
            </w:r>
            <w:r>
              <w:rPr>
                <w:bCs/>
                <w:color w:val="000000"/>
                <w:kern w:val="52"/>
                <w:sz w:val="24"/>
              </w:rPr>
              <w:t>进行热处理，从而以除去铸件内部的应力，提高材料的机械性能。根据建设单位提供的资料，项目热处理工序采用电加热，</w:t>
            </w:r>
            <w:r>
              <w:rPr>
                <w:rFonts w:hint="eastAsia"/>
                <w:bCs/>
                <w:color w:val="000000"/>
                <w:kern w:val="52"/>
                <w:sz w:val="24"/>
                <w:lang w:val="en-US" w:eastAsia="zh-CN"/>
              </w:rPr>
              <w:t>最高工作</w:t>
            </w:r>
            <w:r>
              <w:rPr>
                <w:bCs/>
                <w:color w:val="000000"/>
                <w:kern w:val="52"/>
                <w:sz w:val="24"/>
              </w:rPr>
              <w:t>温度</w:t>
            </w:r>
            <w:r>
              <w:rPr>
                <w:rFonts w:hint="eastAsia"/>
                <w:bCs/>
                <w:color w:val="000000"/>
                <w:kern w:val="52"/>
                <w:sz w:val="24"/>
                <w:lang w:val="en-US" w:eastAsia="zh-CN"/>
              </w:rPr>
              <w:t>可达900</w:t>
            </w:r>
            <w:r>
              <w:rPr>
                <w:bCs/>
                <w:color w:val="000000"/>
                <w:kern w:val="52"/>
                <w:sz w:val="24"/>
              </w:rPr>
              <w:t>℃。</w:t>
            </w:r>
          </w:p>
          <w:p w14:paraId="7F2F7ED9">
            <w:pPr>
              <w:bidi w:val="0"/>
              <w:rPr>
                <w:rFonts w:hint="default"/>
                <w:bCs/>
                <w:color w:val="000000"/>
                <w:kern w:val="52"/>
                <w:sz w:val="24"/>
                <w:lang w:val="en-US" w:eastAsia="zh-CN"/>
              </w:rPr>
            </w:pPr>
            <w:r>
              <w:rPr>
                <w:rFonts w:hint="eastAsia"/>
                <w:bCs/>
                <w:color w:val="000000"/>
                <w:kern w:val="52"/>
                <w:sz w:val="24"/>
                <w:lang w:val="en-US" w:eastAsia="zh-CN"/>
              </w:rPr>
              <w:t>7、抛丸</w:t>
            </w:r>
          </w:p>
          <w:p w14:paraId="16C9DA09">
            <w:pPr>
              <w:bidi w:val="0"/>
              <w:rPr>
                <w:rFonts w:hint="eastAsia"/>
                <w:bCs/>
                <w:color w:val="000000"/>
                <w:kern w:val="52"/>
                <w:sz w:val="24"/>
                <w:lang w:val="en-US" w:eastAsia="zh-CN"/>
              </w:rPr>
            </w:pPr>
            <w:r>
              <w:rPr>
                <w:rFonts w:hint="eastAsia" w:ascii="宋体" w:hAnsi="宋体" w:eastAsia="宋体" w:cs="宋体"/>
                <w:color w:val="000000"/>
                <w:kern w:val="0"/>
                <w:sz w:val="24"/>
                <w:szCs w:val="24"/>
                <w:lang w:val="en-US" w:eastAsia="zh-CN" w:bidi="ar"/>
              </w:rPr>
              <w:t>铸件冷却后，表面有部分粘砂和氧化铁皮，通过抛丸机进行清理表面，同时对铸件上的缺陷进行清理。本项目铸件的表面清理采用抛丸机完成，抛丸清理使用高速旋转的叶轮将钢丸高速抛射到铸件表面，清除粘附在铸件表面的砂皮、氧化铁皮等。</w:t>
            </w:r>
            <w:r>
              <w:rPr>
                <w:rFonts w:hint="eastAsia"/>
                <w:lang w:val="en-US" w:eastAsia="zh-CN"/>
              </w:rPr>
              <w:t>此工序</w:t>
            </w:r>
            <w:r>
              <w:t>会产生</w:t>
            </w:r>
            <w:r>
              <w:rPr>
                <w:rFonts w:hint="eastAsia"/>
                <w:lang w:val="en-US" w:eastAsia="zh-CN"/>
              </w:rPr>
              <w:t>抛丸废气、固废及噪声</w:t>
            </w:r>
            <w:r>
              <w:t>。</w:t>
            </w:r>
          </w:p>
          <w:p w14:paraId="479A7F25">
            <w:pPr>
              <w:bidi w:val="0"/>
              <w:rPr>
                <w:rFonts w:hint="eastAsia"/>
                <w:lang w:val="en-US" w:eastAsia="zh-CN"/>
              </w:rPr>
            </w:pPr>
            <w:r>
              <w:rPr>
                <w:rFonts w:hint="eastAsia"/>
                <w:lang w:val="en-US" w:eastAsia="zh-CN"/>
              </w:rPr>
              <w:t>8、检验</w:t>
            </w:r>
          </w:p>
          <w:p w14:paraId="283AA7BD">
            <w:pPr>
              <w:bidi w:val="0"/>
              <w:rPr>
                <w:rFonts w:hint="eastAsia"/>
                <w:lang w:val="en-US" w:eastAsia="zh-CN"/>
              </w:rPr>
            </w:pPr>
            <w:r>
              <w:rPr>
                <w:rFonts w:hint="eastAsia"/>
                <w:lang w:val="en-US" w:eastAsia="zh-CN"/>
              </w:rPr>
              <w:t>人工检验组装后的产品外观，合格产品入库待售；不合格品经切割后回用于熔炼工序。此工序产生切割废气、噪声。</w:t>
            </w:r>
          </w:p>
          <w:p w14:paraId="7F346D76">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t>2、项目营运期产排污分析</w:t>
            </w:r>
          </w:p>
          <w:p w14:paraId="6686C1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表2-</w:t>
            </w:r>
            <w:r>
              <w:rPr>
                <w:rFonts w:hint="eastAsia" w:eastAsia="黑体" w:cs="Times New Roman"/>
                <w:lang w:val="en-US" w:eastAsia="zh-CN"/>
              </w:rPr>
              <w:t>8</w:t>
            </w:r>
            <w:r>
              <w:rPr>
                <w:rFonts w:hint="default" w:ascii="Times New Roman" w:hAnsi="Times New Roman" w:eastAsia="黑体" w:cs="Times New Roman"/>
              </w:rPr>
              <w:t xml:space="preserve">  项目主要产排污环节一览表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911"/>
              <w:gridCol w:w="2752"/>
              <w:gridCol w:w="3252"/>
            </w:tblGrid>
            <w:tr w14:paraId="53056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noWrap w:val="0"/>
                  <w:vAlign w:val="center"/>
                </w:tcPr>
                <w:p w14:paraId="778E56F6">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类别</w:t>
                  </w:r>
                </w:p>
              </w:tc>
              <w:tc>
                <w:tcPr>
                  <w:tcW w:w="1116" w:type="pct"/>
                  <w:noWrap w:val="0"/>
                  <w:vAlign w:val="center"/>
                </w:tcPr>
                <w:p w14:paraId="6F14121F">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主要产生环节</w:t>
                  </w:r>
                </w:p>
              </w:tc>
              <w:tc>
                <w:tcPr>
                  <w:tcW w:w="1607" w:type="pct"/>
                  <w:noWrap w:val="0"/>
                  <w:vAlign w:val="center"/>
                </w:tcPr>
                <w:p w14:paraId="52626B45">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主要污染因子</w:t>
                  </w:r>
                </w:p>
              </w:tc>
              <w:tc>
                <w:tcPr>
                  <w:tcW w:w="1898" w:type="pct"/>
                  <w:noWrap w:val="0"/>
                  <w:vAlign w:val="center"/>
                </w:tcPr>
                <w:p w14:paraId="221F85FB">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配套的治理措施</w:t>
                  </w:r>
                </w:p>
              </w:tc>
            </w:tr>
            <w:tr w14:paraId="4D1F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restart"/>
                  <w:noWrap w:val="0"/>
                  <w:vAlign w:val="center"/>
                </w:tcPr>
                <w:p w14:paraId="51FF3063">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废气</w:t>
                  </w:r>
                </w:p>
              </w:tc>
              <w:tc>
                <w:tcPr>
                  <w:tcW w:w="1116" w:type="pct"/>
                  <w:noWrap w:val="0"/>
                  <w:vAlign w:val="center"/>
                </w:tcPr>
                <w:p w14:paraId="3B425F23">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熔炼工序</w:t>
                  </w:r>
                </w:p>
              </w:tc>
              <w:tc>
                <w:tcPr>
                  <w:tcW w:w="1607" w:type="pct"/>
                  <w:noWrap w:val="0"/>
                  <w:vAlign w:val="center"/>
                </w:tcPr>
                <w:p w14:paraId="7E6ABE6B">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eastAsia="宋体"/>
                      <w:color w:val="000000"/>
                      <w:sz w:val="21"/>
                      <w:szCs w:val="21"/>
                      <w:lang w:val="en-US" w:eastAsia="zh-CN"/>
                    </w:rPr>
                  </w:pPr>
                  <w:r>
                    <w:rPr>
                      <w:rFonts w:hint="eastAsia"/>
                      <w:color w:val="000000"/>
                      <w:sz w:val="21"/>
                      <w:szCs w:val="21"/>
                      <w:lang w:val="en-US" w:eastAsia="zh-CN"/>
                    </w:rPr>
                    <w:t>颗粒物</w:t>
                  </w:r>
                </w:p>
              </w:tc>
              <w:tc>
                <w:tcPr>
                  <w:tcW w:w="1898" w:type="pct"/>
                  <w:noWrap w:val="0"/>
                  <w:vAlign w:val="center"/>
                </w:tcPr>
                <w:p w14:paraId="32823CE8">
                  <w:pPr>
                    <w:pStyle w:val="43"/>
                    <w:keepNext w:val="0"/>
                    <w:keepLines w:val="0"/>
                    <w:pageBreakBefore w:val="0"/>
                    <w:widowControl w:val="0"/>
                    <w:kinsoku/>
                    <w:wordWrap/>
                    <w:overflowPunct/>
                    <w:topLinePunct w:val="0"/>
                    <w:bidi w:val="0"/>
                    <w:adjustRightInd w:val="0"/>
                    <w:snapToGrid w:val="0"/>
                    <w:spacing w:line="240" w:lineRule="auto"/>
                    <w:ind w:firstLine="0" w:firstLineChars="0"/>
                    <w:jc w:val="center"/>
                    <w:rPr>
                      <w:color w:val="000000"/>
                      <w:sz w:val="21"/>
                      <w:szCs w:val="21"/>
                    </w:rPr>
                  </w:pPr>
                  <w:r>
                    <w:rPr>
                      <w:rFonts w:hint="eastAsia"/>
                      <w:color w:val="000000"/>
                      <w:sz w:val="21"/>
                      <w:szCs w:val="21"/>
                    </w:rPr>
                    <w:t>集气罩收集，经1套耐高温袋式除尘器处理后，经1根15m高排气筒排放</w:t>
                  </w:r>
                </w:p>
              </w:tc>
            </w:tr>
            <w:tr w14:paraId="040B4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07C71404">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0DCA03EA">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混砂工序</w:t>
                  </w:r>
                </w:p>
              </w:tc>
              <w:tc>
                <w:tcPr>
                  <w:tcW w:w="1607" w:type="pct"/>
                  <w:noWrap w:val="0"/>
                  <w:vAlign w:val="center"/>
                </w:tcPr>
                <w:p w14:paraId="1FCDCD74">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color w:val="000000"/>
                      <w:sz w:val="21"/>
                      <w:szCs w:val="21"/>
                    </w:rPr>
                  </w:pPr>
                  <w:r>
                    <w:rPr>
                      <w:rFonts w:hint="eastAsia"/>
                      <w:color w:val="000000"/>
                      <w:sz w:val="21"/>
                      <w:szCs w:val="21"/>
                      <w:lang w:val="en-US" w:eastAsia="zh-CN"/>
                    </w:rPr>
                    <w:t>颗粒物</w:t>
                  </w:r>
                </w:p>
              </w:tc>
              <w:tc>
                <w:tcPr>
                  <w:tcW w:w="1898" w:type="pct"/>
                  <w:vMerge w:val="restart"/>
                  <w:noWrap w:val="0"/>
                  <w:vAlign w:val="center"/>
                </w:tcPr>
                <w:p w14:paraId="6D5E3675">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color w:val="000000"/>
                      <w:sz w:val="21"/>
                      <w:szCs w:val="21"/>
                    </w:rPr>
                  </w:pPr>
                  <w:r>
                    <w:rPr>
                      <w:rFonts w:hint="eastAsia" w:eastAsia="宋体"/>
                      <w:sz w:val="21"/>
                      <w:szCs w:val="21"/>
                      <w:vertAlign w:val="baseline"/>
                      <w:lang w:val="en-US" w:eastAsia="zh-CN"/>
                    </w:rPr>
                    <w:t>混砂机为全封闭设备，造型/浇注区、打磨区和切割区设置集气罩收集，经1套袋式除尘器+催化燃烧（RCO）处理后，经1根15m高排气筒排放</w:t>
                  </w:r>
                </w:p>
              </w:tc>
            </w:tr>
            <w:tr w14:paraId="43D9D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21FBC8AE">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22FC69EA">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造型/浇注工序</w:t>
                  </w:r>
                </w:p>
              </w:tc>
              <w:tc>
                <w:tcPr>
                  <w:tcW w:w="1607" w:type="pct"/>
                  <w:noWrap w:val="0"/>
                  <w:vAlign w:val="center"/>
                </w:tcPr>
                <w:p w14:paraId="258886C1">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color w:val="000000"/>
                      <w:sz w:val="21"/>
                      <w:szCs w:val="21"/>
                    </w:rPr>
                    <w:t>颗粒物</w:t>
                  </w:r>
                  <w:r>
                    <w:rPr>
                      <w:rFonts w:hint="eastAsia"/>
                      <w:color w:val="000000"/>
                      <w:sz w:val="21"/>
                      <w:szCs w:val="21"/>
                    </w:rPr>
                    <w:t>、</w:t>
                  </w:r>
                  <w:r>
                    <w:rPr>
                      <w:color w:val="000000"/>
                      <w:sz w:val="21"/>
                      <w:szCs w:val="21"/>
                    </w:rPr>
                    <w:t>非甲烷总烃</w:t>
                  </w:r>
                  <w:r>
                    <w:rPr>
                      <w:rFonts w:hint="eastAsia"/>
                      <w:color w:val="000000"/>
                      <w:sz w:val="21"/>
                      <w:szCs w:val="21"/>
                    </w:rPr>
                    <w:t>、甲醛</w:t>
                  </w:r>
                </w:p>
              </w:tc>
              <w:tc>
                <w:tcPr>
                  <w:tcW w:w="1898" w:type="pct"/>
                  <w:vMerge w:val="continue"/>
                  <w:noWrap w:val="0"/>
                  <w:vAlign w:val="center"/>
                </w:tcPr>
                <w:p w14:paraId="420B746F">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1F9CE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7FC1E724">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21290B81">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工件清理工序</w:t>
                  </w:r>
                </w:p>
              </w:tc>
              <w:tc>
                <w:tcPr>
                  <w:tcW w:w="1607" w:type="pct"/>
                  <w:noWrap w:val="0"/>
                  <w:vAlign w:val="center"/>
                </w:tcPr>
                <w:p w14:paraId="265604F7">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1898" w:type="pct"/>
                  <w:vMerge w:val="continue"/>
                  <w:noWrap w:val="0"/>
                  <w:vAlign w:val="center"/>
                </w:tcPr>
                <w:p w14:paraId="72F284CE">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5E959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64EFBBAE">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2D887EB1">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不合格品回用切割工序</w:t>
                  </w:r>
                </w:p>
              </w:tc>
              <w:tc>
                <w:tcPr>
                  <w:tcW w:w="1607" w:type="pct"/>
                  <w:noWrap w:val="0"/>
                  <w:vAlign w:val="center"/>
                </w:tcPr>
                <w:p w14:paraId="688EC5D4">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1898" w:type="pct"/>
                  <w:vMerge w:val="continue"/>
                  <w:noWrap w:val="0"/>
                  <w:vAlign w:val="center"/>
                </w:tcPr>
                <w:p w14:paraId="201957C2">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597BF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5294E306">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7A5C379D">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落砂及砂处理工序</w:t>
                  </w:r>
                </w:p>
              </w:tc>
              <w:tc>
                <w:tcPr>
                  <w:tcW w:w="1607" w:type="pct"/>
                  <w:noWrap w:val="0"/>
                  <w:vAlign w:val="center"/>
                </w:tcPr>
                <w:p w14:paraId="7025F91A">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1898" w:type="pct"/>
                  <w:noWrap w:val="0"/>
                  <w:vAlign w:val="center"/>
                </w:tcPr>
                <w:p w14:paraId="7D25DB99">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eastAsia="宋体"/>
                      <w:sz w:val="21"/>
                      <w:szCs w:val="21"/>
                      <w:vertAlign w:val="baseline"/>
                      <w:lang w:val="en-US" w:eastAsia="zh-CN"/>
                    </w:rPr>
                    <w:t>落砂机集气罩收集，砂处理系统为全封闭设备，落砂及砂处理工序分别经1套袋式除尘器处理后，经1根15m高排气筒排放</w:t>
                  </w:r>
                </w:p>
              </w:tc>
            </w:tr>
            <w:tr w14:paraId="5FC48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298EF089">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20E46EDD">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抛丸工序</w:t>
                  </w:r>
                </w:p>
              </w:tc>
              <w:tc>
                <w:tcPr>
                  <w:tcW w:w="1607" w:type="pct"/>
                  <w:noWrap w:val="0"/>
                  <w:vAlign w:val="center"/>
                </w:tcPr>
                <w:p w14:paraId="62DB3D64">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1898" w:type="pct"/>
                  <w:noWrap w:val="0"/>
                  <w:vAlign w:val="center"/>
                </w:tcPr>
                <w:p w14:paraId="7F420D15">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eastAsia="宋体"/>
                      <w:sz w:val="21"/>
                      <w:szCs w:val="21"/>
                      <w:vertAlign w:val="baseline"/>
                      <w:lang w:val="en-US" w:eastAsia="zh-CN"/>
                    </w:rPr>
                    <w:t>抛丸机为全封闭设备</w:t>
                  </w:r>
                  <w:r>
                    <w:rPr>
                      <w:rFonts w:hint="eastAsia"/>
                      <w:sz w:val="21"/>
                      <w:szCs w:val="21"/>
                      <w:vertAlign w:val="baseline"/>
                      <w:lang w:val="en-US" w:eastAsia="zh-CN"/>
                    </w:rPr>
                    <w:t>，经1套袋式除尘器处理后，经1根15m高排气筒排放</w:t>
                  </w:r>
                </w:p>
              </w:tc>
            </w:tr>
            <w:tr w14:paraId="1A235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noWrap w:val="0"/>
                  <w:vAlign w:val="center"/>
                </w:tcPr>
                <w:p w14:paraId="577BD290">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废水</w:t>
                  </w:r>
                </w:p>
              </w:tc>
              <w:tc>
                <w:tcPr>
                  <w:tcW w:w="1116" w:type="pct"/>
                  <w:noWrap w:val="0"/>
                  <w:vAlign w:val="center"/>
                </w:tcPr>
                <w:p w14:paraId="7117E7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sz w:val="21"/>
                      <w:szCs w:val="21"/>
                    </w:rPr>
                  </w:pPr>
                  <w:r>
                    <w:rPr>
                      <w:color w:val="000000"/>
                      <w:sz w:val="21"/>
                      <w:szCs w:val="21"/>
                    </w:rPr>
                    <w:t>职</w:t>
                  </w:r>
                  <w:r>
                    <w:rPr>
                      <w:color w:val="000000"/>
                      <w:sz w:val="21"/>
                      <w:szCs w:val="21"/>
                    </w:rPr>
                    <w:cr/>
                  </w:r>
                  <w:r>
                    <w:rPr>
                      <w:rStyle w:val="31"/>
                      <w:rFonts w:hint="eastAsia"/>
                      <w:color w:val="000000"/>
                      <w:kern w:val="0"/>
                      <w:sz w:val="21"/>
                      <w:szCs w:val="21"/>
                    </w:rPr>
                    <w:t>工</w:t>
                  </w:r>
                  <w:r>
                    <w:rPr>
                      <w:color w:val="000000"/>
                      <w:sz w:val="21"/>
                      <w:szCs w:val="21"/>
                    </w:rPr>
                    <w:t>生活污水</w:t>
                  </w:r>
                </w:p>
              </w:tc>
              <w:tc>
                <w:tcPr>
                  <w:tcW w:w="1607" w:type="pct"/>
                  <w:noWrap w:val="0"/>
                  <w:vAlign w:val="center"/>
                </w:tcPr>
                <w:p w14:paraId="159A73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sz w:val="21"/>
                      <w:szCs w:val="21"/>
                    </w:rPr>
                  </w:pPr>
                  <w:r>
                    <w:rPr>
                      <w:rFonts w:hint="eastAsia"/>
                      <w:color w:val="000000"/>
                      <w:sz w:val="21"/>
                      <w:szCs w:val="21"/>
                      <w:lang w:val="en-US" w:eastAsia="zh-CN"/>
                    </w:rPr>
                    <w:t>pH、</w:t>
                  </w:r>
                  <w:r>
                    <w:rPr>
                      <w:color w:val="000000"/>
                      <w:sz w:val="21"/>
                      <w:szCs w:val="21"/>
                    </w:rPr>
                    <w:t>COD、BOD</w:t>
                  </w:r>
                  <w:r>
                    <w:rPr>
                      <w:color w:val="000000"/>
                      <w:sz w:val="21"/>
                      <w:szCs w:val="21"/>
                      <w:vertAlign w:val="subscript"/>
                    </w:rPr>
                    <w:t>5</w:t>
                  </w:r>
                  <w:r>
                    <w:rPr>
                      <w:color w:val="000000"/>
                      <w:sz w:val="21"/>
                      <w:szCs w:val="21"/>
                    </w:rPr>
                    <w:t>、NH</w:t>
                  </w:r>
                  <w:r>
                    <w:rPr>
                      <w:color w:val="000000"/>
                      <w:sz w:val="21"/>
                      <w:szCs w:val="21"/>
                      <w:vertAlign w:val="subscript"/>
                    </w:rPr>
                    <w:t>3</w:t>
                  </w:r>
                  <w:r>
                    <w:rPr>
                      <w:color w:val="000000"/>
                      <w:sz w:val="21"/>
                      <w:szCs w:val="21"/>
                    </w:rPr>
                    <w:t>-N、SS</w:t>
                  </w:r>
                </w:p>
              </w:tc>
              <w:tc>
                <w:tcPr>
                  <w:tcW w:w="1898" w:type="pct"/>
                  <w:noWrap w:val="0"/>
                  <w:vAlign w:val="center"/>
                </w:tcPr>
                <w:p w14:paraId="15F8CF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sz w:val="21"/>
                      <w:szCs w:val="21"/>
                    </w:rPr>
                  </w:pPr>
                  <w:r>
                    <w:rPr>
                      <w:rFonts w:hint="eastAsia" w:eastAsia="宋体" w:cs="Times New Roman"/>
                      <w:kern w:val="0"/>
                      <w:sz w:val="21"/>
                      <w:szCs w:val="21"/>
                      <w:lang w:val="en-US" w:eastAsia="zh-CN"/>
                    </w:rPr>
                    <w:t>经1座</w:t>
                  </w:r>
                  <w:r>
                    <w:rPr>
                      <w:rFonts w:hint="eastAsia" w:eastAsia="宋体" w:cs="Times New Roman"/>
                      <w:kern w:val="0"/>
                      <w:sz w:val="21"/>
                      <w:szCs w:val="21"/>
                      <w:highlight w:val="none"/>
                      <w:lang w:val="en-US" w:eastAsia="zh-CN"/>
                    </w:rPr>
                    <w:t>10m</w:t>
                  </w:r>
                  <w:r>
                    <w:rPr>
                      <w:rFonts w:hint="eastAsia" w:eastAsia="宋体" w:cs="Times New Roman"/>
                      <w:kern w:val="0"/>
                      <w:sz w:val="21"/>
                      <w:szCs w:val="21"/>
                      <w:highlight w:val="none"/>
                      <w:vertAlign w:val="superscript"/>
                      <w:lang w:val="en-US" w:eastAsia="zh-CN"/>
                    </w:rPr>
                    <w:t>3</w:t>
                  </w:r>
                  <w:r>
                    <w:rPr>
                      <w:rFonts w:hint="eastAsia" w:eastAsia="宋体" w:cs="Times New Roman"/>
                      <w:kern w:val="0"/>
                      <w:sz w:val="21"/>
                      <w:szCs w:val="21"/>
                      <w:lang w:val="en-US" w:eastAsia="zh-CN"/>
                    </w:rPr>
                    <w:t>化粪池处理后排入市政污水管网，</w:t>
                  </w:r>
                  <w:r>
                    <w:rPr>
                      <w:rFonts w:hint="eastAsia"/>
                      <w:kern w:val="0"/>
                      <w:sz w:val="21"/>
                      <w:szCs w:val="21"/>
                      <w:lang w:val="en-US" w:eastAsia="zh-CN"/>
                    </w:rPr>
                    <w:t>最终经镇平县第二污水处理厂</w:t>
                  </w:r>
                  <w:r>
                    <w:rPr>
                      <w:rFonts w:hint="eastAsia" w:eastAsia="宋体"/>
                      <w:sz w:val="21"/>
                      <w:szCs w:val="21"/>
                      <w:lang w:val="en-US" w:eastAsia="zh-CN"/>
                    </w:rPr>
                    <w:t>处理达标后排入赵河</w:t>
                  </w:r>
                </w:p>
              </w:tc>
            </w:tr>
            <w:tr w14:paraId="7B3AA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noWrap w:val="0"/>
                  <w:vAlign w:val="center"/>
                </w:tcPr>
                <w:p w14:paraId="729DF01B">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噪声</w:t>
                  </w:r>
                </w:p>
              </w:tc>
              <w:tc>
                <w:tcPr>
                  <w:tcW w:w="1116" w:type="pct"/>
                  <w:noWrap w:val="0"/>
                  <w:vAlign w:val="center"/>
                </w:tcPr>
                <w:p w14:paraId="3B54004A">
                  <w:pPr>
                    <w:pStyle w:val="35"/>
                    <w:ind w:firstLine="0" w:firstLineChars="0"/>
                    <w:rPr>
                      <w:rFonts w:hint="default" w:eastAsia="宋体"/>
                      <w:color w:val="000000"/>
                      <w:sz w:val="21"/>
                      <w:szCs w:val="21"/>
                      <w:lang w:val="en-US" w:eastAsia="zh-CN"/>
                    </w:rPr>
                  </w:pPr>
                  <w:r>
                    <w:rPr>
                      <w:rFonts w:hint="eastAsia"/>
                      <w:kern w:val="0"/>
                      <w:sz w:val="21"/>
                      <w:szCs w:val="21"/>
                      <w:u w:val="none"/>
                    </w:rPr>
                    <w:t>设备运行噪声</w:t>
                  </w:r>
                </w:p>
              </w:tc>
              <w:tc>
                <w:tcPr>
                  <w:tcW w:w="1607" w:type="pct"/>
                  <w:noWrap w:val="0"/>
                  <w:vAlign w:val="center"/>
                </w:tcPr>
                <w:p w14:paraId="31C06D66">
                  <w:pPr>
                    <w:pStyle w:val="35"/>
                    <w:ind w:firstLine="0" w:firstLineChars="0"/>
                    <w:rPr>
                      <w:rFonts w:hint="eastAsia" w:eastAsia="宋体"/>
                      <w:color w:val="000000"/>
                      <w:sz w:val="21"/>
                      <w:szCs w:val="21"/>
                      <w:lang w:val="en-US" w:eastAsia="zh-CN"/>
                    </w:rPr>
                  </w:pPr>
                  <w:r>
                    <w:rPr>
                      <w:color w:val="000000" w:themeColor="text1"/>
                      <w:sz w:val="21"/>
                      <w:szCs w:val="21"/>
                      <w14:textFill>
                        <w14:solidFill>
                          <w14:schemeClr w14:val="tx1"/>
                        </w14:solidFill>
                      </w14:textFill>
                    </w:rPr>
                    <w:t>等效连续A声级</w:t>
                  </w:r>
                </w:p>
              </w:tc>
              <w:tc>
                <w:tcPr>
                  <w:tcW w:w="1898" w:type="pct"/>
                  <w:noWrap w:val="0"/>
                  <w:vAlign w:val="center"/>
                </w:tcPr>
                <w:p w14:paraId="48933F74">
                  <w:pPr>
                    <w:pStyle w:val="35"/>
                    <w:ind w:firstLine="0" w:firstLineChars="0"/>
                    <w:rPr>
                      <w:color w:val="000000"/>
                      <w:sz w:val="21"/>
                      <w:szCs w:val="21"/>
                    </w:rPr>
                  </w:pPr>
                  <w:r>
                    <w:rPr>
                      <w:color w:val="000000" w:themeColor="text1"/>
                      <w:sz w:val="21"/>
                      <w:szCs w:val="21"/>
                      <w14:textFill>
                        <w14:solidFill>
                          <w14:schemeClr w14:val="tx1"/>
                        </w14:solidFill>
                      </w14:textFill>
                    </w:rPr>
                    <w:t>产噪设备采取基础减振、厂房隔声等降噪措施；设备定期维护保养</w:t>
                  </w:r>
                </w:p>
              </w:tc>
            </w:tr>
            <w:tr w14:paraId="4CF56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restart"/>
                  <w:noWrap w:val="0"/>
                  <w:vAlign w:val="center"/>
                </w:tcPr>
                <w:p w14:paraId="7BA88A50">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固废</w:t>
                  </w:r>
                </w:p>
              </w:tc>
              <w:tc>
                <w:tcPr>
                  <w:tcW w:w="1116" w:type="pct"/>
                  <w:noWrap w:val="0"/>
                  <w:vAlign w:val="center"/>
                </w:tcPr>
                <w:p w14:paraId="5440045E">
                  <w:pPr>
                    <w:pStyle w:val="35"/>
                    <w:ind w:firstLine="0" w:firstLineChars="0"/>
                    <w:rPr>
                      <w:color w:val="000000"/>
                      <w:sz w:val="21"/>
                      <w:szCs w:val="21"/>
                    </w:rPr>
                  </w:pPr>
                  <w:r>
                    <w:rPr>
                      <w:color w:val="000000" w:themeColor="text1"/>
                      <w14:textFill>
                        <w14:solidFill>
                          <w14:schemeClr w14:val="tx1"/>
                        </w14:solidFill>
                      </w14:textFill>
                    </w:rPr>
                    <w:t>职工生活</w:t>
                  </w:r>
                </w:p>
              </w:tc>
              <w:tc>
                <w:tcPr>
                  <w:tcW w:w="1607" w:type="pct"/>
                  <w:noWrap w:val="0"/>
                  <w:vAlign w:val="center"/>
                </w:tcPr>
                <w:p w14:paraId="3E4919A8">
                  <w:pPr>
                    <w:pStyle w:val="35"/>
                    <w:ind w:firstLine="0" w:firstLineChars="0"/>
                    <w:rPr>
                      <w:color w:val="000000"/>
                      <w:sz w:val="21"/>
                      <w:szCs w:val="21"/>
                    </w:rPr>
                  </w:pPr>
                  <w:r>
                    <w:rPr>
                      <w:color w:val="000000" w:themeColor="text1"/>
                      <w14:textFill>
                        <w14:solidFill>
                          <w14:schemeClr w14:val="tx1"/>
                        </w14:solidFill>
                      </w14:textFill>
                    </w:rPr>
                    <w:t>职工生活垃圾</w:t>
                  </w:r>
                </w:p>
              </w:tc>
              <w:tc>
                <w:tcPr>
                  <w:tcW w:w="3251" w:type="dxa"/>
                  <w:noWrap w:val="0"/>
                  <w:vAlign w:val="center"/>
                </w:tcPr>
                <w:p w14:paraId="7B59991C">
                  <w:pPr>
                    <w:pStyle w:val="35"/>
                    <w:ind w:firstLine="0" w:firstLineChars="0"/>
                    <w:rPr>
                      <w:color w:val="000000"/>
                      <w:sz w:val="21"/>
                      <w:szCs w:val="21"/>
                    </w:rPr>
                  </w:pPr>
                  <w:r>
                    <w:rPr>
                      <w:color w:val="000000" w:themeColor="text1"/>
                      <w14:textFill>
                        <w14:solidFill>
                          <w14:schemeClr w14:val="tx1"/>
                        </w14:solidFill>
                      </w14:textFill>
                    </w:rPr>
                    <w:t>垃圾箱（桶）若干</w:t>
                  </w:r>
                </w:p>
              </w:tc>
            </w:tr>
            <w:tr w14:paraId="66FDD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354DFE9D">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3CA0FD25">
                  <w:pPr>
                    <w:pStyle w:val="35"/>
                    <w:ind w:firstLine="0" w:firstLineChars="0"/>
                    <w:rPr>
                      <w:color w:val="000000"/>
                      <w:sz w:val="21"/>
                      <w:szCs w:val="21"/>
                    </w:rPr>
                  </w:pPr>
                  <w:r>
                    <w:rPr>
                      <w:color w:val="000000" w:themeColor="text1"/>
                      <w14:textFill>
                        <w14:solidFill>
                          <w14:schemeClr w14:val="tx1"/>
                        </w14:solidFill>
                      </w14:textFill>
                    </w:rPr>
                    <w:t>化粪池</w:t>
                  </w:r>
                </w:p>
              </w:tc>
              <w:tc>
                <w:tcPr>
                  <w:tcW w:w="1607" w:type="pct"/>
                  <w:noWrap w:val="0"/>
                  <w:vAlign w:val="center"/>
                </w:tcPr>
                <w:p w14:paraId="23412DB4">
                  <w:pPr>
                    <w:pStyle w:val="35"/>
                    <w:ind w:firstLine="0" w:firstLineChars="0"/>
                    <w:rPr>
                      <w:color w:val="000000"/>
                      <w:sz w:val="21"/>
                      <w:szCs w:val="21"/>
                    </w:rPr>
                  </w:pPr>
                  <w:r>
                    <w:rPr>
                      <w:color w:val="000000" w:themeColor="text1"/>
                      <w14:textFill>
                        <w14:solidFill>
                          <w14:schemeClr w14:val="tx1"/>
                        </w14:solidFill>
                      </w14:textFill>
                    </w:rPr>
                    <w:t>化粪池污泥</w:t>
                  </w:r>
                </w:p>
              </w:tc>
              <w:tc>
                <w:tcPr>
                  <w:tcW w:w="3251" w:type="dxa"/>
                  <w:noWrap w:val="0"/>
                  <w:vAlign w:val="center"/>
                </w:tcPr>
                <w:p w14:paraId="736C5BA6">
                  <w:pPr>
                    <w:pStyle w:val="35"/>
                    <w:ind w:firstLine="0" w:firstLineChars="0"/>
                    <w:rPr>
                      <w:bCs/>
                      <w:color w:val="000000"/>
                      <w:kern w:val="0"/>
                      <w:sz w:val="21"/>
                      <w:szCs w:val="21"/>
                    </w:rPr>
                  </w:pPr>
                  <w:r>
                    <w:rPr>
                      <w:rFonts w:hint="default"/>
                      <w:color w:val="000000" w:themeColor="text1"/>
                      <w14:textFill>
                        <w14:solidFill>
                          <w14:schemeClr w14:val="tx1"/>
                        </w14:solidFill>
                      </w14:textFill>
                    </w:rPr>
                    <w:t>由专用吸污车定期清掏，干化后委托环卫部门清运处理</w:t>
                  </w:r>
                </w:p>
              </w:tc>
            </w:tr>
            <w:tr w14:paraId="3A1C9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7CC892DE">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1D3F20DD">
                  <w:pPr>
                    <w:pStyle w:val="35"/>
                    <w:ind w:firstLine="0" w:firstLineChars="0"/>
                    <w:rPr>
                      <w:color w:val="000000"/>
                      <w:sz w:val="21"/>
                      <w:szCs w:val="21"/>
                    </w:rPr>
                  </w:pPr>
                  <w:r>
                    <w:rPr>
                      <w:rFonts w:hint="eastAsia"/>
                      <w:color w:val="000000" w:themeColor="text1"/>
                      <w:lang w:val="en-US" w:eastAsia="zh-CN"/>
                      <w14:textFill>
                        <w14:solidFill>
                          <w14:schemeClr w14:val="tx1"/>
                        </w14:solidFill>
                      </w14:textFill>
                    </w:rPr>
                    <w:t>检验</w:t>
                  </w:r>
                  <w:r>
                    <w:rPr>
                      <w:rFonts w:hint="default"/>
                      <w:color w:val="000000" w:themeColor="text1"/>
                      <w14:textFill>
                        <w14:solidFill>
                          <w14:schemeClr w14:val="tx1"/>
                        </w14:solidFill>
                      </w14:textFill>
                    </w:rPr>
                    <w:t>过程</w:t>
                  </w:r>
                </w:p>
              </w:tc>
              <w:tc>
                <w:tcPr>
                  <w:tcW w:w="1607" w:type="pct"/>
                  <w:noWrap w:val="0"/>
                  <w:vAlign w:val="center"/>
                </w:tcPr>
                <w:p w14:paraId="588A1EB9">
                  <w:pPr>
                    <w:pStyle w:val="35"/>
                    <w:ind w:firstLine="0" w:firstLineChars="0"/>
                    <w:rPr>
                      <w:color w:val="000000"/>
                      <w:sz w:val="21"/>
                      <w:szCs w:val="21"/>
                    </w:rPr>
                  </w:pPr>
                  <w:r>
                    <w:rPr>
                      <w:rFonts w:hint="default"/>
                      <w:color w:val="000000" w:themeColor="text1"/>
                      <w14:textFill>
                        <w14:solidFill>
                          <w14:schemeClr w14:val="tx1"/>
                        </w14:solidFill>
                      </w14:textFill>
                    </w:rPr>
                    <w:t>不合格品</w:t>
                  </w:r>
                </w:p>
              </w:tc>
              <w:tc>
                <w:tcPr>
                  <w:tcW w:w="3251" w:type="dxa"/>
                  <w:vMerge w:val="restart"/>
                  <w:noWrap w:val="0"/>
                  <w:vAlign w:val="center"/>
                </w:tcPr>
                <w:p w14:paraId="0616EF03">
                  <w:pPr>
                    <w:pStyle w:val="35"/>
                    <w:ind w:firstLine="0" w:firstLineChars="0"/>
                    <w:rPr>
                      <w:bCs/>
                      <w:color w:val="000000"/>
                      <w:kern w:val="0"/>
                      <w:sz w:val="21"/>
                      <w:szCs w:val="21"/>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的一般固废暂存间</w:t>
                  </w:r>
                </w:p>
              </w:tc>
            </w:tr>
            <w:tr w14:paraId="7FC13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1D6F6BEC">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restart"/>
                  <w:noWrap w:val="0"/>
                  <w:vAlign w:val="center"/>
                </w:tcPr>
                <w:p w14:paraId="477CF01A">
                  <w:pPr>
                    <w:pStyle w:val="35"/>
                    <w:ind w:firstLine="0" w:firstLineChars="0"/>
                    <w:rPr>
                      <w:color w:val="000000"/>
                      <w:sz w:val="21"/>
                      <w:szCs w:val="21"/>
                    </w:rPr>
                  </w:pPr>
                  <w:r>
                    <w:rPr>
                      <w:rFonts w:hint="eastAsia"/>
                      <w:color w:val="000000" w:themeColor="text1"/>
                      <w:lang w:val="en-US" w:eastAsia="zh-CN"/>
                      <w14:textFill>
                        <w14:solidFill>
                          <w14:schemeClr w14:val="tx1"/>
                        </w14:solidFill>
                      </w14:textFill>
                    </w:rPr>
                    <w:t>砂处理</w:t>
                  </w:r>
                  <w:r>
                    <w:rPr>
                      <w:rFonts w:hint="default"/>
                      <w:color w:val="000000" w:themeColor="text1"/>
                      <w14:textFill>
                        <w14:solidFill>
                          <w14:schemeClr w14:val="tx1"/>
                        </w14:solidFill>
                      </w14:textFill>
                    </w:rPr>
                    <w:t>工序</w:t>
                  </w:r>
                </w:p>
              </w:tc>
              <w:tc>
                <w:tcPr>
                  <w:tcW w:w="1607" w:type="pct"/>
                  <w:noWrap w:val="0"/>
                  <w:vAlign w:val="center"/>
                </w:tcPr>
                <w:p w14:paraId="280ADDC6">
                  <w:pPr>
                    <w:pStyle w:val="35"/>
                    <w:ind w:firstLine="0" w:firstLineChars="0"/>
                    <w:rPr>
                      <w:color w:val="000000"/>
                      <w:sz w:val="21"/>
                      <w:szCs w:val="21"/>
                    </w:rPr>
                  </w:pPr>
                  <w:r>
                    <w:rPr>
                      <w:rFonts w:hint="eastAsia"/>
                    </w:rPr>
                    <w:t>废砂</w:t>
                  </w:r>
                </w:p>
              </w:tc>
              <w:tc>
                <w:tcPr>
                  <w:tcW w:w="1898" w:type="pct"/>
                  <w:vMerge w:val="continue"/>
                  <w:noWrap w:val="0"/>
                  <w:vAlign w:val="center"/>
                </w:tcPr>
                <w:p w14:paraId="04804C75">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r>
            <w:tr w14:paraId="1A08E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20947CFE">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00BF3EB8">
                  <w:pPr>
                    <w:pStyle w:val="35"/>
                    <w:ind w:firstLine="0" w:firstLineChars="0"/>
                    <w:rPr>
                      <w:rFonts w:hint="eastAsia"/>
                      <w:bCs/>
                      <w:color w:val="000000"/>
                      <w:kern w:val="0"/>
                      <w:sz w:val="21"/>
                      <w:szCs w:val="21"/>
                    </w:rPr>
                  </w:pPr>
                </w:p>
              </w:tc>
              <w:tc>
                <w:tcPr>
                  <w:tcW w:w="1607" w:type="pct"/>
                  <w:noWrap w:val="0"/>
                  <w:vAlign w:val="center"/>
                </w:tcPr>
                <w:p w14:paraId="48CD6BF3">
                  <w:pPr>
                    <w:pStyle w:val="35"/>
                    <w:ind w:firstLine="0" w:firstLineChars="0"/>
                    <w:rPr>
                      <w:color w:val="000000"/>
                      <w:sz w:val="21"/>
                      <w:szCs w:val="21"/>
                    </w:rPr>
                  </w:pPr>
                  <w:r>
                    <w:rPr>
                      <w:rFonts w:ascii="宋体" w:hAnsi="宋体" w:cs="宋体"/>
                      <w:color w:val="000000" w:themeColor="text1"/>
                      <w:kern w:val="0"/>
                      <w:lang w:bidi="ar"/>
                      <w14:textFill>
                        <w14:solidFill>
                          <w14:schemeClr w14:val="tx1"/>
                        </w14:solidFill>
                      </w14:textFill>
                    </w:rPr>
                    <w:t>废</w:t>
                  </w:r>
                  <w:r>
                    <w:rPr>
                      <w:rFonts w:hint="eastAsia" w:ascii="宋体" w:hAnsi="宋体" w:cs="宋体"/>
                      <w:color w:val="000000" w:themeColor="text1"/>
                      <w:kern w:val="0"/>
                      <w:lang w:val="en-US" w:eastAsia="zh-CN" w:bidi="ar"/>
                      <w14:textFill>
                        <w14:solidFill>
                          <w14:schemeClr w14:val="tx1"/>
                        </w14:solidFill>
                      </w14:textFill>
                    </w:rPr>
                    <w:t>铁</w:t>
                  </w:r>
                  <w:r>
                    <w:rPr>
                      <w:rFonts w:ascii="宋体" w:hAnsi="宋体" w:cs="宋体"/>
                      <w:color w:val="000000" w:themeColor="text1"/>
                      <w:kern w:val="0"/>
                      <w:lang w:bidi="ar"/>
                      <w14:textFill>
                        <w14:solidFill>
                          <w14:schemeClr w14:val="tx1"/>
                        </w14:solidFill>
                      </w14:textFill>
                    </w:rPr>
                    <w:t>屑</w:t>
                  </w:r>
                </w:p>
              </w:tc>
              <w:tc>
                <w:tcPr>
                  <w:tcW w:w="1898" w:type="pct"/>
                  <w:vMerge w:val="continue"/>
                  <w:noWrap w:val="0"/>
                  <w:vAlign w:val="center"/>
                </w:tcPr>
                <w:p w14:paraId="05596FAD">
                  <w:pPr>
                    <w:keepNext w:val="0"/>
                    <w:keepLines w:val="0"/>
                    <w:pageBreakBefore w:val="0"/>
                    <w:widowControl w:val="0"/>
                    <w:kinsoku/>
                    <w:wordWrap/>
                    <w:overflowPunct/>
                    <w:topLinePunct w:val="0"/>
                    <w:bidi w:val="0"/>
                    <w:spacing w:line="240" w:lineRule="auto"/>
                    <w:ind w:firstLine="0" w:firstLineChars="0"/>
                    <w:jc w:val="center"/>
                    <w:rPr>
                      <w:rFonts w:hint="eastAsia"/>
                      <w:color w:val="000000"/>
                      <w:sz w:val="21"/>
                      <w:szCs w:val="21"/>
                    </w:rPr>
                  </w:pPr>
                </w:p>
              </w:tc>
            </w:tr>
            <w:tr w14:paraId="3B6A4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117C0283">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1B90750F">
                  <w:pPr>
                    <w:pStyle w:val="35"/>
                    <w:ind w:firstLine="0" w:firstLineChars="0"/>
                    <w:rPr>
                      <w:bCs/>
                      <w:color w:val="000000"/>
                      <w:kern w:val="0"/>
                      <w:sz w:val="21"/>
                      <w:szCs w:val="21"/>
                    </w:rPr>
                  </w:pPr>
                  <w:r>
                    <w:rPr>
                      <w:rFonts w:hint="eastAsia"/>
                      <w:color w:val="000000" w:themeColor="text1"/>
                      <w:lang w:val="en-US" w:eastAsia="zh-CN"/>
                      <w14:textFill>
                        <w14:solidFill>
                          <w14:schemeClr w14:val="tx1"/>
                        </w14:solidFill>
                      </w14:textFill>
                    </w:rPr>
                    <w:t>抛丸工序</w:t>
                  </w:r>
                </w:p>
              </w:tc>
              <w:tc>
                <w:tcPr>
                  <w:tcW w:w="1607" w:type="pct"/>
                  <w:noWrap w:val="0"/>
                  <w:vAlign w:val="center"/>
                </w:tcPr>
                <w:p w14:paraId="6F0E49AF">
                  <w:pPr>
                    <w:pStyle w:val="35"/>
                    <w:ind w:firstLine="0" w:firstLineChars="0"/>
                    <w:rPr>
                      <w:bCs/>
                      <w:color w:val="000000"/>
                      <w:kern w:val="0"/>
                      <w:sz w:val="21"/>
                      <w:szCs w:val="21"/>
                    </w:rPr>
                  </w:pPr>
                  <w:r>
                    <w:rPr>
                      <w:color w:val="000000"/>
                      <w:spacing w:val="5"/>
                      <w:sz w:val="24"/>
                    </w:rPr>
                    <w:t>废</w:t>
                  </w:r>
                  <w:r>
                    <w:rPr>
                      <w:rFonts w:hint="eastAsia"/>
                      <w:color w:val="000000"/>
                      <w:spacing w:val="5"/>
                      <w:sz w:val="24"/>
                      <w:lang w:val="en-US" w:eastAsia="zh-CN"/>
                    </w:rPr>
                    <w:t>钢丸</w:t>
                  </w:r>
                </w:p>
              </w:tc>
              <w:tc>
                <w:tcPr>
                  <w:tcW w:w="1898" w:type="pct"/>
                  <w:vMerge w:val="continue"/>
                  <w:noWrap w:val="0"/>
                  <w:vAlign w:val="center"/>
                </w:tcPr>
                <w:p w14:paraId="2E46FAA7">
                  <w:pPr>
                    <w:keepNext w:val="0"/>
                    <w:keepLines w:val="0"/>
                    <w:pageBreakBefore w:val="0"/>
                    <w:widowControl w:val="0"/>
                    <w:kinsoku/>
                    <w:wordWrap/>
                    <w:overflowPunct/>
                    <w:topLinePunct w:val="0"/>
                    <w:bidi w:val="0"/>
                    <w:spacing w:line="240" w:lineRule="auto"/>
                    <w:ind w:firstLine="0" w:firstLineChars="0"/>
                    <w:jc w:val="center"/>
                    <w:rPr>
                      <w:bCs/>
                      <w:color w:val="000000"/>
                      <w:kern w:val="0"/>
                      <w:sz w:val="21"/>
                      <w:szCs w:val="21"/>
                    </w:rPr>
                  </w:pPr>
                </w:p>
              </w:tc>
            </w:tr>
            <w:tr w14:paraId="0BC46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44C78DA5">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6C244DA7">
                  <w:pPr>
                    <w:pStyle w:val="35"/>
                    <w:ind w:firstLine="0" w:firstLineChars="0"/>
                    <w:rPr>
                      <w:bCs/>
                      <w:color w:val="000000"/>
                      <w:kern w:val="0"/>
                      <w:sz w:val="21"/>
                      <w:szCs w:val="21"/>
                    </w:rPr>
                  </w:pPr>
                  <w:r>
                    <w:rPr>
                      <w:rFonts w:hint="default"/>
                      <w:color w:val="000000" w:themeColor="text1"/>
                      <w14:textFill>
                        <w14:solidFill>
                          <w14:schemeClr w14:val="tx1"/>
                        </w14:solidFill>
                      </w14:textFill>
                    </w:rPr>
                    <w:t>物料拆包过程</w:t>
                  </w:r>
                </w:p>
              </w:tc>
              <w:tc>
                <w:tcPr>
                  <w:tcW w:w="1607" w:type="pct"/>
                  <w:noWrap w:val="0"/>
                  <w:vAlign w:val="center"/>
                </w:tcPr>
                <w:p w14:paraId="33DD2BE8">
                  <w:pPr>
                    <w:pStyle w:val="35"/>
                    <w:ind w:firstLine="0" w:firstLineChars="0"/>
                    <w:rPr>
                      <w:bCs/>
                      <w:color w:val="000000"/>
                      <w:kern w:val="0"/>
                      <w:sz w:val="21"/>
                      <w:szCs w:val="21"/>
                    </w:rPr>
                  </w:pPr>
                  <w:r>
                    <w:rPr>
                      <w:rFonts w:hint="default"/>
                      <w:color w:val="000000" w:themeColor="text1"/>
                      <w14:textFill>
                        <w14:solidFill>
                          <w14:schemeClr w14:val="tx1"/>
                        </w14:solidFill>
                      </w14:textFill>
                    </w:rPr>
                    <w:t>废包装袋</w:t>
                  </w:r>
                </w:p>
              </w:tc>
              <w:tc>
                <w:tcPr>
                  <w:tcW w:w="1898" w:type="pct"/>
                  <w:vMerge w:val="continue"/>
                  <w:noWrap w:val="0"/>
                  <w:vAlign w:val="center"/>
                </w:tcPr>
                <w:p w14:paraId="4E74DF3B">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r>
            <w:tr w14:paraId="6ABB9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3B41A56A">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29458755">
                  <w:pPr>
                    <w:pStyle w:val="35"/>
                    <w:ind w:firstLine="0" w:firstLineChars="0"/>
                    <w:rPr>
                      <w:bCs/>
                      <w:color w:val="000000"/>
                      <w:kern w:val="0"/>
                      <w:sz w:val="21"/>
                      <w:szCs w:val="21"/>
                    </w:rPr>
                  </w:pPr>
                  <w:r>
                    <w:rPr>
                      <w:rFonts w:hint="eastAsia"/>
                      <w:color w:val="000000" w:themeColor="text1"/>
                      <w:kern w:val="0"/>
                      <w:szCs w:val="24"/>
                      <w:lang w:val="en-US" w:eastAsia="zh-CN"/>
                      <w14:textFill>
                        <w14:solidFill>
                          <w14:schemeClr w14:val="tx1"/>
                        </w14:solidFill>
                      </w14:textFill>
                    </w:rPr>
                    <w:t>废气治理</w:t>
                  </w:r>
                </w:p>
              </w:tc>
              <w:tc>
                <w:tcPr>
                  <w:tcW w:w="1607" w:type="pct"/>
                  <w:noWrap w:val="0"/>
                  <w:vAlign w:val="center"/>
                </w:tcPr>
                <w:p w14:paraId="17EFC1D6">
                  <w:pPr>
                    <w:pStyle w:val="35"/>
                    <w:ind w:firstLine="0" w:firstLineChars="0"/>
                    <w:rPr>
                      <w:color w:val="000000"/>
                      <w:sz w:val="21"/>
                      <w:szCs w:val="21"/>
                    </w:rPr>
                  </w:pPr>
                  <w:r>
                    <w:rPr>
                      <w:rFonts w:hint="default"/>
                      <w:color w:val="000000" w:themeColor="text1"/>
                      <w14:textFill>
                        <w14:solidFill>
                          <w14:schemeClr w14:val="tx1"/>
                        </w14:solidFill>
                      </w14:textFill>
                    </w:rPr>
                    <w:t>袋式除尘器收集的粉尘</w:t>
                  </w:r>
                </w:p>
              </w:tc>
              <w:tc>
                <w:tcPr>
                  <w:tcW w:w="1898" w:type="pct"/>
                  <w:vMerge w:val="continue"/>
                  <w:noWrap w:val="0"/>
                  <w:vAlign w:val="center"/>
                </w:tcPr>
                <w:p w14:paraId="05265E91">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r>
            <w:tr w14:paraId="3C74D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55C66CBB">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noWrap w:val="0"/>
                  <w:vAlign w:val="center"/>
                </w:tcPr>
                <w:p w14:paraId="1C6FEE1B">
                  <w:pPr>
                    <w:pStyle w:val="35"/>
                    <w:ind w:firstLine="0" w:firstLineChars="0"/>
                    <w:rPr>
                      <w:rFonts w:hint="eastAsia"/>
                      <w:bCs/>
                      <w:color w:val="000000"/>
                      <w:kern w:val="0"/>
                      <w:sz w:val="21"/>
                      <w:szCs w:val="21"/>
                    </w:rPr>
                  </w:pPr>
                  <w:r>
                    <w:rPr>
                      <w:rFonts w:hint="eastAsia"/>
                      <w:color w:val="000000" w:themeColor="text1"/>
                      <w:kern w:val="0"/>
                      <w:szCs w:val="24"/>
                      <w:lang w:val="en-US" w:eastAsia="zh-CN"/>
                      <w14:textFill>
                        <w14:solidFill>
                          <w14:schemeClr w14:val="tx1"/>
                        </w14:solidFill>
                      </w14:textFill>
                    </w:rPr>
                    <w:t>熔炼工序</w:t>
                  </w:r>
                </w:p>
              </w:tc>
              <w:tc>
                <w:tcPr>
                  <w:tcW w:w="1607" w:type="pct"/>
                  <w:noWrap w:val="0"/>
                  <w:vAlign w:val="center"/>
                </w:tcPr>
                <w:p w14:paraId="0106C6D3">
                  <w:pPr>
                    <w:pStyle w:val="35"/>
                    <w:ind w:firstLine="0" w:firstLineChars="0"/>
                    <w:rPr>
                      <w:rFonts w:hint="eastAsia"/>
                      <w:color w:val="000000"/>
                      <w:sz w:val="21"/>
                      <w:szCs w:val="21"/>
                    </w:rPr>
                  </w:pPr>
                  <w:r>
                    <w:rPr>
                      <w:rFonts w:hint="eastAsia" w:ascii="宋体" w:hAnsi="宋体" w:eastAsia="宋体" w:cs="宋体"/>
                      <w:lang w:val="en-US" w:eastAsia="zh-CN"/>
                    </w:rPr>
                    <w:t>炉渣</w:t>
                  </w:r>
                </w:p>
              </w:tc>
              <w:tc>
                <w:tcPr>
                  <w:tcW w:w="1898" w:type="pct"/>
                  <w:vMerge w:val="continue"/>
                  <w:noWrap w:val="0"/>
                  <w:vAlign w:val="center"/>
                </w:tcPr>
                <w:p w14:paraId="505F86E5">
                  <w:pPr>
                    <w:keepNext w:val="0"/>
                    <w:keepLines w:val="0"/>
                    <w:pageBreakBefore w:val="0"/>
                    <w:widowControl w:val="0"/>
                    <w:kinsoku/>
                    <w:wordWrap/>
                    <w:overflowPunct/>
                    <w:topLinePunct w:val="0"/>
                    <w:bidi w:val="0"/>
                    <w:spacing w:line="240" w:lineRule="auto"/>
                    <w:ind w:firstLine="0" w:firstLineChars="0"/>
                    <w:jc w:val="center"/>
                    <w:rPr>
                      <w:rFonts w:hint="eastAsia"/>
                      <w:color w:val="000000"/>
                      <w:sz w:val="21"/>
                      <w:szCs w:val="21"/>
                    </w:rPr>
                  </w:pPr>
                </w:p>
              </w:tc>
            </w:tr>
            <w:tr w14:paraId="364E0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38E7F862">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restart"/>
                  <w:noWrap w:val="0"/>
                  <w:vAlign w:val="center"/>
                </w:tcPr>
                <w:p w14:paraId="5FB7EFCD">
                  <w:pPr>
                    <w:pStyle w:val="45"/>
                    <w:keepNext w:val="0"/>
                    <w:keepLines w:val="0"/>
                    <w:pageBreakBefore w:val="0"/>
                    <w:kinsoku/>
                    <w:wordWrap/>
                    <w:overflowPunct/>
                    <w:topLinePunct w:val="0"/>
                    <w:bidi w:val="0"/>
                    <w:snapToGrid w:val="0"/>
                    <w:spacing w:line="240" w:lineRule="auto"/>
                    <w:ind w:firstLine="0" w:firstLineChars="0"/>
                    <w:rPr>
                      <w:rFonts w:hint="eastAsia"/>
                      <w:bCs/>
                      <w:color w:val="000000"/>
                      <w:kern w:val="0"/>
                      <w:sz w:val="21"/>
                      <w:szCs w:val="21"/>
                    </w:rPr>
                  </w:pPr>
                  <w:r>
                    <w:rPr>
                      <w:rFonts w:ascii="Times New Roman" w:hAnsi="Times New Roman"/>
                      <w:color w:val="000000"/>
                      <w:sz w:val="21"/>
                      <w:szCs w:val="21"/>
                      <w:highlight w:val="none"/>
                    </w:rPr>
                    <w:t>设备维护</w:t>
                  </w:r>
                </w:p>
              </w:tc>
              <w:tc>
                <w:tcPr>
                  <w:tcW w:w="1607" w:type="pct"/>
                  <w:noWrap w:val="0"/>
                  <w:vAlign w:val="center"/>
                </w:tcPr>
                <w:p w14:paraId="2986D9BD">
                  <w:pPr>
                    <w:keepNext w:val="0"/>
                    <w:keepLines w:val="0"/>
                    <w:pageBreakBefore w:val="0"/>
                    <w:kinsoku/>
                    <w:wordWrap/>
                    <w:overflowPunct/>
                    <w:topLinePunct w:val="0"/>
                    <w:bidi w:val="0"/>
                    <w:spacing w:line="240" w:lineRule="auto"/>
                    <w:ind w:firstLine="0" w:firstLineChars="0"/>
                    <w:jc w:val="center"/>
                    <w:rPr>
                      <w:rFonts w:hint="eastAsia"/>
                      <w:bCs/>
                      <w:color w:val="000000"/>
                      <w:kern w:val="0"/>
                      <w:sz w:val="21"/>
                      <w:szCs w:val="21"/>
                    </w:rPr>
                  </w:pPr>
                  <w:r>
                    <w:rPr>
                      <w:color w:val="000000"/>
                      <w:sz w:val="21"/>
                      <w:szCs w:val="21"/>
                      <w:highlight w:val="none"/>
                    </w:rPr>
                    <w:t>废润滑油</w:t>
                  </w:r>
                </w:p>
              </w:tc>
              <w:tc>
                <w:tcPr>
                  <w:tcW w:w="3251" w:type="dxa"/>
                  <w:vMerge w:val="restart"/>
                  <w:noWrap w:val="0"/>
                  <w:vAlign w:val="center"/>
                </w:tcPr>
                <w:p w14:paraId="10FC996E">
                  <w:pPr>
                    <w:pStyle w:val="35"/>
                    <w:ind w:firstLine="0" w:firstLineChars="0"/>
                    <w:rPr>
                      <w:bCs/>
                      <w:color w:val="000000"/>
                      <w:sz w:val="21"/>
                      <w:szCs w:val="21"/>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有“六防”措施的危废暂存间</w:t>
                  </w:r>
                </w:p>
              </w:tc>
            </w:tr>
            <w:tr w14:paraId="38A4F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3FBB27C4">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759E67A5">
                  <w:pPr>
                    <w:keepNext w:val="0"/>
                    <w:keepLines w:val="0"/>
                    <w:pageBreakBefore w:val="0"/>
                    <w:widowControl w:val="0"/>
                    <w:kinsoku/>
                    <w:wordWrap/>
                    <w:overflowPunct/>
                    <w:topLinePunct w:val="0"/>
                    <w:bidi w:val="0"/>
                    <w:snapToGrid w:val="0"/>
                    <w:spacing w:line="240" w:lineRule="auto"/>
                    <w:ind w:firstLine="0" w:firstLineChars="0"/>
                    <w:jc w:val="center"/>
                    <w:rPr>
                      <w:rFonts w:hint="eastAsia"/>
                      <w:bCs/>
                      <w:color w:val="000000"/>
                      <w:kern w:val="0"/>
                      <w:sz w:val="21"/>
                      <w:szCs w:val="21"/>
                    </w:rPr>
                  </w:pPr>
                </w:p>
              </w:tc>
              <w:tc>
                <w:tcPr>
                  <w:tcW w:w="1607" w:type="pct"/>
                  <w:noWrap w:val="0"/>
                  <w:vAlign w:val="center"/>
                </w:tcPr>
                <w:p w14:paraId="06E8F1C8">
                  <w:pPr>
                    <w:keepNext w:val="0"/>
                    <w:keepLines w:val="0"/>
                    <w:pageBreakBefore w:val="0"/>
                    <w:kinsoku/>
                    <w:wordWrap/>
                    <w:overflowPunct/>
                    <w:topLinePunct w:val="0"/>
                    <w:bidi w:val="0"/>
                    <w:spacing w:line="240" w:lineRule="auto"/>
                    <w:ind w:firstLine="0" w:firstLineChars="0"/>
                    <w:jc w:val="center"/>
                    <w:rPr>
                      <w:rFonts w:hint="eastAsia"/>
                      <w:bCs/>
                      <w:color w:val="000000"/>
                      <w:kern w:val="0"/>
                      <w:sz w:val="21"/>
                      <w:szCs w:val="21"/>
                    </w:rPr>
                  </w:pPr>
                  <w:r>
                    <w:rPr>
                      <w:color w:val="000000"/>
                      <w:sz w:val="21"/>
                      <w:szCs w:val="21"/>
                      <w:highlight w:val="none"/>
                    </w:rPr>
                    <w:t>废润滑油桶</w:t>
                  </w:r>
                </w:p>
              </w:tc>
              <w:tc>
                <w:tcPr>
                  <w:tcW w:w="1898" w:type="pct"/>
                  <w:vMerge w:val="continue"/>
                  <w:noWrap w:val="0"/>
                  <w:vAlign w:val="center"/>
                </w:tcPr>
                <w:p w14:paraId="2EACEE83">
                  <w:pPr>
                    <w:keepNext w:val="0"/>
                    <w:keepLines w:val="0"/>
                    <w:pageBreakBefore w:val="0"/>
                    <w:widowControl w:val="0"/>
                    <w:tabs>
                      <w:tab w:val="left" w:pos="5250"/>
                    </w:tabs>
                    <w:kinsoku/>
                    <w:wordWrap/>
                    <w:overflowPunct/>
                    <w:topLinePunct w:val="0"/>
                    <w:bidi w:val="0"/>
                    <w:adjustRightInd w:val="0"/>
                    <w:snapToGrid w:val="0"/>
                    <w:spacing w:line="240" w:lineRule="auto"/>
                    <w:ind w:firstLine="0" w:firstLineChars="0"/>
                    <w:jc w:val="center"/>
                    <w:rPr>
                      <w:bCs/>
                      <w:color w:val="000000"/>
                      <w:sz w:val="21"/>
                      <w:szCs w:val="21"/>
                    </w:rPr>
                  </w:pPr>
                </w:p>
              </w:tc>
            </w:tr>
            <w:tr w14:paraId="6014B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0F393A8C">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restart"/>
                  <w:noWrap w:val="0"/>
                  <w:vAlign w:val="center"/>
                </w:tcPr>
                <w:p w14:paraId="19ADD0D6">
                  <w:pPr>
                    <w:pStyle w:val="45"/>
                    <w:keepNext w:val="0"/>
                    <w:keepLines w:val="0"/>
                    <w:pageBreakBefore w:val="0"/>
                    <w:kinsoku/>
                    <w:wordWrap/>
                    <w:overflowPunct/>
                    <w:topLinePunct w:val="0"/>
                    <w:bidi w:val="0"/>
                    <w:snapToGrid w:val="0"/>
                    <w:spacing w:line="240" w:lineRule="auto"/>
                    <w:ind w:firstLine="0" w:firstLineChars="0"/>
                    <w:rPr>
                      <w:rFonts w:hint="eastAsia"/>
                      <w:bCs/>
                      <w:color w:val="000000"/>
                      <w:kern w:val="0"/>
                      <w:sz w:val="21"/>
                      <w:szCs w:val="21"/>
                    </w:rPr>
                  </w:pPr>
                  <w:r>
                    <w:rPr>
                      <w:rFonts w:hint="eastAsia" w:ascii="Times New Roman" w:hAnsi="Times New Roman"/>
                      <w:color w:val="000000"/>
                      <w:sz w:val="21"/>
                      <w:szCs w:val="21"/>
                      <w:highlight w:val="none"/>
                    </w:rPr>
                    <w:t>原</w:t>
                  </w:r>
                  <w:r>
                    <w:rPr>
                      <w:rFonts w:hint="eastAsia" w:ascii="Times New Roman" w:hAnsi="Times New Roman"/>
                      <w:color w:val="000000"/>
                      <w:sz w:val="21"/>
                      <w:szCs w:val="21"/>
                      <w:highlight w:val="none"/>
                      <w:lang w:val="en-US" w:eastAsia="zh-CN"/>
                    </w:rPr>
                    <w:t>辅</w:t>
                  </w:r>
                  <w:r>
                    <w:rPr>
                      <w:rFonts w:hint="eastAsia" w:ascii="Times New Roman" w:hAnsi="Times New Roman"/>
                      <w:color w:val="000000"/>
                      <w:sz w:val="21"/>
                      <w:szCs w:val="21"/>
                      <w:highlight w:val="none"/>
                    </w:rPr>
                    <w:t>料使用</w:t>
                  </w:r>
                </w:p>
              </w:tc>
              <w:tc>
                <w:tcPr>
                  <w:tcW w:w="1607" w:type="pct"/>
                  <w:noWrap w:val="0"/>
                  <w:vAlign w:val="center"/>
                </w:tcPr>
                <w:p w14:paraId="3029A9CB">
                  <w:pPr>
                    <w:keepNext w:val="0"/>
                    <w:keepLines w:val="0"/>
                    <w:pageBreakBefore w:val="0"/>
                    <w:kinsoku/>
                    <w:wordWrap/>
                    <w:overflowPunct/>
                    <w:topLinePunct w:val="0"/>
                    <w:bidi w:val="0"/>
                    <w:spacing w:line="240" w:lineRule="auto"/>
                    <w:ind w:firstLine="0" w:firstLineChars="0"/>
                    <w:jc w:val="center"/>
                    <w:rPr>
                      <w:rFonts w:hint="eastAsia"/>
                      <w:bCs/>
                      <w:color w:val="000000"/>
                      <w:kern w:val="0"/>
                      <w:sz w:val="21"/>
                      <w:szCs w:val="21"/>
                    </w:rPr>
                  </w:pPr>
                  <w:r>
                    <w:rPr>
                      <w:rFonts w:hint="eastAsia"/>
                      <w:color w:val="000000"/>
                      <w:sz w:val="21"/>
                      <w:szCs w:val="21"/>
                      <w:highlight w:val="none"/>
                    </w:rPr>
                    <w:t>废呋喃树脂桶</w:t>
                  </w:r>
                </w:p>
              </w:tc>
              <w:tc>
                <w:tcPr>
                  <w:tcW w:w="1898" w:type="pct"/>
                  <w:vMerge w:val="continue"/>
                  <w:noWrap w:val="0"/>
                  <w:vAlign w:val="center"/>
                </w:tcPr>
                <w:p w14:paraId="6BFEB66F">
                  <w:pPr>
                    <w:keepNext w:val="0"/>
                    <w:keepLines w:val="0"/>
                    <w:pageBreakBefore w:val="0"/>
                    <w:widowControl w:val="0"/>
                    <w:tabs>
                      <w:tab w:val="left" w:pos="5250"/>
                    </w:tabs>
                    <w:kinsoku/>
                    <w:wordWrap/>
                    <w:overflowPunct/>
                    <w:topLinePunct w:val="0"/>
                    <w:bidi w:val="0"/>
                    <w:adjustRightInd w:val="0"/>
                    <w:snapToGrid w:val="0"/>
                    <w:spacing w:line="240" w:lineRule="auto"/>
                    <w:ind w:firstLine="0" w:firstLineChars="0"/>
                    <w:jc w:val="center"/>
                    <w:rPr>
                      <w:bCs/>
                      <w:color w:val="000000"/>
                      <w:sz w:val="21"/>
                      <w:szCs w:val="21"/>
                    </w:rPr>
                  </w:pPr>
                </w:p>
              </w:tc>
            </w:tr>
            <w:tr w14:paraId="47F0C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5F853F6A">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14FCD238">
                  <w:pPr>
                    <w:keepNext w:val="0"/>
                    <w:keepLines w:val="0"/>
                    <w:pageBreakBefore w:val="0"/>
                    <w:widowControl w:val="0"/>
                    <w:kinsoku/>
                    <w:wordWrap/>
                    <w:overflowPunct/>
                    <w:topLinePunct w:val="0"/>
                    <w:bidi w:val="0"/>
                    <w:snapToGrid w:val="0"/>
                    <w:spacing w:line="240" w:lineRule="auto"/>
                    <w:ind w:firstLine="0" w:firstLineChars="0"/>
                    <w:jc w:val="center"/>
                    <w:rPr>
                      <w:rFonts w:hint="eastAsia"/>
                      <w:bCs/>
                      <w:color w:val="000000"/>
                      <w:kern w:val="0"/>
                      <w:sz w:val="21"/>
                      <w:szCs w:val="21"/>
                    </w:rPr>
                  </w:pPr>
                </w:p>
              </w:tc>
              <w:tc>
                <w:tcPr>
                  <w:tcW w:w="1607" w:type="pct"/>
                  <w:noWrap w:val="0"/>
                  <w:vAlign w:val="center"/>
                </w:tcPr>
                <w:p w14:paraId="3A2AD4E9">
                  <w:pPr>
                    <w:keepNext w:val="0"/>
                    <w:keepLines w:val="0"/>
                    <w:pageBreakBefore w:val="0"/>
                    <w:kinsoku/>
                    <w:wordWrap/>
                    <w:overflowPunct/>
                    <w:topLinePunct w:val="0"/>
                    <w:bidi w:val="0"/>
                    <w:spacing w:line="240" w:lineRule="auto"/>
                    <w:ind w:firstLine="0" w:firstLineChars="0"/>
                    <w:jc w:val="center"/>
                    <w:rPr>
                      <w:rFonts w:hint="eastAsia"/>
                      <w:bCs/>
                      <w:color w:val="000000"/>
                      <w:kern w:val="0"/>
                      <w:sz w:val="21"/>
                      <w:szCs w:val="21"/>
                    </w:rPr>
                  </w:pPr>
                  <w:r>
                    <w:rPr>
                      <w:rFonts w:hint="eastAsia"/>
                      <w:color w:val="000000"/>
                      <w:sz w:val="21"/>
                      <w:szCs w:val="21"/>
                      <w:highlight w:val="none"/>
                    </w:rPr>
                    <w:t>废固化剂桶</w:t>
                  </w:r>
                </w:p>
              </w:tc>
              <w:tc>
                <w:tcPr>
                  <w:tcW w:w="1898" w:type="pct"/>
                  <w:vMerge w:val="continue"/>
                  <w:noWrap w:val="0"/>
                  <w:vAlign w:val="center"/>
                </w:tcPr>
                <w:p w14:paraId="32E49A09">
                  <w:pPr>
                    <w:keepNext w:val="0"/>
                    <w:keepLines w:val="0"/>
                    <w:pageBreakBefore w:val="0"/>
                    <w:widowControl w:val="0"/>
                    <w:tabs>
                      <w:tab w:val="left" w:pos="5250"/>
                    </w:tabs>
                    <w:kinsoku/>
                    <w:wordWrap/>
                    <w:overflowPunct/>
                    <w:topLinePunct w:val="0"/>
                    <w:bidi w:val="0"/>
                    <w:adjustRightInd w:val="0"/>
                    <w:snapToGrid w:val="0"/>
                    <w:spacing w:line="240" w:lineRule="auto"/>
                    <w:ind w:firstLine="0" w:firstLineChars="0"/>
                    <w:jc w:val="center"/>
                    <w:rPr>
                      <w:bCs/>
                      <w:color w:val="000000"/>
                      <w:sz w:val="21"/>
                      <w:szCs w:val="21"/>
                    </w:rPr>
                  </w:pPr>
                </w:p>
              </w:tc>
            </w:tr>
            <w:tr w14:paraId="0AA80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5EDC8222">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4B5C09FA">
                  <w:pPr>
                    <w:keepNext w:val="0"/>
                    <w:keepLines w:val="0"/>
                    <w:pageBreakBefore w:val="0"/>
                    <w:widowControl w:val="0"/>
                    <w:kinsoku/>
                    <w:wordWrap/>
                    <w:overflowPunct/>
                    <w:topLinePunct w:val="0"/>
                    <w:bidi w:val="0"/>
                    <w:snapToGrid w:val="0"/>
                    <w:spacing w:line="240" w:lineRule="auto"/>
                    <w:ind w:firstLine="0" w:firstLineChars="0"/>
                    <w:jc w:val="center"/>
                    <w:rPr>
                      <w:bCs/>
                      <w:color w:val="000000"/>
                      <w:sz w:val="21"/>
                      <w:szCs w:val="21"/>
                    </w:rPr>
                  </w:pPr>
                </w:p>
              </w:tc>
              <w:tc>
                <w:tcPr>
                  <w:tcW w:w="1607" w:type="pct"/>
                  <w:noWrap w:val="0"/>
                  <w:vAlign w:val="center"/>
                </w:tcPr>
                <w:p w14:paraId="7A3AA0CC">
                  <w:pPr>
                    <w:keepNext w:val="0"/>
                    <w:keepLines w:val="0"/>
                    <w:pageBreakBefore w:val="0"/>
                    <w:kinsoku/>
                    <w:wordWrap/>
                    <w:overflowPunct/>
                    <w:topLinePunct w:val="0"/>
                    <w:bidi w:val="0"/>
                    <w:spacing w:line="240" w:lineRule="auto"/>
                    <w:ind w:firstLine="0" w:firstLineChars="0"/>
                    <w:jc w:val="center"/>
                    <w:rPr>
                      <w:bCs/>
                      <w:color w:val="000000"/>
                      <w:sz w:val="21"/>
                      <w:szCs w:val="21"/>
                    </w:rPr>
                  </w:pPr>
                  <w:r>
                    <w:rPr>
                      <w:rFonts w:hint="eastAsia"/>
                      <w:color w:val="000000"/>
                      <w:sz w:val="21"/>
                      <w:szCs w:val="21"/>
                      <w:highlight w:val="none"/>
                      <w:lang w:val="en-US" w:eastAsia="zh-CN"/>
                    </w:rPr>
                    <w:t>废醇基涂料桶</w:t>
                  </w:r>
                </w:p>
              </w:tc>
              <w:tc>
                <w:tcPr>
                  <w:tcW w:w="1898" w:type="pct"/>
                  <w:vMerge w:val="continue"/>
                  <w:noWrap w:val="0"/>
                  <w:vAlign w:val="center"/>
                </w:tcPr>
                <w:p w14:paraId="727DAE8C">
                  <w:pPr>
                    <w:keepNext w:val="0"/>
                    <w:keepLines w:val="0"/>
                    <w:pageBreakBefore w:val="0"/>
                    <w:widowControl w:val="0"/>
                    <w:tabs>
                      <w:tab w:val="left" w:pos="5250"/>
                    </w:tabs>
                    <w:kinsoku/>
                    <w:wordWrap/>
                    <w:overflowPunct/>
                    <w:topLinePunct w:val="0"/>
                    <w:bidi w:val="0"/>
                    <w:adjustRightInd w:val="0"/>
                    <w:snapToGrid w:val="0"/>
                    <w:spacing w:line="240" w:lineRule="auto"/>
                    <w:ind w:firstLine="0" w:firstLineChars="0"/>
                    <w:jc w:val="center"/>
                    <w:rPr>
                      <w:rFonts w:hint="eastAsia"/>
                      <w:color w:val="000000"/>
                      <w:sz w:val="21"/>
                      <w:szCs w:val="21"/>
                    </w:rPr>
                  </w:pPr>
                </w:p>
              </w:tc>
            </w:tr>
            <w:tr w14:paraId="6E107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6CCD9213">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0269FF71">
                  <w:pPr>
                    <w:keepNext w:val="0"/>
                    <w:keepLines w:val="0"/>
                    <w:pageBreakBefore w:val="0"/>
                    <w:widowControl w:val="0"/>
                    <w:kinsoku/>
                    <w:wordWrap/>
                    <w:overflowPunct/>
                    <w:topLinePunct w:val="0"/>
                    <w:bidi w:val="0"/>
                    <w:snapToGrid w:val="0"/>
                    <w:spacing w:line="240" w:lineRule="auto"/>
                    <w:ind w:firstLine="0" w:firstLineChars="0"/>
                    <w:jc w:val="center"/>
                    <w:rPr>
                      <w:rFonts w:hint="eastAsia"/>
                      <w:bCs/>
                      <w:color w:val="000000"/>
                      <w:sz w:val="21"/>
                      <w:szCs w:val="21"/>
                    </w:rPr>
                  </w:pPr>
                </w:p>
              </w:tc>
              <w:tc>
                <w:tcPr>
                  <w:tcW w:w="1607" w:type="pct"/>
                  <w:noWrap w:val="0"/>
                  <w:vAlign w:val="center"/>
                </w:tcPr>
                <w:p w14:paraId="2EDE57C9">
                  <w:pPr>
                    <w:keepNext w:val="0"/>
                    <w:keepLines w:val="0"/>
                    <w:pageBreakBefore w:val="0"/>
                    <w:kinsoku/>
                    <w:wordWrap/>
                    <w:overflowPunct/>
                    <w:topLinePunct w:val="0"/>
                    <w:bidi w:val="0"/>
                    <w:spacing w:line="240" w:lineRule="auto"/>
                    <w:ind w:firstLine="0" w:firstLineChars="0"/>
                    <w:jc w:val="center"/>
                    <w:rPr>
                      <w:rFonts w:hint="eastAsia"/>
                      <w:bCs/>
                      <w:color w:val="000000"/>
                      <w:sz w:val="21"/>
                      <w:szCs w:val="21"/>
                    </w:rPr>
                  </w:pPr>
                  <w:r>
                    <w:rPr>
                      <w:rFonts w:hint="eastAsia"/>
                      <w:color w:val="000000"/>
                      <w:sz w:val="21"/>
                      <w:szCs w:val="21"/>
                      <w:lang w:val="en-US" w:eastAsia="zh-CN"/>
                    </w:rPr>
                    <w:t>废脱模剂桶</w:t>
                  </w:r>
                </w:p>
              </w:tc>
              <w:tc>
                <w:tcPr>
                  <w:tcW w:w="1898" w:type="pct"/>
                  <w:vMerge w:val="continue"/>
                  <w:noWrap w:val="0"/>
                  <w:vAlign w:val="center"/>
                </w:tcPr>
                <w:p w14:paraId="3AA3A1DF">
                  <w:pPr>
                    <w:keepNext w:val="0"/>
                    <w:keepLines w:val="0"/>
                    <w:pageBreakBefore w:val="0"/>
                    <w:widowControl w:val="0"/>
                    <w:tabs>
                      <w:tab w:val="left" w:pos="5250"/>
                    </w:tabs>
                    <w:kinsoku/>
                    <w:wordWrap/>
                    <w:overflowPunct/>
                    <w:topLinePunct w:val="0"/>
                    <w:bidi w:val="0"/>
                    <w:adjustRightInd w:val="0"/>
                    <w:snapToGrid w:val="0"/>
                    <w:spacing w:line="240" w:lineRule="auto"/>
                    <w:ind w:firstLine="0" w:firstLineChars="0"/>
                    <w:jc w:val="center"/>
                    <w:rPr>
                      <w:rFonts w:hint="eastAsia"/>
                      <w:bCs/>
                      <w:color w:val="000000"/>
                      <w:sz w:val="21"/>
                      <w:szCs w:val="21"/>
                    </w:rPr>
                  </w:pPr>
                </w:p>
              </w:tc>
            </w:tr>
            <w:tr w14:paraId="6282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75334EC5">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restart"/>
                  <w:noWrap w:val="0"/>
                  <w:vAlign w:val="center"/>
                </w:tcPr>
                <w:p w14:paraId="0C3221A6">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rPr>
                    <w:t>有机废气治理设施</w:t>
                  </w:r>
                </w:p>
              </w:tc>
              <w:tc>
                <w:tcPr>
                  <w:tcW w:w="1607" w:type="pct"/>
                  <w:noWrap w:val="0"/>
                  <w:vAlign w:val="center"/>
                </w:tcPr>
                <w:p w14:paraId="6FF73566">
                  <w:pPr>
                    <w:keepNext w:val="0"/>
                    <w:keepLines w:val="0"/>
                    <w:pageBreakBefore w:val="0"/>
                    <w:kinsoku/>
                    <w:wordWrap/>
                    <w:overflowPunct/>
                    <w:topLinePunct w:val="0"/>
                    <w:bidi w:val="0"/>
                    <w:spacing w:line="240" w:lineRule="auto"/>
                    <w:ind w:firstLine="0" w:firstLineChars="0"/>
                    <w:jc w:val="center"/>
                    <w:rPr>
                      <w:rFonts w:hint="eastAsia"/>
                      <w:bCs/>
                      <w:color w:val="000000"/>
                      <w:sz w:val="21"/>
                      <w:szCs w:val="21"/>
                    </w:rPr>
                  </w:pPr>
                  <w:r>
                    <w:rPr>
                      <w:color w:val="000000"/>
                      <w:sz w:val="21"/>
                      <w:szCs w:val="21"/>
                      <w:highlight w:val="none"/>
                    </w:rPr>
                    <w:t>废活性炭</w:t>
                  </w:r>
                </w:p>
              </w:tc>
              <w:tc>
                <w:tcPr>
                  <w:tcW w:w="1898" w:type="pct"/>
                  <w:vMerge w:val="continue"/>
                  <w:noWrap w:val="0"/>
                  <w:vAlign w:val="center"/>
                </w:tcPr>
                <w:p w14:paraId="3960CE16">
                  <w:pPr>
                    <w:keepNext w:val="0"/>
                    <w:keepLines w:val="0"/>
                    <w:pageBreakBefore w:val="0"/>
                    <w:widowControl w:val="0"/>
                    <w:kinsoku/>
                    <w:wordWrap/>
                    <w:overflowPunct/>
                    <w:topLinePunct w:val="0"/>
                    <w:bidi w:val="0"/>
                    <w:spacing w:line="240" w:lineRule="auto"/>
                    <w:ind w:firstLine="0" w:firstLineChars="0"/>
                    <w:jc w:val="center"/>
                    <w:rPr>
                      <w:rFonts w:hint="eastAsia"/>
                      <w:color w:val="000000"/>
                      <w:sz w:val="21"/>
                      <w:szCs w:val="21"/>
                    </w:rPr>
                  </w:pPr>
                </w:p>
              </w:tc>
            </w:tr>
            <w:tr w14:paraId="3A5B0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7" w:type="pct"/>
                  <w:vMerge w:val="continue"/>
                  <w:noWrap w:val="0"/>
                  <w:vAlign w:val="center"/>
                </w:tcPr>
                <w:p w14:paraId="57BD2D82">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16" w:type="pct"/>
                  <w:vMerge w:val="continue"/>
                  <w:noWrap w:val="0"/>
                  <w:vAlign w:val="center"/>
                </w:tcPr>
                <w:p w14:paraId="71BB020F">
                  <w:pPr>
                    <w:pStyle w:val="45"/>
                    <w:keepNext w:val="0"/>
                    <w:keepLines w:val="0"/>
                    <w:pageBreakBefore w:val="0"/>
                    <w:widowControl w:val="0"/>
                    <w:kinsoku/>
                    <w:wordWrap/>
                    <w:overflowPunct/>
                    <w:topLinePunct w:val="0"/>
                    <w:bidi w:val="0"/>
                    <w:snapToGrid w:val="0"/>
                    <w:spacing w:line="240" w:lineRule="auto"/>
                    <w:ind w:firstLine="0" w:firstLineChars="0"/>
                    <w:rPr>
                      <w:rFonts w:hint="eastAsia" w:ascii="Times New Roman" w:hAnsi="Times New Roman"/>
                      <w:color w:val="000000"/>
                      <w:sz w:val="21"/>
                      <w:szCs w:val="21"/>
                    </w:rPr>
                  </w:pPr>
                </w:p>
              </w:tc>
              <w:tc>
                <w:tcPr>
                  <w:tcW w:w="1607" w:type="pct"/>
                  <w:noWrap w:val="0"/>
                  <w:vAlign w:val="center"/>
                </w:tcPr>
                <w:p w14:paraId="0DDBD381">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highlight w:val="none"/>
                      <w:lang w:val="en-US" w:eastAsia="zh-CN"/>
                    </w:rPr>
                    <w:t>废催化剂</w:t>
                  </w:r>
                </w:p>
              </w:tc>
              <w:tc>
                <w:tcPr>
                  <w:tcW w:w="1898" w:type="pct"/>
                  <w:vMerge w:val="continue"/>
                  <w:noWrap w:val="0"/>
                  <w:vAlign w:val="center"/>
                </w:tcPr>
                <w:p w14:paraId="3056763F">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r>
          </w:tbl>
          <w:p w14:paraId="5E3B97E0">
            <w:pPr>
              <w:spacing w:line="360" w:lineRule="auto"/>
              <w:ind w:left="0" w:leftChars="0" w:firstLine="0" w:firstLineChars="0"/>
              <w:rPr>
                <w:rFonts w:hint="default" w:ascii="Times New Roman" w:hAnsi="Times New Roman" w:eastAsia="黑体" w:cs="Times New Roman"/>
                <w:b w:val="0"/>
                <w:bCs/>
                <w:color w:val="000000" w:themeColor="text1"/>
                <w:lang w:val="en-US" w:eastAsia="zh-CN"/>
                <w14:textFill>
                  <w14:solidFill>
                    <w14:schemeClr w14:val="tx1"/>
                  </w14:solidFill>
                </w14:textFill>
              </w:rPr>
            </w:pPr>
            <w:r>
              <w:rPr>
                <w:rFonts w:hint="default" w:ascii="Times New Roman" w:hAnsi="Times New Roman" w:eastAsia="黑体" w:cs="Times New Roman"/>
                <w:b w:val="0"/>
                <w:bCs/>
                <w:color w:val="000000" w:themeColor="text1"/>
                <w:lang w:val="en-US" w:eastAsia="zh-CN"/>
                <w14:textFill>
                  <w14:solidFill>
                    <w14:schemeClr w14:val="tx1"/>
                  </w14:solidFill>
                </w14:textFill>
              </w:rPr>
              <w:t>3、厂区物料平衡与水平衡分析</w:t>
            </w:r>
          </w:p>
          <w:p w14:paraId="1C3A01A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3.1</w:t>
            </w:r>
            <w:r>
              <w:rPr>
                <w:rFonts w:hint="eastAsia" w:eastAsia="宋体" w:cs="Times New Roman"/>
                <w:lang w:val="en-US" w:eastAsia="zh-CN"/>
              </w:rPr>
              <w:t>物料平衡</w:t>
            </w:r>
          </w:p>
          <w:tbl>
            <w:tblPr>
              <w:tblStyle w:val="29"/>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69"/>
            </w:tblGrid>
            <w:tr w14:paraId="26753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71" w:type="dxa"/>
                  <w:vAlign w:val="center"/>
                </w:tcPr>
                <w:p w14:paraId="3C315E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vertAlign w:val="baseline"/>
                      <w:lang w:val="en-US" w:eastAsia="zh-CN"/>
                    </w:rPr>
                  </w:pPr>
                  <w:r>
                    <w:drawing>
                      <wp:inline distT="0" distB="0" distL="114300" distR="114300">
                        <wp:extent cx="5375275" cy="4287520"/>
                        <wp:effectExtent l="0" t="0" r="15875" b="17780"/>
                        <wp:docPr id="1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8"/>
                                <pic:cNvPicPr>
                                  <a:picLocks noChangeAspect="1"/>
                                </pic:cNvPicPr>
                              </pic:nvPicPr>
                              <pic:blipFill>
                                <a:blip r:embed="rId17"/>
                                <a:stretch>
                                  <a:fillRect/>
                                </a:stretch>
                              </pic:blipFill>
                              <pic:spPr>
                                <a:xfrm>
                                  <a:off x="0" y="0"/>
                                  <a:ext cx="5375275" cy="4287520"/>
                                </a:xfrm>
                                <a:prstGeom prst="rect">
                                  <a:avLst/>
                                </a:prstGeom>
                                <a:noFill/>
                                <a:ln>
                                  <a:noFill/>
                                </a:ln>
                              </pic:spPr>
                            </pic:pic>
                          </a:graphicData>
                        </a:graphic>
                      </wp:inline>
                    </w:drawing>
                  </w:r>
                </w:p>
              </w:tc>
            </w:tr>
            <w:tr w14:paraId="22BBBB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71" w:type="dxa"/>
                  <w:vAlign w:val="center"/>
                </w:tcPr>
                <w:p w14:paraId="41BBF8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rPr>
                      <w:rFonts w:hint="default" w:ascii="Times New Roman" w:hAnsi="Times New Roman" w:eastAsia="黑体" w:cs="Times New Roman"/>
                      <w:vertAlign w:val="baseline"/>
                      <w:lang w:val="en-US" w:eastAsia="zh-CN"/>
                    </w:rPr>
                    <w:t>图2-</w:t>
                  </w:r>
                  <w:r>
                    <w:rPr>
                      <w:rFonts w:hint="eastAsia" w:ascii="Times New Roman" w:hAnsi="Times New Roman" w:eastAsia="黑体" w:cs="Times New Roman"/>
                      <w:vertAlign w:val="baseline"/>
                      <w:lang w:val="en-US" w:eastAsia="zh-CN"/>
                    </w:rPr>
                    <w:t>2</w:t>
                  </w:r>
                  <w:r>
                    <w:rPr>
                      <w:rFonts w:hint="default" w:ascii="Times New Roman" w:hAnsi="Times New Roman" w:eastAsia="黑体" w:cs="Times New Roman"/>
                      <w:vertAlign w:val="baseline"/>
                      <w:lang w:val="en-US" w:eastAsia="zh-CN"/>
                    </w:rPr>
                    <w:t xml:space="preserve">  项目营运期</w:t>
                  </w:r>
                  <w:r>
                    <w:rPr>
                      <w:rFonts w:hint="eastAsia" w:ascii="Times New Roman" w:hAnsi="Times New Roman" w:eastAsia="黑体" w:cs="Times New Roman"/>
                      <w:vertAlign w:val="baseline"/>
                      <w:lang w:val="en-US" w:eastAsia="zh-CN"/>
                    </w:rPr>
                    <w:t>物料</w:t>
                  </w:r>
                  <w:r>
                    <w:rPr>
                      <w:rFonts w:hint="default" w:ascii="Times New Roman" w:hAnsi="Times New Roman" w:eastAsia="黑体" w:cs="Times New Roman"/>
                      <w:vertAlign w:val="baseline"/>
                      <w:lang w:val="en-US" w:eastAsia="zh-CN"/>
                    </w:rPr>
                    <w:t>平衡图    单位：</w:t>
                  </w:r>
                  <w:r>
                    <w:rPr>
                      <w:rFonts w:hint="eastAsia" w:ascii="Times New Roman" w:hAnsi="Times New Roman" w:eastAsia="黑体" w:cs="Times New Roman"/>
                      <w:vertAlign w:val="baseline"/>
                      <w:lang w:val="en-US" w:eastAsia="zh-CN"/>
                    </w:rPr>
                    <w:t>t</w:t>
                  </w:r>
                  <w:r>
                    <w:rPr>
                      <w:rFonts w:hint="default" w:ascii="Times New Roman" w:hAnsi="Times New Roman" w:eastAsia="黑体" w:cs="Times New Roman"/>
                      <w:vertAlign w:val="baseline"/>
                      <w:lang w:val="en-US" w:eastAsia="zh-CN"/>
                    </w:rPr>
                    <w:t>/</w:t>
                  </w:r>
                  <w:r>
                    <w:rPr>
                      <w:rFonts w:hint="eastAsia" w:ascii="Times New Roman" w:hAnsi="Times New Roman" w:eastAsia="黑体" w:cs="Times New Roman"/>
                      <w:vertAlign w:val="baseline"/>
                      <w:lang w:val="en-US" w:eastAsia="zh-CN"/>
                    </w:rPr>
                    <w:t>a</w:t>
                  </w:r>
                </w:p>
              </w:tc>
            </w:tr>
          </w:tbl>
          <w:p w14:paraId="0819338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p>
          <w:p w14:paraId="1065580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p>
          <w:p w14:paraId="131552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3.2水</w:t>
            </w:r>
            <w:r>
              <w:rPr>
                <w:rFonts w:hint="eastAsia" w:eastAsia="宋体" w:cs="Times New Roman"/>
                <w:lang w:val="en-US" w:eastAsia="zh-CN"/>
              </w:rPr>
              <w:t>平衡</w:t>
            </w:r>
          </w:p>
          <w:p w14:paraId="4D3591C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项目营运期涉水环节</w:t>
            </w:r>
            <w:r>
              <w:rPr>
                <w:rFonts w:hint="eastAsia" w:ascii="Times New Roman" w:hAnsi="Times New Roman" w:eastAsia="宋体" w:cs="Times New Roman"/>
                <w:color w:val="000000" w:themeColor="text1"/>
                <w:lang w:val="en-US" w:eastAsia="zh-CN"/>
                <w14:textFill>
                  <w14:solidFill>
                    <w14:schemeClr w14:val="tx1"/>
                  </w14:solidFill>
                </w14:textFill>
              </w:rPr>
              <w:t>为职工生活用水、</w:t>
            </w:r>
            <w:r>
              <w:rPr>
                <w:rFonts w:hint="eastAsia"/>
                <w:color w:val="000000" w:themeColor="text1"/>
                <w:highlight w:val="none"/>
                <w:lang w:val="en-US" w:eastAsia="zh-CN"/>
                <w14:textFill>
                  <w14:solidFill>
                    <w14:schemeClr w14:val="tx1"/>
                  </w14:solidFill>
                </w14:textFill>
              </w:rPr>
              <w:t>中频炉冷却用水</w:t>
            </w:r>
            <w:r>
              <w:rPr>
                <w:rFonts w:hint="eastAsia" w:ascii="Times New Roman" w:hAnsi="Times New Roman" w:eastAsia="宋体" w:cs="Times New Roman"/>
                <w:color w:val="000000" w:themeColor="text1"/>
                <w:lang w:val="en-US" w:eastAsia="zh-CN"/>
                <w14:textFill>
                  <w14:solidFill>
                    <w14:schemeClr w14:val="tx1"/>
                  </w14:solidFill>
                </w14:textFill>
              </w:rPr>
              <w:t>和</w:t>
            </w:r>
            <w:r>
              <w:rPr>
                <w:rFonts w:hint="eastAsia"/>
                <w:color w:val="000000" w:themeColor="text1"/>
                <w:highlight w:val="none"/>
                <w:lang w:val="en-US" w:eastAsia="zh-CN"/>
                <w14:textFill>
                  <w14:solidFill>
                    <w14:schemeClr w14:val="tx1"/>
                  </w14:solidFill>
                </w14:textFill>
              </w:rPr>
              <w:t>砂处理冷却用水</w:t>
            </w:r>
            <w:r>
              <w:rPr>
                <w:rFonts w:hint="eastAsia" w:ascii="Times New Roman" w:hAnsi="Times New Roman" w:eastAsia="宋体" w:cs="Times New Roman"/>
                <w:color w:val="000000" w:themeColor="text1"/>
                <w:lang w:val="en-US" w:eastAsia="zh-CN"/>
                <w14:textFill>
                  <w14:solidFill>
                    <w14:schemeClr w14:val="tx1"/>
                  </w14:solidFill>
                </w14:textFill>
              </w:rPr>
              <w:t>。</w:t>
            </w:r>
          </w:p>
          <w:p w14:paraId="579DD8D7">
            <w:pPr>
              <w:bidi w:val="0"/>
              <w:jc w:val="both"/>
            </w:pPr>
            <w:r>
              <w:rPr>
                <w:rFonts w:hint="eastAsia"/>
              </w:rPr>
              <w:t>（1）职工生活</w:t>
            </w:r>
            <w:r>
              <w:t>用水</w:t>
            </w:r>
          </w:p>
          <w:p w14:paraId="11F7B96B">
            <w:pPr>
              <w:bidi w:val="0"/>
              <w:jc w:val="both"/>
              <w:rPr>
                <w:rFonts w:hint="eastAsia"/>
                <w:lang w:eastAsia="zh-CN"/>
              </w:rPr>
            </w:pPr>
            <w:r>
              <w:t>项目劳动定员</w:t>
            </w:r>
            <w:r>
              <w:rPr>
                <w:rFonts w:hint="eastAsia"/>
                <w:lang w:val="en-US" w:eastAsia="zh-CN"/>
              </w:rPr>
              <w:t>15</w:t>
            </w:r>
            <w:r>
              <w:t>人，均不在厂区食宿，根据《河南省地方标准-工业与城镇生活用水定额》（DB41/T385-2020），职工生活用水系数取50L/人·d，生活用水量为</w:t>
            </w:r>
            <w:r>
              <w:rPr>
                <w:rFonts w:hint="eastAsia"/>
                <w:lang w:val="en-US" w:eastAsia="zh-CN"/>
              </w:rPr>
              <w:t>0.75</w:t>
            </w:r>
            <w:r>
              <w:t>m</w:t>
            </w:r>
            <w:r>
              <w:rPr>
                <w:vertAlign w:val="superscript"/>
              </w:rPr>
              <w:t>3</w:t>
            </w:r>
            <w:r>
              <w:t>/d</w:t>
            </w:r>
            <w:r>
              <w:rPr>
                <w:rFonts w:hint="eastAsia"/>
              </w:rPr>
              <w:t>（</w:t>
            </w:r>
            <w:r>
              <w:rPr>
                <w:rFonts w:hint="eastAsia"/>
                <w:lang w:val="en-US" w:eastAsia="zh-CN"/>
              </w:rPr>
              <w:t>247.5</w:t>
            </w:r>
            <w:r>
              <w:t>m</w:t>
            </w:r>
            <w:r>
              <w:rPr>
                <w:vertAlign w:val="superscript"/>
              </w:rPr>
              <w:t>3</w:t>
            </w:r>
            <w:r>
              <w:t>/</w:t>
            </w:r>
            <w:r>
              <w:rPr>
                <w:rFonts w:hint="eastAsia"/>
              </w:rPr>
              <w:t>a）</w:t>
            </w:r>
            <w:r>
              <w:t>，产污系数取0.8，则生活污水产生量为</w:t>
            </w:r>
            <w:r>
              <w:rPr>
                <w:rFonts w:hint="eastAsia"/>
                <w:lang w:val="en-US" w:eastAsia="zh-CN"/>
              </w:rPr>
              <w:t>0.6</w:t>
            </w:r>
            <w:r>
              <w:t>m</w:t>
            </w:r>
            <w:r>
              <w:rPr>
                <w:vertAlign w:val="superscript"/>
              </w:rPr>
              <w:t>3</w:t>
            </w:r>
            <w:r>
              <w:t>/d</w:t>
            </w:r>
            <w:r>
              <w:rPr>
                <w:rFonts w:hint="eastAsia"/>
              </w:rPr>
              <w:t>（</w:t>
            </w:r>
            <w:r>
              <w:rPr>
                <w:rFonts w:hint="eastAsia"/>
                <w:lang w:val="en-US" w:eastAsia="zh-CN"/>
              </w:rPr>
              <w:t>198</w:t>
            </w:r>
            <w:r>
              <w:t>m</w:t>
            </w:r>
            <w:r>
              <w:rPr>
                <w:vertAlign w:val="superscript"/>
              </w:rPr>
              <w:t>3</w:t>
            </w:r>
            <w:r>
              <w:t>/</w:t>
            </w:r>
            <w:r>
              <w:rPr>
                <w:rFonts w:hint="eastAsia"/>
              </w:rPr>
              <w:t>a）</w:t>
            </w:r>
            <w:r>
              <w:t>，</w:t>
            </w:r>
            <w:r>
              <w:rPr>
                <w:rFonts w:hint="default"/>
              </w:rPr>
              <w:t>废水中主要污染物为COD</w:t>
            </w:r>
            <w:r>
              <w:rPr>
                <w:rFonts w:hint="eastAsia"/>
                <w:lang w:val="en-US" w:eastAsia="zh-CN"/>
              </w:rPr>
              <w:t xml:space="preserve"> </w:t>
            </w:r>
            <w:r>
              <w:rPr>
                <w:rFonts w:hint="default"/>
              </w:rPr>
              <w:t>350mg/L、BOD</w:t>
            </w:r>
            <w:r>
              <w:rPr>
                <w:rFonts w:hint="default"/>
                <w:vertAlign w:val="subscript"/>
              </w:rPr>
              <w:t>5</w:t>
            </w:r>
            <w:r>
              <w:rPr>
                <w:rFonts w:hint="eastAsia"/>
                <w:lang w:val="en-US" w:eastAsia="zh-CN"/>
              </w:rPr>
              <w:t xml:space="preserve"> </w:t>
            </w:r>
            <w:r>
              <w:rPr>
                <w:rFonts w:hint="default"/>
              </w:rPr>
              <w:t>250mg/L、NH</w:t>
            </w:r>
            <w:r>
              <w:rPr>
                <w:rFonts w:hint="default"/>
                <w:vertAlign w:val="subscript"/>
              </w:rPr>
              <w:t>3</w:t>
            </w:r>
            <w:r>
              <w:rPr>
                <w:rFonts w:hint="default"/>
              </w:rPr>
              <w:t>-N</w:t>
            </w:r>
            <w:r>
              <w:rPr>
                <w:rFonts w:hint="eastAsia"/>
                <w:lang w:val="en-US" w:eastAsia="zh-CN"/>
              </w:rPr>
              <w:t xml:space="preserve"> 3</w:t>
            </w:r>
            <w:r>
              <w:rPr>
                <w:rFonts w:hint="default"/>
              </w:rPr>
              <w:t>0mg/L、SS</w:t>
            </w:r>
            <w:r>
              <w:rPr>
                <w:rFonts w:hint="eastAsia"/>
                <w:lang w:val="en-US" w:eastAsia="zh-CN"/>
              </w:rPr>
              <w:t xml:space="preserve"> </w:t>
            </w:r>
            <w:r>
              <w:rPr>
                <w:rFonts w:hint="default"/>
              </w:rPr>
              <w:t>280mg/L</w:t>
            </w:r>
            <w:r>
              <w:rPr>
                <w:rFonts w:hint="eastAsia"/>
                <w:lang w:eastAsia="zh-CN"/>
              </w:rPr>
              <w:t>。</w:t>
            </w:r>
          </w:p>
          <w:p w14:paraId="36B7BFD7">
            <w:pPr>
              <w:bidi w:val="0"/>
              <w:jc w:val="both"/>
              <w:rPr>
                <w:rFonts w:hint="eastAsia"/>
              </w:rPr>
            </w:pPr>
            <w:r>
              <w:rPr>
                <w:rFonts w:hint="eastAsia"/>
                <w:lang w:val="en-US" w:eastAsia="zh-CN"/>
              </w:rPr>
              <w:t>本项目租赁厂区已建设化粪池</w:t>
            </w:r>
            <w:r>
              <w:rPr>
                <w:rFonts w:hint="default"/>
              </w:rPr>
              <w:t>（容积</w:t>
            </w:r>
            <w:r>
              <w:rPr>
                <w:rFonts w:hint="eastAsia"/>
                <w:lang w:val="en-US" w:eastAsia="zh-CN"/>
              </w:rPr>
              <w:t>10</w:t>
            </w:r>
            <w:r>
              <w:rPr>
                <w:rFonts w:hint="default"/>
              </w:rPr>
              <w:t>m</w:t>
            </w:r>
            <w:r>
              <w:rPr>
                <w:rFonts w:hint="default"/>
                <w:vertAlign w:val="superscript"/>
              </w:rPr>
              <w:t>3</w:t>
            </w:r>
            <w:r>
              <w:rPr>
                <w:rFonts w:hint="default"/>
              </w:rPr>
              <w:t>）</w:t>
            </w:r>
            <w:r>
              <w:rPr>
                <w:rFonts w:hint="eastAsia"/>
                <w:lang w:val="en-US" w:eastAsia="zh-CN"/>
              </w:rPr>
              <w:t>一座，</w:t>
            </w:r>
            <w:r>
              <w:rPr>
                <w:rFonts w:hint="default"/>
              </w:rPr>
              <w:t>生活污水经化粪池处理后</w:t>
            </w:r>
            <w:r>
              <w:rPr>
                <w:rFonts w:hint="default"/>
                <w:lang w:val="en-US" w:eastAsia="zh-CN"/>
              </w:rPr>
              <w:t>排入市政污水管网，最终经镇平县第二污水处理厂处理达标后排入赵河</w:t>
            </w:r>
            <w:r>
              <w:rPr>
                <w:rFonts w:hint="default"/>
              </w:rPr>
              <w:t>。</w:t>
            </w:r>
          </w:p>
          <w:p w14:paraId="08956F0B">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lang w:val="en-US" w:eastAsia="zh-CN"/>
              </w:rPr>
            </w:pPr>
            <w:r>
              <w:rPr>
                <w:rFonts w:hint="eastAsia"/>
                <w:lang w:val="en-US" w:eastAsia="zh-CN"/>
              </w:rPr>
              <w:t>（2）</w:t>
            </w:r>
            <w:r>
              <w:rPr>
                <w:rFonts w:hint="eastAsia"/>
                <w:color w:val="000000" w:themeColor="text1"/>
                <w:highlight w:val="none"/>
                <w:lang w:val="en-US" w:eastAsia="zh-CN"/>
                <w14:textFill>
                  <w14:solidFill>
                    <w14:schemeClr w14:val="tx1"/>
                  </w14:solidFill>
                </w14:textFill>
              </w:rPr>
              <w:t>中频炉冷却用水</w:t>
            </w:r>
          </w:p>
          <w:p w14:paraId="02803D29">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lang w:val="en-US" w:eastAsia="zh-CN"/>
              </w:rPr>
            </w:pPr>
            <w:r>
              <w:rPr>
                <w:rFonts w:hint="eastAsia"/>
                <w:lang w:val="en-US" w:eastAsia="zh-CN"/>
              </w:rPr>
              <w:t>项目生产过程中循环冷却水用于中频炉熔化工序，根据建设单位提供的资料，共2台循环水泵，设计能力分别为60m</w:t>
            </w:r>
            <w:r>
              <w:rPr>
                <w:rFonts w:hint="eastAsia"/>
                <w:vertAlign w:val="superscript"/>
                <w:lang w:val="en-US" w:eastAsia="zh-CN"/>
              </w:rPr>
              <w:t>3</w:t>
            </w:r>
            <w:r>
              <w:rPr>
                <w:rFonts w:hint="eastAsia"/>
                <w:lang w:val="en-US" w:eastAsia="zh-CN"/>
              </w:rPr>
              <w:t>/h、32m</w:t>
            </w:r>
            <w:r>
              <w:rPr>
                <w:rFonts w:hint="eastAsia"/>
                <w:vertAlign w:val="superscript"/>
                <w:lang w:val="en-US" w:eastAsia="zh-CN"/>
              </w:rPr>
              <w:t>3</w:t>
            </w:r>
            <w:r>
              <w:rPr>
                <w:rFonts w:hint="eastAsia"/>
                <w:lang w:val="en-US" w:eastAsia="zh-CN"/>
              </w:rPr>
              <w:t>/h，本项目循环冷却水量为92m</w:t>
            </w:r>
            <w:r>
              <w:rPr>
                <w:rFonts w:hint="eastAsia"/>
                <w:vertAlign w:val="superscript"/>
                <w:lang w:val="en-US" w:eastAsia="zh-CN"/>
              </w:rPr>
              <w:t>3</w:t>
            </w:r>
            <w:r>
              <w:rPr>
                <w:rFonts w:hint="eastAsia"/>
                <w:lang w:val="en-US" w:eastAsia="zh-CN"/>
              </w:rPr>
              <w:t>/h，</w:t>
            </w:r>
            <w:r>
              <w:rPr>
                <w:rFonts w:hint="eastAsia"/>
                <w:color w:val="000000" w:themeColor="text1"/>
                <w:highlight w:val="none"/>
                <w:lang w:val="en-US" w:eastAsia="zh-CN"/>
                <w14:textFill>
                  <w14:solidFill>
                    <w14:schemeClr w14:val="tx1"/>
                  </w14:solidFill>
                </w14:textFill>
              </w:rPr>
              <w:t>冷却</w:t>
            </w:r>
            <w:r>
              <w:rPr>
                <w:rFonts w:hint="eastAsia"/>
                <w:lang w:val="en-US" w:eastAsia="zh-CN"/>
              </w:rPr>
              <w:t>系统循环补充新鲜水约0.92m</w:t>
            </w:r>
            <w:r>
              <w:rPr>
                <w:rFonts w:hint="eastAsia"/>
                <w:vertAlign w:val="superscript"/>
                <w:lang w:val="en-US" w:eastAsia="zh-CN"/>
              </w:rPr>
              <w:t>3</w:t>
            </w:r>
            <w:r>
              <w:rPr>
                <w:rFonts w:hint="eastAsia"/>
                <w:lang w:val="en-US" w:eastAsia="zh-CN"/>
              </w:rPr>
              <w:t>/h，每天工作16小时，全年330天计，则循环冷却补充水量约为4857.6m</w:t>
            </w:r>
            <w:r>
              <w:rPr>
                <w:rFonts w:hint="eastAsia"/>
                <w:vertAlign w:val="superscript"/>
                <w:lang w:val="en-US" w:eastAsia="zh-CN"/>
              </w:rPr>
              <w:t>3</w:t>
            </w:r>
            <w:r>
              <w:rPr>
                <w:rFonts w:hint="eastAsia"/>
                <w:lang w:val="en-US" w:eastAsia="zh-CN"/>
              </w:rPr>
              <w:t>/a。</w:t>
            </w:r>
            <w:r>
              <w:rPr>
                <w:rFonts w:hint="eastAsia" w:eastAsia="宋体" w:cs="Times New Roman"/>
              </w:rPr>
              <w:t>项目采用新鲜水作为间接冷却介质，因冷却工序对水质不做要求，故冷却水可循环使用，只需每天补充蒸发损失的水量即可，不外排。</w:t>
            </w:r>
          </w:p>
          <w:p w14:paraId="6F56861C">
            <w:pPr>
              <w:rPr>
                <w:rFonts w:hint="eastAsia"/>
                <w:lang w:val="en-US" w:eastAsia="zh-CN"/>
              </w:rPr>
            </w:pPr>
            <w:r>
              <w:rPr>
                <w:rFonts w:hint="eastAsia"/>
                <w:lang w:val="en-US" w:eastAsia="zh-CN"/>
              </w:rPr>
              <w:t>（3）</w:t>
            </w:r>
            <w:r>
              <w:rPr>
                <w:rFonts w:hint="eastAsia"/>
                <w:color w:val="000000" w:themeColor="text1"/>
                <w:highlight w:val="none"/>
                <w:lang w:val="en-US" w:eastAsia="zh-CN"/>
                <w14:textFill>
                  <w14:solidFill>
                    <w14:schemeClr w14:val="tx1"/>
                  </w14:solidFill>
                </w14:textFill>
              </w:rPr>
              <w:t>砂处理冷却用水</w:t>
            </w:r>
          </w:p>
          <w:p w14:paraId="7DB08B7C">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eastAsia="宋体" w:cs="Times New Roman"/>
              </w:rPr>
            </w:pPr>
            <w:r>
              <w:rPr>
                <w:rFonts w:hint="eastAsia"/>
                <w:lang w:val="en-US" w:eastAsia="zh-CN"/>
              </w:rPr>
              <w:t>项目生产过程中循环冷却水用于砂处理工序的砂温调节器，根据建设单位提供的资料，共1台循环水泵，设计能力为100m</w:t>
            </w:r>
            <w:r>
              <w:rPr>
                <w:rFonts w:hint="eastAsia"/>
                <w:vertAlign w:val="superscript"/>
                <w:lang w:val="en-US" w:eastAsia="zh-CN"/>
              </w:rPr>
              <w:t>3</w:t>
            </w:r>
            <w:r>
              <w:rPr>
                <w:rFonts w:hint="eastAsia"/>
                <w:lang w:val="en-US" w:eastAsia="zh-CN"/>
              </w:rPr>
              <w:t>/h，项目循环冷却水量为100m</w:t>
            </w:r>
            <w:r>
              <w:rPr>
                <w:rFonts w:hint="eastAsia"/>
                <w:vertAlign w:val="superscript"/>
                <w:lang w:val="en-US" w:eastAsia="zh-CN"/>
              </w:rPr>
              <w:t>3</w:t>
            </w:r>
            <w:r>
              <w:rPr>
                <w:rFonts w:hint="eastAsia"/>
                <w:lang w:val="en-US" w:eastAsia="zh-CN"/>
              </w:rPr>
              <w:t>/h，</w:t>
            </w:r>
            <w:r>
              <w:rPr>
                <w:rFonts w:hint="eastAsia"/>
                <w:color w:val="000000" w:themeColor="text1"/>
                <w:highlight w:val="none"/>
                <w:lang w:val="en-US" w:eastAsia="zh-CN"/>
                <w14:textFill>
                  <w14:solidFill>
                    <w14:schemeClr w14:val="tx1"/>
                  </w14:solidFill>
                </w14:textFill>
              </w:rPr>
              <w:t>冷却</w:t>
            </w:r>
            <w:r>
              <w:rPr>
                <w:rFonts w:hint="eastAsia"/>
                <w:lang w:val="en-US" w:eastAsia="zh-CN"/>
              </w:rPr>
              <w:t>系统循环补充新鲜水约1.0m</w:t>
            </w:r>
            <w:r>
              <w:rPr>
                <w:rFonts w:hint="eastAsia"/>
                <w:vertAlign w:val="superscript"/>
                <w:lang w:val="en-US" w:eastAsia="zh-CN"/>
              </w:rPr>
              <w:t>3</w:t>
            </w:r>
            <w:r>
              <w:rPr>
                <w:rFonts w:hint="eastAsia"/>
                <w:lang w:val="en-US" w:eastAsia="zh-CN"/>
              </w:rPr>
              <w:t>/h，每天工作16小时，全年330天计，则循环冷却补充水量约为5280m</w:t>
            </w:r>
            <w:r>
              <w:rPr>
                <w:rFonts w:hint="eastAsia"/>
                <w:vertAlign w:val="superscript"/>
                <w:lang w:val="en-US" w:eastAsia="zh-CN"/>
              </w:rPr>
              <w:t>3</w:t>
            </w:r>
            <w:r>
              <w:rPr>
                <w:rFonts w:hint="eastAsia"/>
                <w:lang w:val="en-US" w:eastAsia="zh-CN"/>
              </w:rPr>
              <w:t>/a。</w:t>
            </w:r>
            <w:r>
              <w:rPr>
                <w:rFonts w:hint="eastAsia" w:eastAsia="宋体" w:cs="Times New Roman"/>
              </w:rPr>
              <w:t>项目采用新鲜水作为间接冷却介质，因冷却工序对水质不做要求，故冷却水可循环使用，只需每天补充蒸发损失的水量即可，不外排。</w:t>
            </w:r>
          </w:p>
          <w:tbl>
            <w:tblPr>
              <w:tblStyle w:val="29"/>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69"/>
            </w:tblGrid>
            <w:tr w14:paraId="2EF78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71" w:type="dxa"/>
                  <w:vAlign w:val="center"/>
                </w:tcPr>
                <w:p w14:paraId="330521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vertAlign w:val="baseline"/>
                      <w:lang w:val="en-US" w:eastAsia="zh-CN"/>
                    </w:rPr>
                  </w:pPr>
                  <w:r>
                    <w:drawing>
                      <wp:inline distT="0" distB="0" distL="114300" distR="114300">
                        <wp:extent cx="4838700" cy="2086610"/>
                        <wp:effectExtent l="0" t="0" r="0" b="889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18"/>
                                <a:stretch>
                                  <a:fillRect/>
                                </a:stretch>
                              </pic:blipFill>
                              <pic:spPr>
                                <a:xfrm>
                                  <a:off x="0" y="0"/>
                                  <a:ext cx="4838700" cy="2086610"/>
                                </a:xfrm>
                                <a:prstGeom prst="rect">
                                  <a:avLst/>
                                </a:prstGeom>
                                <a:noFill/>
                                <a:ln>
                                  <a:noFill/>
                                </a:ln>
                              </pic:spPr>
                            </pic:pic>
                          </a:graphicData>
                        </a:graphic>
                      </wp:inline>
                    </w:drawing>
                  </w:r>
                </w:p>
              </w:tc>
            </w:tr>
            <w:tr w14:paraId="46A674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71" w:type="dxa"/>
                  <w:vAlign w:val="center"/>
                </w:tcPr>
                <w:p w14:paraId="5909E3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vertAlign w:val="baseline"/>
                      <w:lang w:val="en-US" w:eastAsia="zh-CN"/>
                    </w:rPr>
                  </w:pPr>
                  <w:r>
                    <w:rPr>
                      <w:rFonts w:hint="default" w:ascii="Times New Roman" w:hAnsi="Times New Roman" w:eastAsia="黑体" w:cs="Times New Roman"/>
                      <w:vertAlign w:val="baseline"/>
                      <w:lang w:val="en-US" w:eastAsia="zh-CN"/>
                    </w:rPr>
                    <w:t>图2-</w:t>
                  </w:r>
                  <w:r>
                    <w:rPr>
                      <w:rFonts w:hint="eastAsia" w:eastAsia="黑体" w:cs="Times New Roman"/>
                      <w:vertAlign w:val="baseline"/>
                      <w:lang w:val="en-US" w:eastAsia="zh-CN"/>
                    </w:rPr>
                    <w:t>3</w:t>
                  </w:r>
                  <w:r>
                    <w:rPr>
                      <w:rFonts w:hint="default" w:ascii="Times New Roman" w:hAnsi="Times New Roman" w:eastAsia="黑体" w:cs="Times New Roman"/>
                      <w:vertAlign w:val="baseline"/>
                      <w:lang w:val="en-US" w:eastAsia="zh-CN"/>
                    </w:rPr>
                    <w:t xml:space="preserve">  项目营运期水平衡图    单位：m</w:t>
                  </w:r>
                  <w:r>
                    <w:rPr>
                      <w:rFonts w:hint="default" w:ascii="Times New Roman" w:hAnsi="Times New Roman" w:eastAsia="黑体" w:cs="Times New Roman"/>
                      <w:vertAlign w:val="superscript"/>
                      <w:lang w:val="en-US" w:eastAsia="zh-CN"/>
                    </w:rPr>
                    <w:t>3</w:t>
                  </w:r>
                  <w:r>
                    <w:rPr>
                      <w:rFonts w:hint="default" w:ascii="Times New Roman" w:hAnsi="Times New Roman" w:eastAsia="黑体" w:cs="Times New Roman"/>
                      <w:vertAlign w:val="baseline"/>
                      <w:lang w:val="en-US" w:eastAsia="zh-CN"/>
                    </w:rPr>
                    <w:t>/d</w:t>
                  </w:r>
                </w:p>
              </w:tc>
            </w:tr>
          </w:tbl>
          <w:p w14:paraId="7E3BE82A">
            <w:pPr>
              <w:ind w:left="0" w:leftChars="0" w:firstLine="0" w:firstLineChars="0"/>
              <w:rPr>
                <w:rFonts w:hint="eastAsia"/>
                <w:lang w:val="en-US" w:eastAsia="zh-CN"/>
              </w:rPr>
            </w:pPr>
          </w:p>
        </w:tc>
      </w:tr>
      <w:tr w14:paraId="1D48059F">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6" w:type="pct"/>
            <w:vAlign w:val="center"/>
          </w:tcPr>
          <w:p w14:paraId="39B1B742">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项目有关的原有环境污染问题</w:t>
            </w:r>
          </w:p>
        </w:tc>
        <w:tc>
          <w:tcPr>
            <w:tcW w:w="4753" w:type="pct"/>
            <w:vAlign w:val="center"/>
          </w:tcPr>
          <w:p w14:paraId="025D98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szCs w:val="20"/>
              </w:rPr>
            </w:pPr>
            <w:r>
              <w:rPr>
                <w:rFonts w:hint="eastAsia" w:hAnsi="宋体"/>
                <w:szCs w:val="20"/>
              </w:rPr>
              <w:t>本项目租赁</w:t>
            </w:r>
            <w:r>
              <w:rPr>
                <w:rFonts w:hint="eastAsia" w:hAnsi="宋体"/>
                <w:szCs w:val="20"/>
                <w:lang w:val="en-US" w:eastAsia="zh-CN"/>
              </w:rPr>
              <w:t>镇平县恒基混凝土有限公司</w:t>
            </w:r>
            <w:r>
              <w:rPr>
                <w:rFonts w:hint="eastAsia" w:hAnsi="宋体"/>
                <w:szCs w:val="20"/>
              </w:rPr>
              <w:t>闲置厂房进行建设，</w:t>
            </w:r>
            <w:r>
              <w:rPr>
                <w:rFonts w:hint="eastAsia" w:hAnsi="宋体"/>
                <w:szCs w:val="20"/>
                <w:lang w:val="en-US" w:eastAsia="zh-CN"/>
              </w:rPr>
              <w:t>通过对租赁厂区历史用地性质及生产活动的调查，未发现与本项目有关的原有污染源和遗留污染问题</w:t>
            </w:r>
            <w:r>
              <w:rPr>
                <w:rFonts w:hint="eastAsia" w:hAnsi="宋体"/>
                <w:szCs w:val="20"/>
              </w:rPr>
              <w:t>。</w:t>
            </w:r>
          </w:p>
          <w:p w14:paraId="7174CDCA">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eastAsia="宋体"/>
                <w:lang w:val="en-US" w:eastAsia="zh-CN"/>
              </w:rPr>
            </w:pPr>
            <w:r>
              <w:rPr>
                <w:rFonts w:hint="eastAsia" w:hAnsi="宋体"/>
                <w:szCs w:val="20"/>
              </w:rPr>
              <w:t>因此，不存在与项目有关的原有</w:t>
            </w:r>
            <w:r>
              <w:rPr>
                <w:rFonts w:hint="eastAsia" w:hAnsi="宋体"/>
                <w:szCs w:val="20"/>
                <w:lang w:val="en-US" w:eastAsia="zh-CN"/>
              </w:rPr>
              <w:t>环境</w:t>
            </w:r>
            <w:r>
              <w:rPr>
                <w:rFonts w:hint="eastAsia" w:hAnsi="宋体"/>
                <w:szCs w:val="20"/>
              </w:rPr>
              <w:t>污染问题。</w:t>
            </w:r>
          </w:p>
        </w:tc>
      </w:tr>
    </w:tbl>
    <w:p w14:paraId="7EEB4272">
      <w:pPr>
        <w:ind w:left="0" w:leftChars="0" w:firstLine="0" w:firstLineChars="0"/>
        <w:sectPr>
          <w:pgSz w:w="11906" w:h="16838"/>
          <w:pgMar w:top="1440" w:right="1440" w:bottom="1440" w:left="1440" w:header="851" w:footer="992" w:gutter="0"/>
          <w:cols w:space="0" w:num="1"/>
          <w:rtlGutter w:val="0"/>
          <w:docGrid w:type="lines" w:linePitch="312" w:charSpace="0"/>
        </w:sectPr>
      </w:pPr>
    </w:p>
    <w:p w14:paraId="59730E27">
      <w:pPr>
        <w:pStyle w:val="2"/>
        <w:spacing w:before="31" w:after="6"/>
        <w:jc w:val="center"/>
      </w:pPr>
      <w:bookmarkStart w:id="19" w:name="_Toc28075"/>
      <w:bookmarkStart w:id="20" w:name="_Toc29591"/>
      <w:r>
        <w:rPr>
          <w:rFonts w:hint="eastAsia"/>
        </w:rPr>
        <w:t>三、区域环境质量现状、环境保护目标及评价标准</w:t>
      </w:r>
      <w:bookmarkEnd w:id="19"/>
      <w:bookmarkEnd w:id="20"/>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453"/>
        <w:gridCol w:w="8789"/>
      </w:tblGrid>
      <w:tr w14:paraId="1A3808C0">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7E4143BA">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区域环境质量现状</w:t>
            </w:r>
          </w:p>
        </w:tc>
        <w:tc>
          <w:tcPr>
            <w:tcW w:w="4754" w:type="pct"/>
            <w:vAlign w:val="top"/>
          </w:tcPr>
          <w:p w14:paraId="14E71F51">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1、环境空气质量现状</w:t>
            </w:r>
          </w:p>
          <w:p w14:paraId="352E1736">
            <w:pPr>
              <w:spacing w:line="360" w:lineRule="auto"/>
              <w:ind w:firstLine="480" w:firstLineChars="200"/>
              <w:rPr>
                <w:rFonts w:hint="default" w:eastAsia="宋体" w:cs="Times New Roman"/>
                <w:kern w:val="0"/>
                <w:szCs w:val="24"/>
                <w:lang w:val="en-US" w:eastAsia="zh-CN"/>
              </w:rPr>
            </w:pPr>
            <w:r>
              <w:rPr>
                <w:rFonts w:hint="eastAsia" w:eastAsia="宋体" w:cs="Times New Roman"/>
                <w:kern w:val="0"/>
                <w:szCs w:val="24"/>
                <w:lang w:eastAsia="zh-CN"/>
              </w:rPr>
              <w:t>（</w:t>
            </w:r>
            <w:r>
              <w:rPr>
                <w:rFonts w:hint="eastAsia" w:eastAsia="宋体" w:cs="Times New Roman"/>
                <w:kern w:val="0"/>
                <w:szCs w:val="24"/>
                <w:lang w:val="en-US" w:eastAsia="zh-CN"/>
              </w:rPr>
              <w:t>1</w:t>
            </w:r>
            <w:r>
              <w:rPr>
                <w:rFonts w:hint="eastAsia" w:eastAsia="宋体" w:cs="Times New Roman"/>
                <w:kern w:val="0"/>
                <w:szCs w:val="24"/>
                <w:lang w:eastAsia="zh-CN"/>
              </w:rPr>
              <w:t>）</w:t>
            </w:r>
            <w:r>
              <w:rPr>
                <w:rFonts w:hint="eastAsia" w:eastAsia="宋体" w:cs="Times New Roman"/>
                <w:kern w:val="0"/>
                <w:szCs w:val="24"/>
                <w:lang w:val="en-US" w:eastAsia="zh-CN"/>
              </w:rPr>
              <w:t>基本污染物达标判断</w:t>
            </w:r>
          </w:p>
          <w:p w14:paraId="59A97F3D">
            <w:pPr>
              <w:spacing w:line="360" w:lineRule="auto"/>
              <w:ind w:firstLine="480" w:firstLineChars="200"/>
              <w:rPr>
                <w:rFonts w:hint="default" w:eastAsia="宋体" w:cs="Times New Roman"/>
                <w:kern w:val="0"/>
                <w:szCs w:val="24"/>
                <w:lang w:val="en-US" w:eastAsia="zh-CN"/>
              </w:rPr>
            </w:pPr>
            <w:r>
              <w:rPr>
                <w:rFonts w:hint="eastAsia" w:eastAsia="宋体" w:cs="Times New Roman"/>
                <w:kern w:val="0"/>
                <w:szCs w:val="24"/>
              </w:rPr>
              <w:t>本</w:t>
            </w:r>
            <w:r>
              <w:rPr>
                <w:rFonts w:eastAsia="宋体" w:cs="Times New Roman"/>
                <w:kern w:val="0"/>
                <w:szCs w:val="24"/>
              </w:rPr>
              <w:t>项目位于</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r>
              <w:rPr>
                <w:rFonts w:eastAsia="宋体" w:cs="Times New Roman"/>
                <w:kern w:val="0"/>
                <w:szCs w:val="24"/>
              </w:rPr>
              <w:t>，</w:t>
            </w:r>
            <w:r>
              <w:rPr>
                <w:rFonts w:hint="eastAsia" w:eastAsia="宋体" w:cs="Times New Roman"/>
                <w:kern w:val="0"/>
                <w:szCs w:val="24"/>
              </w:rPr>
              <w:t>区域大气环境功能为二类区。</w:t>
            </w:r>
            <w:r>
              <w:rPr>
                <w:rFonts w:hint="eastAsia" w:eastAsia="宋体" w:cs="Times New Roman"/>
                <w:kern w:val="0"/>
                <w:szCs w:val="24"/>
                <w:lang w:val="en-US" w:eastAsia="zh-CN"/>
              </w:rPr>
              <w:t>根据《2024年河南省南阳市生态环境质量报告书》中的监测数据，镇平县</w:t>
            </w:r>
            <w:r>
              <w:rPr>
                <w:rFonts w:hint="eastAsia" w:eastAsia="宋体" w:cs="Times New Roman"/>
                <w:szCs w:val="24"/>
                <w:lang w:val="en-US" w:eastAsia="zh-CN"/>
              </w:rPr>
              <w:t>2024年度</w:t>
            </w:r>
            <w:r>
              <w:rPr>
                <w:rFonts w:eastAsia="宋体" w:cs="Times New Roman"/>
                <w:szCs w:val="24"/>
              </w:rPr>
              <w:t>环境空气质量级别为轻污染</w:t>
            </w:r>
            <w:r>
              <w:rPr>
                <w:rFonts w:hint="eastAsia" w:eastAsia="宋体" w:cs="Times New Roman"/>
                <w:szCs w:val="24"/>
              </w:rPr>
              <w:t>，</w:t>
            </w:r>
            <w:r>
              <w:rPr>
                <w:rFonts w:eastAsia="宋体" w:cs="Times New Roman"/>
                <w:szCs w:val="24"/>
              </w:rPr>
              <w:t>环境空气六项</w:t>
            </w:r>
            <w:r>
              <w:rPr>
                <w:rFonts w:hint="eastAsia" w:eastAsia="宋体" w:cs="Times New Roman"/>
                <w:szCs w:val="24"/>
              </w:rPr>
              <w:t>基本</w:t>
            </w:r>
            <w:r>
              <w:rPr>
                <w:rFonts w:eastAsia="宋体" w:cs="Times New Roman"/>
                <w:szCs w:val="24"/>
              </w:rPr>
              <w:t>污染物中，</w:t>
            </w:r>
            <w:r>
              <w:rPr>
                <w:rFonts w:cs="Times New Roman"/>
                <w:color w:val="000000"/>
                <w:kern w:val="0"/>
                <w:szCs w:val="20"/>
              </w:rPr>
              <w:t>SO</w:t>
            </w:r>
            <w:r>
              <w:rPr>
                <w:rFonts w:cs="Times New Roman"/>
                <w:color w:val="000000"/>
                <w:kern w:val="0"/>
                <w:szCs w:val="20"/>
                <w:vertAlign w:val="subscript"/>
              </w:rPr>
              <w:t>2</w:t>
            </w:r>
            <w:r>
              <w:rPr>
                <w:rFonts w:cs="Times New Roman"/>
                <w:color w:val="000000"/>
                <w:kern w:val="0"/>
                <w:szCs w:val="20"/>
              </w:rPr>
              <w:t>、NO</w:t>
            </w:r>
            <w:r>
              <w:rPr>
                <w:rFonts w:cs="Times New Roman"/>
                <w:color w:val="000000"/>
                <w:kern w:val="0"/>
                <w:szCs w:val="20"/>
                <w:vertAlign w:val="subscript"/>
              </w:rPr>
              <w:t>2</w:t>
            </w:r>
            <w:r>
              <w:rPr>
                <w:rFonts w:cs="Times New Roman"/>
                <w:color w:val="000000"/>
                <w:kern w:val="0"/>
                <w:szCs w:val="20"/>
              </w:rPr>
              <w:t>、PM</w:t>
            </w:r>
            <w:r>
              <w:rPr>
                <w:rFonts w:cs="Times New Roman"/>
                <w:color w:val="000000"/>
                <w:kern w:val="0"/>
                <w:szCs w:val="20"/>
                <w:vertAlign w:val="subscript"/>
              </w:rPr>
              <w:t>10</w:t>
            </w:r>
            <w:r>
              <w:rPr>
                <w:rFonts w:cs="Times New Roman"/>
                <w:color w:val="000000"/>
                <w:kern w:val="0"/>
                <w:szCs w:val="20"/>
              </w:rPr>
              <w:t>、PM</w:t>
            </w:r>
            <w:r>
              <w:rPr>
                <w:rFonts w:cs="Times New Roman"/>
                <w:color w:val="000000"/>
                <w:kern w:val="0"/>
                <w:szCs w:val="20"/>
                <w:vertAlign w:val="subscript"/>
              </w:rPr>
              <w:t>2.5</w:t>
            </w:r>
            <w:r>
              <w:rPr>
                <w:rFonts w:cs="Times New Roman"/>
                <w:color w:val="000000"/>
                <w:kern w:val="0"/>
                <w:szCs w:val="20"/>
              </w:rPr>
              <w:t>年均浓度</w:t>
            </w:r>
            <w:r>
              <w:rPr>
                <w:rFonts w:hint="eastAsia" w:cs="Times New Roman"/>
                <w:color w:val="000000"/>
                <w:kern w:val="0"/>
                <w:szCs w:val="20"/>
              </w:rPr>
              <w:t>分别</w:t>
            </w:r>
            <w:r>
              <w:rPr>
                <w:rFonts w:cs="Times New Roman"/>
                <w:color w:val="000000"/>
                <w:kern w:val="0"/>
                <w:szCs w:val="20"/>
              </w:rPr>
              <w:t>为</w:t>
            </w:r>
            <w:r>
              <w:rPr>
                <w:rFonts w:hint="eastAsia" w:cs="Times New Roman"/>
                <w:color w:val="000000"/>
                <w:kern w:val="0"/>
                <w:szCs w:val="20"/>
                <w:lang w:val="en-US" w:eastAsia="zh-CN"/>
              </w:rPr>
              <w:t>7</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14</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72</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41</w:t>
            </w:r>
            <w:r>
              <w:rPr>
                <w:rFonts w:cs="Times New Roman"/>
                <w:color w:val="000000"/>
                <w:kern w:val="0"/>
                <w:szCs w:val="20"/>
              </w:rPr>
              <w:t>μg/m</w:t>
            </w:r>
            <w:r>
              <w:rPr>
                <w:rFonts w:cs="Times New Roman"/>
                <w:color w:val="000000"/>
                <w:kern w:val="0"/>
                <w:szCs w:val="20"/>
                <w:vertAlign w:val="superscript"/>
              </w:rPr>
              <w:t>3</w:t>
            </w:r>
            <w:r>
              <w:rPr>
                <w:rFonts w:hint="eastAsia" w:cs="Times New Roman"/>
                <w:color w:val="000000"/>
                <w:kern w:val="0"/>
                <w:szCs w:val="20"/>
              </w:rPr>
              <w:t>，</w:t>
            </w:r>
            <w:r>
              <w:rPr>
                <w:rFonts w:cs="Times New Roman"/>
                <w:color w:val="000000"/>
                <w:kern w:val="0"/>
                <w:szCs w:val="20"/>
              </w:rPr>
              <w:t>CO</w:t>
            </w:r>
            <w:r>
              <w:rPr>
                <w:rFonts w:hint="eastAsia" w:cs="Times New Roman"/>
                <w:color w:val="000000"/>
                <w:kern w:val="0"/>
                <w:szCs w:val="20"/>
              </w:rPr>
              <w:t>年百分位浓度为1.</w:t>
            </w:r>
            <w:r>
              <w:rPr>
                <w:rFonts w:hint="eastAsia" w:cs="Times New Roman"/>
                <w:color w:val="000000"/>
                <w:kern w:val="0"/>
                <w:szCs w:val="20"/>
                <w:lang w:val="en-US" w:eastAsia="zh-CN"/>
              </w:rPr>
              <w:t>0</w:t>
            </w:r>
            <w:r>
              <w:rPr>
                <w:rFonts w:hint="eastAsia" w:cs="Times New Roman"/>
                <w:color w:val="000000"/>
                <w:kern w:val="0"/>
                <w:szCs w:val="20"/>
              </w:rPr>
              <w:t>m</w:t>
            </w:r>
            <w:r>
              <w:rPr>
                <w:rFonts w:cs="Times New Roman"/>
                <w:color w:val="000000"/>
                <w:kern w:val="0"/>
                <w:szCs w:val="20"/>
              </w:rPr>
              <w:t>g/m</w:t>
            </w:r>
            <w:r>
              <w:rPr>
                <w:rFonts w:cs="Times New Roman"/>
                <w:color w:val="000000"/>
                <w:kern w:val="0"/>
                <w:szCs w:val="20"/>
                <w:vertAlign w:val="superscript"/>
              </w:rPr>
              <w:t>3</w:t>
            </w:r>
            <w:r>
              <w:rPr>
                <w:rFonts w:hint="eastAsia" w:cs="Times New Roman"/>
                <w:color w:val="000000"/>
                <w:kern w:val="0"/>
                <w:szCs w:val="20"/>
              </w:rPr>
              <w:t>，</w:t>
            </w:r>
            <w:r>
              <w:rPr>
                <w:rFonts w:cs="Times New Roman"/>
                <w:color w:val="000000"/>
                <w:kern w:val="0"/>
                <w:szCs w:val="20"/>
              </w:rPr>
              <w:t>O</w:t>
            </w:r>
            <w:r>
              <w:rPr>
                <w:rFonts w:cs="Times New Roman"/>
                <w:color w:val="000000"/>
                <w:kern w:val="0"/>
                <w:szCs w:val="20"/>
                <w:vertAlign w:val="subscript"/>
              </w:rPr>
              <w:t>3</w:t>
            </w:r>
            <w:r>
              <w:rPr>
                <w:rFonts w:hint="eastAsia" w:cs="Times New Roman"/>
                <w:color w:val="000000"/>
                <w:kern w:val="0"/>
                <w:szCs w:val="20"/>
              </w:rPr>
              <w:t>-</w:t>
            </w:r>
            <w:r>
              <w:rPr>
                <w:rFonts w:cs="Times New Roman"/>
                <w:color w:val="000000"/>
                <w:kern w:val="0"/>
                <w:szCs w:val="20"/>
              </w:rPr>
              <w:t>8h</w:t>
            </w:r>
            <w:r>
              <w:rPr>
                <w:rFonts w:hint="eastAsia" w:cs="Times New Roman"/>
                <w:color w:val="000000"/>
                <w:kern w:val="0"/>
                <w:szCs w:val="20"/>
              </w:rPr>
              <w:t>年百分位浓度为1</w:t>
            </w:r>
            <w:r>
              <w:rPr>
                <w:rFonts w:hint="eastAsia" w:cs="Times New Roman"/>
                <w:color w:val="000000"/>
                <w:kern w:val="0"/>
                <w:szCs w:val="20"/>
                <w:lang w:val="en-US" w:eastAsia="zh-CN"/>
              </w:rPr>
              <w:t>53</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，其中PM</w:t>
            </w:r>
            <w:r>
              <w:rPr>
                <w:rFonts w:cs="Times New Roman"/>
                <w:color w:val="000000"/>
                <w:kern w:val="0"/>
                <w:szCs w:val="20"/>
                <w:vertAlign w:val="subscript"/>
              </w:rPr>
              <w:t>2.5</w:t>
            </w:r>
            <w:r>
              <w:rPr>
                <w:rFonts w:cs="Times New Roman"/>
                <w:color w:val="000000"/>
                <w:kern w:val="0"/>
                <w:szCs w:val="20"/>
              </w:rPr>
              <w:t>、PM</w:t>
            </w:r>
            <w:r>
              <w:rPr>
                <w:rFonts w:cs="Times New Roman"/>
                <w:color w:val="000000"/>
                <w:kern w:val="0"/>
                <w:szCs w:val="20"/>
                <w:vertAlign w:val="subscript"/>
              </w:rPr>
              <w:t>10</w:t>
            </w:r>
            <w:r>
              <w:rPr>
                <w:rFonts w:cs="Times New Roman"/>
                <w:color w:val="000000"/>
                <w:kern w:val="0"/>
                <w:szCs w:val="20"/>
              </w:rPr>
              <w:t>超标</w:t>
            </w:r>
            <w:r>
              <w:rPr>
                <w:rFonts w:hint="eastAsia" w:cs="Times New Roman"/>
                <w:color w:val="000000"/>
                <w:kern w:val="0"/>
                <w:szCs w:val="20"/>
              </w:rPr>
              <w:t>，判定</w:t>
            </w:r>
            <w:r>
              <w:rPr>
                <w:rFonts w:hint="eastAsia" w:cs="Times New Roman"/>
                <w:color w:val="000000"/>
                <w:kern w:val="0"/>
                <w:szCs w:val="20"/>
                <w:lang w:val="en-US" w:eastAsia="zh-CN"/>
              </w:rPr>
              <w:t>镇平</w:t>
            </w:r>
            <w:r>
              <w:rPr>
                <w:rFonts w:hint="eastAsia" w:cs="Times New Roman"/>
                <w:color w:val="000000"/>
                <w:kern w:val="0"/>
                <w:szCs w:val="20"/>
              </w:rPr>
              <w:t>县属于不达标区</w:t>
            </w:r>
            <w:r>
              <w:rPr>
                <w:rFonts w:cs="Times New Roman"/>
                <w:color w:val="000000"/>
                <w:kern w:val="0"/>
                <w:szCs w:val="20"/>
              </w:rPr>
              <w:t>。</w:t>
            </w:r>
            <w:r>
              <w:rPr>
                <w:rFonts w:hint="eastAsia" w:eastAsia="宋体" w:cs="Times New Roman"/>
                <w:szCs w:val="24"/>
              </w:rPr>
              <w:t>具体</w:t>
            </w:r>
            <w:r>
              <w:rPr>
                <w:rFonts w:eastAsia="宋体" w:cs="Times New Roman"/>
                <w:kern w:val="0"/>
                <w:szCs w:val="24"/>
              </w:rPr>
              <w:t>统计结果见</w:t>
            </w:r>
            <w:r>
              <w:rPr>
                <w:rFonts w:hint="eastAsia" w:cs="Times New Roman"/>
                <w:kern w:val="0"/>
                <w:szCs w:val="24"/>
              </w:rPr>
              <w:t>下表</w:t>
            </w:r>
            <w:r>
              <w:rPr>
                <w:rFonts w:eastAsia="宋体" w:cs="Times New Roman"/>
                <w:kern w:val="0"/>
                <w:szCs w:val="24"/>
              </w:rPr>
              <w:t>。</w:t>
            </w:r>
          </w:p>
          <w:p w14:paraId="66729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黑体" w:cs="Times New Roman"/>
                <w:b w:val="0"/>
                <w:bCs/>
                <w:color w:val="auto"/>
                <w:sz w:val="24"/>
                <w:szCs w:val="24"/>
                <w:u w:val="none"/>
              </w:rPr>
            </w:pPr>
            <w:r>
              <w:rPr>
                <w:rFonts w:hint="default" w:ascii="Times New Roman" w:hAnsi="Times New Roman" w:eastAsia="黑体" w:cs="Times New Roman"/>
                <w:b w:val="0"/>
                <w:bCs/>
                <w:color w:val="auto"/>
                <w:sz w:val="24"/>
                <w:szCs w:val="24"/>
                <w:u w:val="none"/>
              </w:rPr>
              <w:t xml:space="preserve">表3-1  </w:t>
            </w:r>
            <w:r>
              <w:rPr>
                <w:rFonts w:hint="eastAsia" w:eastAsia="黑体" w:cs="Times New Roman"/>
                <w:b w:val="0"/>
                <w:bCs/>
                <w:color w:val="auto"/>
                <w:sz w:val="24"/>
                <w:szCs w:val="24"/>
                <w:u w:val="none"/>
                <w:lang w:val="en-US" w:eastAsia="zh-CN"/>
              </w:rPr>
              <w:t>镇平</w:t>
            </w:r>
            <w:r>
              <w:rPr>
                <w:rFonts w:hint="default" w:ascii="Times New Roman" w:hAnsi="Times New Roman" w:eastAsia="黑体" w:cs="Times New Roman"/>
                <w:b w:val="0"/>
                <w:bCs/>
                <w:color w:val="auto"/>
                <w:sz w:val="24"/>
                <w:szCs w:val="24"/>
                <w:u w:val="none"/>
              </w:rPr>
              <w:t>县</w:t>
            </w:r>
            <w:r>
              <w:rPr>
                <w:rFonts w:hint="eastAsia" w:ascii="Times New Roman" w:hAnsi="Times New Roman" w:eastAsia="黑体" w:cs="Times New Roman"/>
                <w:b w:val="0"/>
                <w:bCs/>
                <w:color w:val="auto"/>
                <w:sz w:val="24"/>
                <w:szCs w:val="24"/>
                <w:u w:val="none"/>
                <w:lang w:val="en-US" w:eastAsia="zh-CN"/>
              </w:rPr>
              <w:t>2024年度</w:t>
            </w:r>
            <w:r>
              <w:rPr>
                <w:rFonts w:hint="default" w:ascii="Times New Roman" w:hAnsi="Times New Roman" w:eastAsia="黑体" w:cs="Times New Roman"/>
                <w:b w:val="0"/>
                <w:bCs/>
                <w:color w:val="auto"/>
                <w:sz w:val="24"/>
                <w:szCs w:val="24"/>
                <w:u w:val="none"/>
              </w:rPr>
              <w:t>环境空气质量监测结果统计一览表</w:t>
            </w:r>
          </w:p>
          <w:tbl>
            <w:tblPr>
              <w:tblStyle w:val="28"/>
              <w:tblW w:w="505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94"/>
              <w:gridCol w:w="1841"/>
              <w:gridCol w:w="1264"/>
              <w:gridCol w:w="795"/>
              <w:gridCol w:w="873"/>
              <w:gridCol w:w="737"/>
              <w:gridCol w:w="750"/>
              <w:gridCol w:w="866"/>
              <w:gridCol w:w="736"/>
            </w:tblGrid>
            <w:tr w14:paraId="41EEFB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bottom w:val="single" w:color="auto" w:sz="4" w:space="0"/>
                  </w:tcBorders>
                  <w:vAlign w:val="center"/>
                </w:tcPr>
                <w:p w14:paraId="4B7C2F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污染物</w:t>
                  </w:r>
                </w:p>
              </w:tc>
              <w:tc>
                <w:tcPr>
                  <w:tcW w:w="1064" w:type="pct"/>
                  <w:vAlign w:val="center"/>
                </w:tcPr>
                <w:p w14:paraId="52E2A0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评价指标</w:t>
                  </w:r>
                </w:p>
              </w:tc>
              <w:tc>
                <w:tcPr>
                  <w:tcW w:w="730" w:type="pct"/>
                  <w:vAlign w:val="center"/>
                </w:tcPr>
                <w:p w14:paraId="37751C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现状浓度值μg/m</w:t>
                  </w:r>
                  <w:r>
                    <w:rPr>
                      <w:rFonts w:eastAsia="宋体" w:cs="Times New Roman"/>
                      <w:sz w:val="21"/>
                      <w:szCs w:val="21"/>
                      <w:u w:val="none" w:color="auto"/>
                      <w:vertAlign w:val="superscript"/>
                    </w:rPr>
                    <w:t>3</w:t>
                  </w:r>
                </w:p>
              </w:tc>
              <w:tc>
                <w:tcPr>
                  <w:tcW w:w="459" w:type="pct"/>
                  <w:vAlign w:val="center"/>
                </w:tcPr>
                <w:p w14:paraId="69D9EC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标准值</w:t>
                  </w:r>
                  <w:r>
                    <w:rPr>
                      <w:rFonts w:hint="default" w:ascii="Times New Roman" w:hAnsi="Times New Roman" w:eastAsia="宋体" w:cs="Times New Roman"/>
                      <w:sz w:val="21"/>
                      <w:szCs w:val="21"/>
                      <w:u w:val="none" w:color="auto"/>
                      <w:vertAlign w:val="superscript"/>
                    </w:rPr>
                    <w:t>①</w:t>
                  </w:r>
                </w:p>
              </w:tc>
              <w:tc>
                <w:tcPr>
                  <w:tcW w:w="504" w:type="pct"/>
                  <w:vAlign w:val="center"/>
                </w:tcPr>
                <w:p w14:paraId="4478FB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占标率（%）</w:t>
                  </w:r>
                </w:p>
              </w:tc>
              <w:tc>
                <w:tcPr>
                  <w:tcW w:w="426" w:type="pct"/>
                  <w:vAlign w:val="center"/>
                </w:tcPr>
                <w:p w14:paraId="42124E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达标情况</w:t>
                  </w:r>
                </w:p>
              </w:tc>
              <w:tc>
                <w:tcPr>
                  <w:tcW w:w="433" w:type="pct"/>
                  <w:vAlign w:val="center"/>
                </w:tcPr>
                <w:p w14:paraId="4A944A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标准值</w:t>
                  </w:r>
                  <w:r>
                    <w:rPr>
                      <w:rFonts w:hint="eastAsia" w:ascii="宋体" w:hAnsi="宋体" w:eastAsia="宋体" w:cs="宋体"/>
                      <w:sz w:val="21"/>
                      <w:szCs w:val="21"/>
                      <w:u w:val="none" w:color="auto"/>
                      <w:vertAlign w:val="superscript"/>
                    </w:rPr>
                    <w:t>②</w:t>
                  </w:r>
                </w:p>
              </w:tc>
              <w:tc>
                <w:tcPr>
                  <w:tcW w:w="500" w:type="pct"/>
                  <w:vAlign w:val="center"/>
                </w:tcPr>
                <w:p w14:paraId="4CCBF5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占标率（%）</w:t>
                  </w:r>
                </w:p>
              </w:tc>
              <w:tc>
                <w:tcPr>
                  <w:tcW w:w="422" w:type="pct"/>
                  <w:vAlign w:val="center"/>
                </w:tcPr>
                <w:p w14:paraId="7C91DE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eastAsia="宋体" w:cs="Times New Roman"/>
                      <w:sz w:val="21"/>
                      <w:szCs w:val="21"/>
                      <w:u w:val="none" w:color="auto"/>
                      <w:lang w:val="en-US" w:eastAsia="zh-CN"/>
                    </w:rPr>
                    <w:t>达标情况</w:t>
                  </w:r>
                </w:p>
              </w:tc>
            </w:tr>
            <w:tr w14:paraId="77E791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top w:val="single" w:color="auto" w:sz="4" w:space="0"/>
                    <w:left w:val="single" w:color="auto" w:sz="4" w:space="0"/>
                  </w:tcBorders>
                  <w:vAlign w:val="center"/>
                </w:tcPr>
                <w:p w14:paraId="00D0C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PM</w:t>
                  </w:r>
                  <w:r>
                    <w:rPr>
                      <w:rFonts w:eastAsia="宋体" w:cs="Times New Roman"/>
                      <w:sz w:val="21"/>
                      <w:szCs w:val="21"/>
                      <w:u w:val="none" w:color="auto"/>
                      <w:vertAlign w:val="subscript"/>
                    </w:rPr>
                    <w:t>2.5</w:t>
                  </w:r>
                </w:p>
              </w:tc>
              <w:tc>
                <w:tcPr>
                  <w:tcW w:w="1064" w:type="pct"/>
                  <w:vAlign w:val="center"/>
                </w:tcPr>
                <w:p w14:paraId="2C2E06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sz w:val="21"/>
                      <w:szCs w:val="21"/>
                      <w:u w:val="none" w:color="auto"/>
                      <w:lang w:eastAsia="zh-CN"/>
                    </w:rPr>
                  </w:pPr>
                  <w:r>
                    <w:rPr>
                      <w:rFonts w:hint="eastAsia" w:eastAsia="宋体" w:cs="Times New Roman"/>
                      <w:sz w:val="21"/>
                      <w:szCs w:val="21"/>
                      <w:u w:val="none" w:color="auto"/>
                      <w:lang w:val="en-US" w:eastAsia="zh-CN"/>
                    </w:rPr>
                    <w:t>年平均质量浓度</w:t>
                  </w:r>
                </w:p>
              </w:tc>
              <w:tc>
                <w:tcPr>
                  <w:tcW w:w="730" w:type="pct"/>
                  <w:vAlign w:val="center"/>
                </w:tcPr>
                <w:p w14:paraId="2B7932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eastAsia" w:ascii="Times New Roman" w:hAnsi="Times New Roman" w:eastAsia="宋体" w:cs="Times New Roman"/>
                      <w:color w:val="auto"/>
                      <w:sz w:val="21"/>
                      <w:szCs w:val="21"/>
                      <w:u w:val="none"/>
                      <w:lang w:val="en-US" w:eastAsia="zh-CN"/>
                    </w:rPr>
                    <w:t>4</w:t>
                  </w:r>
                  <w:r>
                    <w:rPr>
                      <w:rFonts w:hint="eastAsia" w:eastAsia="宋体" w:cs="Times New Roman"/>
                      <w:color w:val="auto"/>
                      <w:sz w:val="21"/>
                      <w:szCs w:val="21"/>
                      <w:u w:val="none"/>
                      <w:lang w:val="en-US" w:eastAsia="zh-CN"/>
                    </w:rPr>
                    <w:t>1</w:t>
                  </w:r>
                </w:p>
              </w:tc>
              <w:tc>
                <w:tcPr>
                  <w:tcW w:w="459" w:type="pct"/>
                  <w:vAlign w:val="center"/>
                </w:tcPr>
                <w:p w14:paraId="370672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35</w:t>
                  </w:r>
                </w:p>
              </w:tc>
              <w:tc>
                <w:tcPr>
                  <w:tcW w:w="504" w:type="pct"/>
                  <w:vAlign w:val="center"/>
                </w:tcPr>
                <w:p w14:paraId="3E09F4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eastAsia="宋体" w:cs="Times New Roman"/>
                      <w:sz w:val="21"/>
                      <w:szCs w:val="21"/>
                      <w:u w:val="none" w:color="auto"/>
                    </w:rPr>
                  </w:pPr>
                  <w:r>
                    <w:rPr>
                      <w:rFonts w:hint="eastAsia" w:ascii="Times New Roman" w:hAnsi="Times New Roman" w:eastAsia="宋体" w:cs="Times New Roman"/>
                      <w:color w:val="auto"/>
                      <w:sz w:val="21"/>
                      <w:szCs w:val="21"/>
                      <w:u w:val="none"/>
                      <w:lang w:val="en-US" w:eastAsia="zh-CN"/>
                    </w:rPr>
                    <w:t>1</w:t>
                  </w:r>
                  <w:r>
                    <w:rPr>
                      <w:rFonts w:hint="eastAsia" w:eastAsia="宋体" w:cs="Times New Roman"/>
                      <w:color w:val="auto"/>
                      <w:sz w:val="21"/>
                      <w:szCs w:val="21"/>
                      <w:u w:val="none"/>
                      <w:lang w:val="en-US" w:eastAsia="zh-CN"/>
                    </w:rPr>
                    <w:t>17.1</w:t>
                  </w:r>
                </w:p>
              </w:tc>
              <w:tc>
                <w:tcPr>
                  <w:tcW w:w="426" w:type="pct"/>
                  <w:vAlign w:val="center"/>
                </w:tcPr>
                <w:p w14:paraId="3958F7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超标</w:t>
                  </w:r>
                </w:p>
              </w:tc>
              <w:tc>
                <w:tcPr>
                  <w:tcW w:w="433" w:type="pct"/>
                  <w:vAlign w:val="center"/>
                </w:tcPr>
                <w:p w14:paraId="6C1D0E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30</w:t>
                  </w:r>
                </w:p>
              </w:tc>
              <w:tc>
                <w:tcPr>
                  <w:tcW w:w="500" w:type="pct"/>
                  <w:vAlign w:val="center"/>
                </w:tcPr>
                <w:p w14:paraId="53179A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rPr>
                  </w:pPr>
                  <w:r>
                    <w:rPr>
                      <w:rFonts w:hint="eastAsia" w:cs="Times New Roman"/>
                      <w:sz w:val="21"/>
                      <w:szCs w:val="21"/>
                      <w:u w:val="none" w:color="auto"/>
                      <w:lang w:val="en-US" w:eastAsia="zh-CN"/>
                    </w:rPr>
                    <w:t>136.7</w:t>
                  </w:r>
                </w:p>
              </w:tc>
              <w:tc>
                <w:tcPr>
                  <w:tcW w:w="422" w:type="pct"/>
                  <w:vAlign w:val="center"/>
                </w:tcPr>
                <w:p w14:paraId="3D8802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sz w:val="21"/>
                      <w:szCs w:val="21"/>
                      <w:u w:val="none" w:color="auto"/>
                      <w:lang w:eastAsia="zh-CN"/>
                    </w:rPr>
                  </w:pPr>
                  <w:r>
                    <w:rPr>
                      <w:rFonts w:hint="eastAsia" w:eastAsia="宋体" w:cs="Times New Roman"/>
                      <w:sz w:val="21"/>
                      <w:szCs w:val="21"/>
                      <w:u w:val="none" w:color="auto"/>
                      <w:lang w:val="en-US" w:eastAsia="zh-CN"/>
                    </w:rPr>
                    <w:t>超标</w:t>
                  </w:r>
                </w:p>
              </w:tc>
            </w:tr>
            <w:tr w14:paraId="3C2231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tcBorders>
                  <w:vAlign w:val="center"/>
                </w:tcPr>
                <w:p w14:paraId="66865A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PM</w:t>
                  </w:r>
                  <w:r>
                    <w:rPr>
                      <w:rFonts w:eastAsia="宋体" w:cs="Times New Roman"/>
                      <w:sz w:val="21"/>
                      <w:szCs w:val="21"/>
                      <w:u w:val="none" w:color="auto"/>
                      <w:vertAlign w:val="subscript"/>
                    </w:rPr>
                    <w:t>10</w:t>
                  </w:r>
                </w:p>
              </w:tc>
              <w:tc>
                <w:tcPr>
                  <w:tcW w:w="1064" w:type="pct"/>
                  <w:vAlign w:val="center"/>
                </w:tcPr>
                <w:p w14:paraId="59BE36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年平均质量浓度</w:t>
                  </w:r>
                </w:p>
              </w:tc>
              <w:tc>
                <w:tcPr>
                  <w:tcW w:w="730" w:type="pct"/>
                  <w:vAlign w:val="center"/>
                </w:tcPr>
                <w:p w14:paraId="6A9E99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eastAsia" w:ascii="Times New Roman" w:hAnsi="Times New Roman" w:eastAsia="宋体" w:cs="Times New Roman"/>
                      <w:color w:val="auto"/>
                      <w:sz w:val="21"/>
                      <w:szCs w:val="21"/>
                      <w:u w:val="none"/>
                      <w:lang w:val="en-US" w:eastAsia="zh-CN"/>
                    </w:rPr>
                    <w:t>7</w:t>
                  </w:r>
                  <w:r>
                    <w:rPr>
                      <w:rFonts w:hint="eastAsia" w:eastAsia="宋体" w:cs="Times New Roman"/>
                      <w:color w:val="auto"/>
                      <w:sz w:val="21"/>
                      <w:szCs w:val="21"/>
                      <w:u w:val="none"/>
                      <w:lang w:val="en-US" w:eastAsia="zh-CN"/>
                    </w:rPr>
                    <w:t>2</w:t>
                  </w:r>
                </w:p>
              </w:tc>
              <w:tc>
                <w:tcPr>
                  <w:tcW w:w="459" w:type="pct"/>
                  <w:vAlign w:val="center"/>
                </w:tcPr>
                <w:p w14:paraId="0FABEE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70</w:t>
                  </w:r>
                </w:p>
              </w:tc>
              <w:tc>
                <w:tcPr>
                  <w:tcW w:w="504" w:type="pct"/>
                  <w:vAlign w:val="center"/>
                </w:tcPr>
                <w:p w14:paraId="16C2AD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eastAsia="宋体" w:cs="Times New Roman"/>
                      <w:sz w:val="21"/>
                      <w:szCs w:val="21"/>
                      <w:u w:val="none" w:color="auto"/>
                    </w:rPr>
                  </w:pPr>
                  <w:r>
                    <w:rPr>
                      <w:rFonts w:hint="eastAsia" w:ascii="Times New Roman" w:hAnsi="Times New Roman" w:eastAsia="宋体" w:cs="Times New Roman"/>
                      <w:color w:val="auto"/>
                      <w:sz w:val="21"/>
                      <w:szCs w:val="21"/>
                      <w:u w:val="none"/>
                      <w:lang w:val="en-US" w:eastAsia="zh-CN"/>
                    </w:rPr>
                    <w:t>1</w:t>
                  </w:r>
                  <w:r>
                    <w:rPr>
                      <w:rFonts w:hint="eastAsia" w:eastAsia="宋体" w:cs="Times New Roman"/>
                      <w:color w:val="auto"/>
                      <w:sz w:val="21"/>
                      <w:szCs w:val="21"/>
                      <w:u w:val="none"/>
                      <w:lang w:val="en-US" w:eastAsia="zh-CN"/>
                    </w:rPr>
                    <w:t>02.8</w:t>
                  </w:r>
                </w:p>
              </w:tc>
              <w:tc>
                <w:tcPr>
                  <w:tcW w:w="426" w:type="pct"/>
                  <w:vAlign w:val="center"/>
                </w:tcPr>
                <w:p w14:paraId="236C32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超标</w:t>
                  </w:r>
                </w:p>
              </w:tc>
              <w:tc>
                <w:tcPr>
                  <w:tcW w:w="433" w:type="pct"/>
                  <w:vAlign w:val="center"/>
                </w:tcPr>
                <w:p w14:paraId="610382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60</w:t>
                  </w:r>
                </w:p>
              </w:tc>
              <w:tc>
                <w:tcPr>
                  <w:tcW w:w="500" w:type="pct"/>
                  <w:vAlign w:val="center"/>
                </w:tcPr>
                <w:p w14:paraId="4AC489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rPr>
                  </w:pPr>
                  <w:r>
                    <w:rPr>
                      <w:rFonts w:hint="eastAsia" w:cs="Times New Roman"/>
                      <w:sz w:val="21"/>
                      <w:szCs w:val="21"/>
                      <w:u w:val="none" w:color="auto"/>
                      <w:lang w:val="en-US" w:eastAsia="zh-CN"/>
                    </w:rPr>
                    <w:t>120.0</w:t>
                  </w:r>
                </w:p>
              </w:tc>
              <w:tc>
                <w:tcPr>
                  <w:tcW w:w="422" w:type="pct"/>
                  <w:vAlign w:val="center"/>
                </w:tcPr>
                <w:p w14:paraId="74C9D0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超标</w:t>
                  </w:r>
                </w:p>
              </w:tc>
            </w:tr>
            <w:tr w14:paraId="3F828C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tcBorders>
                  <w:vAlign w:val="center"/>
                </w:tcPr>
                <w:p w14:paraId="4E2FC1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SO</w:t>
                  </w:r>
                  <w:r>
                    <w:rPr>
                      <w:rFonts w:eastAsia="宋体" w:cs="Times New Roman"/>
                      <w:sz w:val="21"/>
                      <w:szCs w:val="21"/>
                      <w:u w:val="none" w:color="auto"/>
                      <w:vertAlign w:val="subscript"/>
                    </w:rPr>
                    <w:t>2</w:t>
                  </w:r>
                </w:p>
              </w:tc>
              <w:tc>
                <w:tcPr>
                  <w:tcW w:w="1064" w:type="pct"/>
                  <w:vAlign w:val="center"/>
                </w:tcPr>
                <w:p w14:paraId="730037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年平均质量浓度</w:t>
                  </w:r>
                </w:p>
              </w:tc>
              <w:tc>
                <w:tcPr>
                  <w:tcW w:w="730" w:type="pct"/>
                  <w:vAlign w:val="center"/>
                </w:tcPr>
                <w:p w14:paraId="0679EF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eastAsia="宋体" w:cs="Times New Roman"/>
                      <w:sz w:val="21"/>
                      <w:szCs w:val="21"/>
                      <w:u w:val="none" w:color="auto"/>
                      <w:lang w:eastAsia="zh-CN"/>
                    </w:rPr>
                  </w:pPr>
                  <w:r>
                    <w:rPr>
                      <w:rFonts w:hint="eastAsia" w:eastAsia="宋体" w:cs="Times New Roman"/>
                      <w:color w:val="auto"/>
                      <w:sz w:val="21"/>
                      <w:szCs w:val="21"/>
                      <w:u w:val="none"/>
                      <w:lang w:val="en-US" w:eastAsia="zh-CN"/>
                    </w:rPr>
                    <w:t>7</w:t>
                  </w:r>
                </w:p>
              </w:tc>
              <w:tc>
                <w:tcPr>
                  <w:tcW w:w="459" w:type="pct"/>
                  <w:vAlign w:val="center"/>
                </w:tcPr>
                <w:p w14:paraId="6A357B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60</w:t>
                  </w:r>
                </w:p>
              </w:tc>
              <w:tc>
                <w:tcPr>
                  <w:tcW w:w="504" w:type="pct"/>
                  <w:vAlign w:val="center"/>
                </w:tcPr>
                <w:p w14:paraId="633B78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eastAsia="宋体" w:cs="Times New Roman"/>
                      <w:sz w:val="21"/>
                      <w:szCs w:val="21"/>
                      <w:u w:val="none" w:color="auto"/>
                    </w:rPr>
                  </w:pPr>
                  <w:r>
                    <w:rPr>
                      <w:rFonts w:hint="eastAsia" w:eastAsia="宋体" w:cs="Times New Roman"/>
                      <w:color w:val="auto"/>
                      <w:sz w:val="21"/>
                      <w:szCs w:val="21"/>
                      <w:u w:val="none"/>
                      <w:lang w:val="en-US" w:eastAsia="zh-CN"/>
                    </w:rPr>
                    <w:t>11.67</w:t>
                  </w:r>
                </w:p>
              </w:tc>
              <w:tc>
                <w:tcPr>
                  <w:tcW w:w="426" w:type="pct"/>
                  <w:vAlign w:val="center"/>
                </w:tcPr>
                <w:p w14:paraId="551676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c>
                <w:tcPr>
                  <w:tcW w:w="433" w:type="pct"/>
                  <w:vAlign w:val="center"/>
                </w:tcPr>
                <w:p w14:paraId="12848A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60</w:t>
                  </w:r>
                </w:p>
              </w:tc>
              <w:tc>
                <w:tcPr>
                  <w:tcW w:w="500" w:type="pct"/>
                  <w:vAlign w:val="center"/>
                </w:tcPr>
                <w:p w14:paraId="32C206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eastAsia" w:eastAsia="宋体" w:cs="Times New Roman"/>
                      <w:color w:val="auto"/>
                      <w:sz w:val="21"/>
                      <w:szCs w:val="21"/>
                      <w:u w:val="none"/>
                      <w:lang w:val="en-US" w:eastAsia="zh-CN"/>
                    </w:rPr>
                    <w:t>11.67</w:t>
                  </w:r>
                </w:p>
              </w:tc>
              <w:tc>
                <w:tcPr>
                  <w:tcW w:w="422" w:type="pct"/>
                  <w:vAlign w:val="center"/>
                </w:tcPr>
                <w:p w14:paraId="7E9A37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sz w:val="21"/>
                      <w:szCs w:val="21"/>
                      <w:u w:val="none" w:color="auto"/>
                      <w:lang w:eastAsia="zh-CN"/>
                    </w:rPr>
                  </w:pPr>
                  <w:r>
                    <w:rPr>
                      <w:rFonts w:hint="eastAsia" w:eastAsia="宋体" w:cs="Times New Roman"/>
                      <w:sz w:val="21"/>
                      <w:szCs w:val="21"/>
                      <w:u w:val="none" w:color="auto"/>
                      <w:lang w:val="en-US" w:eastAsia="zh-CN"/>
                    </w:rPr>
                    <w:t>达标</w:t>
                  </w:r>
                </w:p>
              </w:tc>
            </w:tr>
            <w:tr w14:paraId="353F25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tcBorders>
                  <w:vAlign w:val="center"/>
                </w:tcPr>
                <w:p w14:paraId="3E5B8C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NO</w:t>
                  </w:r>
                  <w:r>
                    <w:rPr>
                      <w:rFonts w:eastAsia="宋体" w:cs="Times New Roman"/>
                      <w:sz w:val="21"/>
                      <w:szCs w:val="21"/>
                      <w:u w:val="none" w:color="auto"/>
                      <w:vertAlign w:val="subscript"/>
                    </w:rPr>
                    <w:t>2</w:t>
                  </w:r>
                </w:p>
              </w:tc>
              <w:tc>
                <w:tcPr>
                  <w:tcW w:w="1064" w:type="pct"/>
                  <w:vAlign w:val="center"/>
                </w:tcPr>
                <w:p w14:paraId="6E44C0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年平均质量浓度</w:t>
                  </w:r>
                </w:p>
              </w:tc>
              <w:tc>
                <w:tcPr>
                  <w:tcW w:w="730" w:type="pct"/>
                  <w:vAlign w:val="center"/>
                </w:tcPr>
                <w:p w14:paraId="0CE20A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default" w:ascii="Times New Roman" w:hAnsi="Times New Roman" w:eastAsia="宋体" w:cs="Times New Roman"/>
                      <w:color w:val="auto"/>
                      <w:sz w:val="21"/>
                      <w:szCs w:val="21"/>
                      <w:u w:val="none"/>
                    </w:rPr>
                    <w:t>1</w:t>
                  </w:r>
                  <w:r>
                    <w:rPr>
                      <w:rFonts w:hint="eastAsia" w:eastAsia="宋体" w:cs="Times New Roman"/>
                      <w:color w:val="auto"/>
                      <w:sz w:val="21"/>
                      <w:szCs w:val="21"/>
                      <w:u w:val="none"/>
                      <w:lang w:val="en-US" w:eastAsia="zh-CN"/>
                    </w:rPr>
                    <w:t>4</w:t>
                  </w:r>
                </w:p>
              </w:tc>
              <w:tc>
                <w:tcPr>
                  <w:tcW w:w="459" w:type="pct"/>
                  <w:vAlign w:val="center"/>
                </w:tcPr>
                <w:p w14:paraId="726914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40</w:t>
                  </w:r>
                </w:p>
              </w:tc>
              <w:tc>
                <w:tcPr>
                  <w:tcW w:w="504" w:type="pct"/>
                  <w:vAlign w:val="center"/>
                </w:tcPr>
                <w:p w14:paraId="6252FB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rPr>
                  </w:pPr>
                  <w:r>
                    <w:rPr>
                      <w:rFonts w:hint="eastAsia" w:eastAsia="宋体" w:cs="Times New Roman"/>
                      <w:color w:val="auto"/>
                      <w:sz w:val="21"/>
                      <w:szCs w:val="21"/>
                      <w:u w:val="none"/>
                      <w:lang w:val="en-US" w:eastAsia="zh-CN"/>
                    </w:rPr>
                    <w:t>35.0</w:t>
                  </w:r>
                </w:p>
              </w:tc>
              <w:tc>
                <w:tcPr>
                  <w:tcW w:w="426" w:type="pct"/>
                  <w:vAlign w:val="center"/>
                </w:tcPr>
                <w:p w14:paraId="569E6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c>
                <w:tcPr>
                  <w:tcW w:w="433" w:type="pct"/>
                  <w:vAlign w:val="center"/>
                </w:tcPr>
                <w:p w14:paraId="30546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40</w:t>
                  </w:r>
                </w:p>
              </w:tc>
              <w:tc>
                <w:tcPr>
                  <w:tcW w:w="500" w:type="pct"/>
                  <w:vAlign w:val="center"/>
                </w:tcPr>
                <w:p w14:paraId="0E45B8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eastAsia" w:eastAsia="宋体" w:cs="Times New Roman"/>
                      <w:color w:val="auto"/>
                      <w:sz w:val="21"/>
                      <w:szCs w:val="21"/>
                      <w:u w:val="none"/>
                      <w:lang w:val="en-US" w:eastAsia="zh-CN"/>
                    </w:rPr>
                    <w:t>35.0</w:t>
                  </w:r>
                </w:p>
              </w:tc>
              <w:tc>
                <w:tcPr>
                  <w:tcW w:w="422" w:type="pct"/>
                  <w:vAlign w:val="center"/>
                </w:tcPr>
                <w:p w14:paraId="44B928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r>
            <w:tr w14:paraId="6E3CA1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tcBorders>
                  <w:vAlign w:val="center"/>
                </w:tcPr>
                <w:p w14:paraId="34E217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CO</w:t>
                  </w:r>
                </w:p>
              </w:tc>
              <w:tc>
                <w:tcPr>
                  <w:tcW w:w="1064" w:type="pct"/>
                  <w:vAlign w:val="center"/>
                </w:tcPr>
                <w:p w14:paraId="045213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default" w:eastAsia="宋体" w:cs="Times New Roman"/>
                      <w:sz w:val="21"/>
                      <w:szCs w:val="21"/>
                      <w:u w:val="none" w:color="auto"/>
                      <w:lang w:val="en-US" w:eastAsia="zh-CN"/>
                    </w:rPr>
                    <w:t>24h</w:t>
                  </w:r>
                  <w:r>
                    <w:rPr>
                      <w:rFonts w:hint="eastAsia" w:eastAsia="宋体" w:cs="Times New Roman"/>
                      <w:sz w:val="21"/>
                      <w:szCs w:val="21"/>
                      <w:u w:val="none" w:color="auto"/>
                      <w:lang w:val="en-US" w:eastAsia="zh-CN"/>
                    </w:rPr>
                    <w:t>平均第</w:t>
                  </w:r>
                  <w:r>
                    <w:rPr>
                      <w:rFonts w:hint="default" w:eastAsia="宋体" w:cs="Times New Roman"/>
                      <w:sz w:val="21"/>
                      <w:szCs w:val="21"/>
                      <w:u w:val="none" w:color="auto"/>
                      <w:lang w:val="en-US" w:eastAsia="zh-CN"/>
                    </w:rPr>
                    <w:t>95</w:t>
                  </w:r>
                  <w:r>
                    <w:rPr>
                      <w:rFonts w:hint="eastAsia" w:eastAsia="宋体" w:cs="Times New Roman"/>
                      <w:sz w:val="21"/>
                      <w:szCs w:val="21"/>
                      <w:u w:val="none" w:color="auto"/>
                      <w:lang w:val="en-US" w:eastAsia="zh-CN"/>
                    </w:rPr>
                    <w:t>百分位数</w:t>
                  </w:r>
                </w:p>
              </w:tc>
              <w:tc>
                <w:tcPr>
                  <w:tcW w:w="730" w:type="pct"/>
                  <w:vAlign w:val="center"/>
                </w:tcPr>
                <w:p w14:paraId="05BE06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eastAsia="宋体" w:cs="Times New Roman"/>
                      <w:sz w:val="21"/>
                      <w:szCs w:val="21"/>
                      <w:u w:val="none" w:color="auto"/>
                    </w:rPr>
                  </w:pPr>
                  <w:r>
                    <w:rPr>
                      <w:rFonts w:hint="eastAsia" w:eastAsia="宋体" w:cs="Times New Roman"/>
                      <w:color w:val="auto"/>
                      <w:sz w:val="21"/>
                      <w:szCs w:val="21"/>
                      <w:u w:val="none"/>
                      <w:lang w:val="en-US" w:eastAsia="zh-CN"/>
                    </w:rPr>
                    <w:t>10</w:t>
                  </w:r>
                  <w:r>
                    <w:rPr>
                      <w:rFonts w:hint="default" w:ascii="Times New Roman" w:hAnsi="Times New Roman" w:eastAsia="宋体" w:cs="Times New Roman"/>
                      <w:color w:val="auto"/>
                      <w:sz w:val="21"/>
                      <w:szCs w:val="21"/>
                      <w:u w:val="none"/>
                    </w:rPr>
                    <w:t>00</w:t>
                  </w:r>
                </w:p>
              </w:tc>
              <w:tc>
                <w:tcPr>
                  <w:tcW w:w="459" w:type="pct"/>
                  <w:vAlign w:val="center"/>
                </w:tcPr>
                <w:p w14:paraId="19FCF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4000</w:t>
                  </w:r>
                </w:p>
              </w:tc>
              <w:tc>
                <w:tcPr>
                  <w:tcW w:w="504" w:type="pct"/>
                  <w:vAlign w:val="center"/>
                </w:tcPr>
                <w:p w14:paraId="66C9AF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rPr>
                  </w:pPr>
                  <w:r>
                    <w:rPr>
                      <w:rFonts w:hint="default" w:ascii="Times New Roman" w:hAnsi="Times New Roman" w:eastAsia="宋体" w:cs="Times New Roman"/>
                      <w:color w:val="auto"/>
                      <w:sz w:val="21"/>
                      <w:szCs w:val="21"/>
                      <w:u w:val="none"/>
                    </w:rPr>
                    <w:t>2</w:t>
                  </w:r>
                  <w:r>
                    <w:rPr>
                      <w:rFonts w:hint="eastAsia" w:eastAsia="宋体" w:cs="Times New Roman"/>
                      <w:color w:val="auto"/>
                      <w:sz w:val="21"/>
                      <w:szCs w:val="21"/>
                      <w:u w:val="none"/>
                      <w:lang w:val="en-US" w:eastAsia="zh-CN"/>
                    </w:rPr>
                    <w:t>5.0</w:t>
                  </w:r>
                </w:p>
              </w:tc>
              <w:tc>
                <w:tcPr>
                  <w:tcW w:w="426" w:type="pct"/>
                  <w:vAlign w:val="center"/>
                </w:tcPr>
                <w:p w14:paraId="155748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c>
                <w:tcPr>
                  <w:tcW w:w="433" w:type="pct"/>
                  <w:vAlign w:val="center"/>
                </w:tcPr>
                <w:p w14:paraId="0CABCE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4000</w:t>
                  </w:r>
                </w:p>
              </w:tc>
              <w:tc>
                <w:tcPr>
                  <w:tcW w:w="500" w:type="pct"/>
                  <w:vAlign w:val="center"/>
                </w:tcPr>
                <w:p w14:paraId="491137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default" w:ascii="Times New Roman" w:hAnsi="Times New Roman" w:eastAsia="宋体" w:cs="Times New Roman"/>
                      <w:color w:val="auto"/>
                      <w:sz w:val="21"/>
                      <w:szCs w:val="21"/>
                      <w:u w:val="none"/>
                    </w:rPr>
                    <w:t>2</w:t>
                  </w:r>
                  <w:r>
                    <w:rPr>
                      <w:rFonts w:hint="eastAsia" w:eastAsia="宋体" w:cs="Times New Roman"/>
                      <w:color w:val="auto"/>
                      <w:sz w:val="21"/>
                      <w:szCs w:val="21"/>
                      <w:u w:val="none"/>
                      <w:lang w:val="en-US" w:eastAsia="zh-CN"/>
                    </w:rPr>
                    <w:t>5.0</w:t>
                  </w:r>
                </w:p>
              </w:tc>
              <w:tc>
                <w:tcPr>
                  <w:tcW w:w="422" w:type="pct"/>
                  <w:vAlign w:val="center"/>
                </w:tcPr>
                <w:p w14:paraId="7D4B61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r>
            <w:tr w14:paraId="6C4C7E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9" w:type="pct"/>
                  <w:tcBorders>
                    <w:left w:val="single" w:color="auto" w:sz="4" w:space="0"/>
                  </w:tcBorders>
                  <w:vAlign w:val="center"/>
                </w:tcPr>
                <w:p w14:paraId="6D2045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eastAsia="宋体" w:cs="Times New Roman"/>
                      <w:sz w:val="21"/>
                      <w:szCs w:val="21"/>
                      <w:u w:val="none" w:color="auto"/>
                    </w:rPr>
                    <w:t>O</w:t>
                  </w:r>
                  <w:r>
                    <w:rPr>
                      <w:rFonts w:eastAsia="宋体" w:cs="Times New Roman"/>
                      <w:sz w:val="21"/>
                      <w:szCs w:val="21"/>
                      <w:u w:val="none" w:color="auto"/>
                      <w:vertAlign w:val="subscript"/>
                    </w:rPr>
                    <w:t>3</w:t>
                  </w:r>
                </w:p>
              </w:tc>
              <w:tc>
                <w:tcPr>
                  <w:tcW w:w="1064" w:type="pct"/>
                  <w:vAlign w:val="center"/>
                </w:tcPr>
                <w:p w14:paraId="478F1B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日最大8h平均第90百分位数</w:t>
                  </w:r>
                </w:p>
              </w:tc>
              <w:tc>
                <w:tcPr>
                  <w:tcW w:w="730" w:type="pct"/>
                  <w:vAlign w:val="center"/>
                </w:tcPr>
                <w:p w14:paraId="264153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eastAsia="宋体" w:cs="Times New Roman"/>
                      <w:sz w:val="21"/>
                      <w:szCs w:val="21"/>
                      <w:u w:val="none" w:color="auto"/>
                      <w:lang w:eastAsia="zh-CN"/>
                    </w:rPr>
                  </w:pPr>
                  <w:r>
                    <w:rPr>
                      <w:rFonts w:hint="eastAsia" w:ascii="Times New Roman" w:hAnsi="Times New Roman" w:eastAsia="宋体" w:cs="Times New Roman"/>
                      <w:color w:val="auto"/>
                      <w:sz w:val="21"/>
                      <w:szCs w:val="21"/>
                      <w:u w:val="none"/>
                      <w:lang w:val="en-US" w:eastAsia="zh-CN"/>
                    </w:rPr>
                    <w:t>1</w:t>
                  </w:r>
                  <w:r>
                    <w:rPr>
                      <w:rFonts w:hint="eastAsia" w:eastAsia="宋体" w:cs="Times New Roman"/>
                      <w:color w:val="auto"/>
                      <w:sz w:val="21"/>
                      <w:szCs w:val="21"/>
                      <w:u w:val="none"/>
                      <w:lang w:val="en-US" w:eastAsia="zh-CN"/>
                    </w:rPr>
                    <w:t>53</w:t>
                  </w:r>
                </w:p>
              </w:tc>
              <w:tc>
                <w:tcPr>
                  <w:tcW w:w="459" w:type="pct"/>
                  <w:vAlign w:val="center"/>
                </w:tcPr>
                <w:p w14:paraId="5317E0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eastAsia="宋体" w:cs="Times New Roman"/>
                      <w:sz w:val="21"/>
                      <w:szCs w:val="21"/>
                      <w:u w:val="none" w:color="auto"/>
                    </w:rPr>
                    <w:t>160</w:t>
                  </w:r>
                </w:p>
              </w:tc>
              <w:tc>
                <w:tcPr>
                  <w:tcW w:w="504" w:type="pct"/>
                  <w:vAlign w:val="center"/>
                </w:tcPr>
                <w:p w14:paraId="40041A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eastAsia="宋体" w:cs="Times New Roman"/>
                      <w:sz w:val="21"/>
                      <w:szCs w:val="21"/>
                      <w:u w:val="none" w:color="auto"/>
                    </w:rPr>
                  </w:pPr>
                  <w:r>
                    <w:rPr>
                      <w:rFonts w:hint="eastAsia" w:eastAsia="宋体" w:cs="Times New Roman"/>
                      <w:color w:val="auto"/>
                      <w:sz w:val="21"/>
                      <w:szCs w:val="21"/>
                      <w:u w:val="none"/>
                      <w:lang w:val="en-US" w:eastAsia="zh-CN"/>
                    </w:rPr>
                    <w:t>95.6</w:t>
                  </w:r>
                </w:p>
              </w:tc>
              <w:tc>
                <w:tcPr>
                  <w:tcW w:w="426" w:type="pct"/>
                  <w:vAlign w:val="center"/>
                </w:tcPr>
                <w:p w14:paraId="6DF177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c>
                <w:tcPr>
                  <w:tcW w:w="433" w:type="pct"/>
                  <w:vAlign w:val="center"/>
                </w:tcPr>
                <w:p w14:paraId="2A4826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sz w:val="21"/>
                      <w:szCs w:val="21"/>
                      <w:u w:val="none" w:color="auto"/>
                      <w:lang w:val="en-US" w:eastAsia="zh-CN"/>
                    </w:rPr>
                  </w:pPr>
                  <w:r>
                    <w:rPr>
                      <w:rFonts w:hint="eastAsia" w:cs="Times New Roman"/>
                      <w:sz w:val="21"/>
                      <w:szCs w:val="21"/>
                      <w:u w:val="none" w:color="auto"/>
                      <w:lang w:val="en-US" w:eastAsia="zh-CN"/>
                    </w:rPr>
                    <w:t>160</w:t>
                  </w:r>
                </w:p>
              </w:tc>
              <w:tc>
                <w:tcPr>
                  <w:tcW w:w="500" w:type="pct"/>
                  <w:vAlign w:val="center"/>
                </w:tcPr>
                <w:p w14:paraId="3EB94B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eastAsia="宋体" w:cs="Times New Roman"/>
                      <w:sz w:val="21"/>
                      <w:szCs w:val="21"/>
                      <w:u w:val="none" w:color="auto"/>
                      <w:lang w:val="en-US" w:eastAsia="zh-CN"/>
                    </w:rPr>
                  </w:pPr>
                  <w:r>
                    <w:rPr>
                      <w:rFonts w:hint="eastAsia" w:eastAsia="宋体" w:cs="Times New Roman"/>
                      <w:color w:val="auto"/>
                      <w:sz w:val="21"/>
                      <w:szCs w:val="21"/>
                      <w:u w:val="none"/>
                      <w:lang w:val="en-US" w:eastAsia="zh-CN"/>
                    </w:rPr>
                    <w:t>95.6</w:t>
                  </w:r>
                </w:p>
              </w:tc>
              <w:tc>
                <w:tcPr>
                  <w:tcW w:w="422" w:type="pct"/>
                  <w:vAlign w:val="center"/>
                </w:tcPr>
                <w:p w14:paraId="38F057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imes New Roman"/>
                      <w:sz w:val="21"/>
                      <w:szCs w:val="21"/>
                      <w:u w:val="none" w:color="auto"/>
                    </w:rPr>
                  </w:pPr>
                  <w:r>
                    <w:rPr>
                      <w:rFonts w:hint="eastAsia" w:eastAsia="宋体" w:cs="Times New Roman"/>
                      <w:sz w:val="21"/>
                      <w:szCs w:val="21"/>
                      <w:u w:val="none" w:color="auto"/>
                      <w:lang w:val="en-US" w:eastAsia="zh-CN"/>
                    </w:rPr>
                    <w:t>达标</w:t>
                  </w:r>
                </w:p>
              </w:tc>
            </w:tr>
            <w:tr w14:paraId="793354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9"/>
                  <w:tcBorders>
                    <w:left w:val="single" w:color="auto" w:sz="4" w:space="0"/>
                  </w:tcBorders>
                  <w:vAlign w:val="center"/>
                </w:tcPr>
                <w:p w14:paraId="22F1A013">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cs="Times New Roman"/>
                      <w:sz w:val="21"/>
                      <w:szCs w:val="21"/>
                      <w:u w:val="none" w:color="auto"/>
                      <w:lang w:val="en-US" w:eastAsia="zh-CN"/>
                    </w:rPr>
                  </w:pPr>
                  <w:r>
                    <w:rPr>
                      <w:rFonts w:hint="eastAsia" w:cs="Times New Roman"/>
                      <w:sz w:val="21"/>
                      <w:szCs w:val="21"/>
                      <w:u w:val="none" w:color="auto"/>
                      <w:lang w:val="en-US" w:eastAsia="zh-CN"/>
                    </w:rPr>
                    <w:t>注：</w:t>
                  </w:r>
                  <w:r>
                    <w:rPr>
                      <w:rFonts w:eastAsia="宋体" w:cs="Times New Roman"/>
                      <w:sz w:val="21"/>
                      <w:szCs w:val="21"/>
                      <w:u w:val="none" w:color="auto"/>
                    </w:rPr>
                    <w:t>标准值</w:t>
                  </w:r>
                  <w:r>
                    <w:rPr>
                      <w:rFonts w:hint="default" w:ascii="Times New Roman" w:hAnsi="Times New Roman" w:eastAsia="宋体" w:cs="Times New Roman"/>
                      <w:sz w:val="21"/>
                      <w:szCs w:val="21"/>
                      <w:u w:val="none" w:color="auto"/>
                      <w:vertAlign w:val="superscript"/>
                    </w:rPr>
                    <w:t>①</w:t>
                  </w:r>
                  <w:r>
                    <w:rPr>
                      <w:rFonts w:hint="eastAsia" w:cs="Times New Roman"/>
                      <w:sz w:val="21"/>
                      <w:szCs w:val="21"/>
                      <w:u w:val="none" w:color="auto"/>
                      <w:lang w:val="en-US" w:eastAsia="zh-CN"/>
                    </w:rPr>
                    <w:t>：《环境空气质量标准》（GB3095-2012）中的二级标准浓度限值</w:t>
                  </w:r>
                  <w:r>
                    <w:rPr>
                      <w:rFonts w:eastAsia="宋体" w:cs="Times New Roman"/>
                      <w:sz w:val="21"/>
                      <w:szCs w:val="21"/>
                      <w:u w:val="none" w:color="auto"/>
                    </w:rPr>
                    <w:t>（μg/m</w:t>
                  </w:r>
                  <w:r>
                    <w:rPr>
                      <w:rFonts w:eastAsia="宋体" w:cs="Times New Roman"/>
                      <w:sz w:val="21"/>
                      <w:szCs w:val="21"/>
                      <w:u w:val="none" w:color="auto"/>
                      <w:vertAlign w:val="superscript"/>
                    </w:rPr>
                    <w:t>3</w:t>
                  </w:r>
                  <w:r>
                    <w:rPr>
                      <w:rFonts w:eastAsia="宋体" w:cs="Times New Roman"/>
                      <w:sz w:val="21"/>
                      <w:szCs w:val="21"/>
                      <w:u w:val="none" w:color="auto"/>
                    </w:rPr>
                    <w:t>）</w:t>
                  </w:r>
                </w:p>
                <w:p w14:paraId="3DF919E1">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eastAsia="宋体" w:cs="Times New Roman"/>
                      <w:sz w:val="21"/>
                      <w:szCs w:val="21"/>
                      <w:u w:val="none" w:color="auto"/>
                      <w:lang w:val="en-US" w:eastAsia="zh-CN"/>
                    </w:rPr>
                  </w:pPr>
                  <w:r>
                    <w:rPr>
                      <w:rFonts w:eastAsia="宋体" w:cs="Times New Roman"/>
                      <w:sz w:val="21"/>
                      <w:szCs w:val="21"/>
                      <w:u w:val="none" w:color="auto"/>
                    </w:rPr>
                    <w:t>标准值</w:t>
                  </w:r>
                  <w:r>
                    <w:rPr>
                      <w:rFonts w:hint="eastAsia" w:ascii="宋体" w:hAnsi="宋体" w:eastAsia="宋体" w:cs="宋体"/>
                      <w:sz w:val="21"/>
                      <w:szCs w:val="21"/>
                      <w:u w:val="none" w:color="auto"/>
                      <w:vertAlign w:val="superscript"/>
                    </w:rPr>
                    <w:t>②</w:t>
                  </w:r>
                  <w:r>
                    <w:rPr>
                      <w:rFonts w:hint="eastAsia" w:cs="Times New Roman"/>
                      <w:sz w:val="21"/>
                      <w:szCs w:val="21"/>
                      <w:u w:val="none" w:color="auto"/>
                      <w:lang w:val="en-US" w:eastAsia="zh-CN"/>
                    </w:rPr>
                    <w:t>：《环境空气质量标准》（GB3095-2026）中的过渡阶段二级标准浓度限值</w:t>
                  </w:r>
                  <w:r>
                    <w:rPr>
                      <w:rFonts w:eastAsia="宋体" w:cs="Times New Roman"/>
                      <w:sz w:val="21"/>
                      <w:szCs w:val="21"/>
                      <w:u w:val="none" w:color="auto"/>
                    </w:rPr>
                    <w:t>（μg/m</w:t>
                  </w:r>
                  <w:r>
                    <w:rPr>
                      <w:rFonts w:eastAsia="宋体" w:cs="Times New Roman"/>
                      <w:sz w:val="21"/>
                      <w:szCs w:val="21"/>
                      <w:u w:val="none" w:color="auto"/>
                      <w:vertAlign w:val="superscript"/>
                    </w:rPr>
                    <w:t>3</w:t>
                  </w:r>
                  <w:r>
                    <w:rPr>
                      <w:rFonts w:eastAsia="宋体" w:cs="Times New Roman"/>
                      <w:sz w:val="21"/>
                      <w:szCs w:val="21"/>
                      <w:u w:val="none" w:color="auto"/>
                    </w:rPr>
                    <w:t>）</w:t>
                  </w:r>
                </w:p>
              </w:tc>
            </w:tr>
          </w:tbl>
          <w:p w14:paraId="2DC937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u w:val="none"/>
              </w:rPr>
            </w:pPr>
            <w:r>
              <w:rPr>
                <w:rFonts w:hint="eastAsia"/>
                <w:color w:val="auto"/>
                <w:sz w:val="24"/>
                <w:u w:val="none"/>
                <w:lang w:val="en-US" w:eastAsia="zh-CN"/>
              </w:rPr>
              <w:t>按照</w:t>
            </w:r>
            <w:r>
              <w:rPr>
                <w:rFonts w:hint="eastAsia"/>
                <w:color w:val="auto"/>
                <w:sz w:val="24"/>
                <w:u w:val="none"/>
              </w:rPr>
              <w:t>《南阳市2025年蓝天保卫战实施方案》（宛环委办〔2025〕5号），通过依法依规淘汰落后低效产能、推进产业集群综合整治、加快燃煤锅炉关停整合、实施工业炉窑清洁能源替代、工业企业提标治理、移动源污染排放控制、面源污染防控、重污染天气应对、监管能力提升等措施，可有效控制与消减区域大气污染物排放，区域环境空气质量将逐步改善。</w:t>
            </w:r>
          </w:p>
          <w:p w14:paraId="2BEF86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u w:val="none"/>
                <w:lang w:val="en-US" w:eastAsia="zh-CN"/>
              </w:rPr>
            </w:pPr>
            <w:r>
              <w:rPr>
                <w:rFonts w:hint="eastAsia"/>
                <w:color w:val="auto"/>
                <w:sz w:val="24"/>
                <w:u w:val="none"/>
                <w:lang w:eastAsia="zh-CN"/>
              </w:rPr>
              <w:t>（</w:t>
            </w:r>
            <w:r>
              <w:rPr>
                <w:rFonts w:hint="eastAsia"/>
                <w:color w:val="auto"/>
                <w:sz w:val="24"/>
                <w:u w:val="none"/>
                <w:lang w:val="en-US" w:eastAsia="zh-CN"/>
              </w:rPr>
              <w:t>2</w:t>
            </w:r>
            <w:r>
              <w:rPr>
                <w:rFonts w:hint="eastAsia"/>
                <w:color w:val="auto"/>
                <w:sz w:val="24"/>
                <w:u w:val="none"/>
                <w:lang w:eastAsia="zh-CN"/>
              </w:rPr>
              <w:t>）</w:t>
            </w:r>
            <w:r>
              <w:rPr>
                <w:rFonts w:hint="eastAsia"/>
                <w:color w:val="auto"/>
                <w:sz w:val="24"/>
                <w:u w:val="none"/>
                <w:lang w:val="en-US" w:eastAsia="zh-CN"/>
              </w:rPr>
              <w:t>特征污染物达标判断</w:t>
            </w:r>
          </w:p>
          <w:p w14:paraId="6B1F27F1">
            <w:pPr>
              <w:keepNext w:val="0"/>
              <w:keepLines w:val="0"/>
              <w:suppressLineNumbers w:val="0"/>
              <w:spacing w:before="0" w:beforeAutospacing="0" w:after="0" w:afterAutospacing="0" w:line="360" w:lineRule="auto"/>
              <w:ind w:left="0" w:right="0" w:firstLine="480" w:firstLineChars="200"/>
              <w:rPr>
                <w:rFonts w:hint="eastAsia"/>
                <w:color w:val="auto"/>
                <w:sz w:val="24"/>
                <w:u w:val="none"/>
                <w:lang w:val="en-US" w:eastAsia="zh-CN"/>
              </w:rPr>
            </w:pPr>
            <w:r>
              <w:rPr>
                <w:rFonts w:hint="eastAsia"/>
                <w:color w:val="auto"/>
                <w:sz w:val="24"/>
                <w:u w:val="none"/>
                <w:lang w:val="en-US" w:eastAsia="zh-CN"/>
              </w:rPr>
              <w:t>本项目排放的特征污染因子为TSP、甲醛和非甲烷总烃共3项，其环境空气质量现状引用《南阳微特防爆电机有限公司铸造分公司技术改造项目环境影响报告表》中委托河南景顺检测科技有限公司在2025.10.23-2025.10.29，连续7天的监测数据。汤庄位于本项目西北方向，距离本项目819米（具体见下图），引用的监测数据具有完整性、有效性，满足引用监测数据的相关要求，可作为本项目大气环境现状评价的依据。具体监测结果见下表3-2。</w:t>
            </w:r>
          </w:p>
          <w:p w14:paraId="18DC4D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黑体" w:cs="Times New Roman"/>
                <w:b w:val="0"/>
                <w:bCs/>
                <w:color w:val="auto"/>
                <w:sz w:val="24"/>
                <w:szCs w:val="24"/>
                <w:u w:val="none"/>
                <w:lang w:eastAsia="zh-CN"/>
              </w:rPr>
            </w:pPr>
            <w:r>
              <w:rPr>
                <w:rFonts w:hint="default" w:ascii="Times New Roman" w:hAnsi="Times New Roman" w:eastAsia="黑体" w:cs="Times New Roman"/>
                <w:b w:val="0"/>
                <w:bCs/>
                <w:color w:val="auto"/>
                <w:sz w:val="24"/>
                <w:szCs w:val="24"/>
                <w:u w:val="none"/>
                <w:lang w:val="en-US" w:eastAsia="zh-CN"/>
              </w:rPr>
              <w:t xml:space="preserve">表3-2  </w:t>
            </w:r>
            <w:r>
              <w:rPr>
                <w:rFonts w:hint="default" w:ascii="Times New Roman" w:hAnsi="Times New Roman" w:eastAsia="黑体" w:cs="Times New Roman"/>
                <w:b w:val="0"/>
                <w:bCs/>
                <w:color w:val="auto"/>
                <w:sz w:val="24"/>
                <w:szCs w:val="24"/>
                <w:u w:val="none"/>
                <w:lang w:eastAsia="zh-CN"/>
              </w:rPr>
              <w:t>环境空气质量现状监测统计及评价结果表</w:t>
            </w:r>
          </w:p>
          <w:tbl>
            <w:tblPr>
              <w:tblStyle w:val="28"/>
              <w:tblW w:w="857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661"/>
              <w:gridCol w:w="1235"/>
              <w:gridCol w:w="1252"/>
              <w:gridCol w:w="1252"/>
              <w:gridCol w:w="1163"/>
              <w:gridCol w:w="1173"/>
              <w:gridCol w:w="876"/>
              <w:gridCol w:w="958"/>
            </w:tblGrid>
            <w:tr w14:paraId="286A5A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tcBorders>
                    <w:tl2br w:val="nil"/>
                    <w:tr2bl w:val="nil"/>
                  </w:tcBorders>
                  <w:noWrap w:val="0"/>
                  <w:vAlign w:val="center"/>
                </w:tcPr>
                <w:p w14:paraId="0718C794">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default" w:ascii="Times New Roman" w:hAnsi="Times New Roman" w:eastAsia="宋体" w:cs="Times New Roman"/>
                      <w:b w:val="0"/>
                      <w:bCs w:val="0"/>
                      <w:color w:val="auto"/>
                      <w:kern w:val="0"/>
                      <w:sz w:val="21"/>
                      <w:szCs w:val="21"/>
                      <w:u w:val="none"/>
                      <w:lang w:val="zh-CN"/>
                    </w:rPr>
                    <w:t>监测</w:t>
                  </w:r>
                  <w:r>
                    <w:rPr>
                      <w:rFonts w:hint="eastAsia" w:ascii="Times New Roman" w:hAnsi="Times New Roman" w:eastAsia="宋体" w:cs="Times New Roman"/>
                      <w:b w:val="0"/>
                      <w:bCs w:val="0"/>
                      <w:color w:val="auto"/>
                      <w:kern w:val="0"/>
                      <w:sz w:val="21"/>
                      <w:szCs w:val="21"/>
                      <w:u w:val="none"/>
                      <w:lang w:val="zh-CN" w:eastAsia="zh-CN"/>
                    </w:rPr>
                    <w:t>点位</w:t>
                  </w:r>
                </w:p>
              </w:tc>
              <w:tc>
                <w:tcPr>
                  <w:tcW w:w="719" w:type="pct"/>
                  <w:tcBorders>
                    <w:tl2br w:val="nil"/>
                    <w:tr2bl w:val="nil"/>
                  </w:tcBorders>
                  <w:noWrap w:val="0"/>
                  <w:vAlign w:val="center"/>
                </w:tcPr>
                <w:p w14:paraId="3CF2D23C">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zh-CN"/>
                    </w:rPr>
                    <w:t>监测</w:t>
                  </w:r>
                  <w:r>
                    <w:rPr>
                      <w:rFonts w:hint="eastAsia" w:eastAsia="宋体" w:cs="Times New Roman"/>
                      <w:b w:val="0"/>
                      <w:bCs w:val="0"/>
                      <w:color w:val="auto"/>
                      <w:kern w:val="0"/>
                      <w:sz w:val="21"/>
                      <w:szCs w:val="21"/>
                      <w:u w:val="none"/>
                      <w:lang w:val="en-US" w:eastAsia="zh-CN"/>
                    </w:rPr>
                    <w:t>因子</w:t>
                  </w:r>
                </w:p>
              </w:tc>
              <w:tc>
                <w:tcPr>
                  <w:tcW w:w="729" w:type="pct"/>
                  <w:tcBorders>
                    <w:tl2br w:val="nil"/>
                    <w:tr2bl w:val="nil"/>
                  </w:tcBorders>
                  <w:noWrap w:val="0"/>
                  <w:vAlign w:val="center"/>
                </w:tcPr>
                <w:p w14:paraId="5041649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eastAsia" w:ascii="Times New Roman" w:hAnsi="Times New Roman" w:eastAsia="宋体" w:cs="Times New Roman"/>
                      <w:b w:val="0"/>
                      <w:bCs w:val="0"/>
                      <w:color w:val="auto"/>
                      <w:kern w:val="0"/>
                      <w:sz w:val="21"/>
                      <w:szCs w:val="21"/>
                      <w:u w:val="none"/>
                      <w:lang w:val="zh-CN" w:eastAsia="zh-CN"/>
                    </w:rPr>
                    <w:t>取值类型</w:t>
                  </w:r>
                </w:p>
              </w:tc>
              <w:tc>
                <w:tcPr>
                  <w:tcW w:w="729" w:type="pct"/>
                  <w:tcBorders>
                    <w:tl2br w:val="nil"/>
                    <w:tr2bl w:val="nil"/>
                  </w:tcBorders>
                  <w:noWrap w:val="0"/>
                  <w:vAlign w:val="center"/>
                </w:tcPr>
                <w:p w14:paraId="2634DB1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监测值范围</w:t>
                  </w:r>
                </w:p>
                <w:p w14:paraId="05069F3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w:t>
                  </w:r>
                  <w:r>
                    <w:rPr>
                      <w:rFonts w:hint="eastAsia" w:eastAsia="宋体" w:cs="Times New Roman"/>
                      <w:b w:val="0"/>
                      <w:bCs w:val="0"/>
                      <w:color w:val="auto"/>
                      <w:kern w:val="0"/>
                      <w:sz w:val="21"/>
                      <w:szCs w:val="21"/>
                      <w:u w:val="none"/>
                      <w:lang w:val="en-US" w:eastAsia="zh-CN"/>
                    </w:rPr>
                    <w:t>m</w:t>
                  </w:r>
                  <w:r>
                    <w:rPr>
                      <w:rFonts w:hint="default" w:ascii="Times New Roman" w:hAnsi="Times New Roman" w:eastAsia="宋体" w:cs="Times New Roman"/>
                      <w:b w:val="0"/>
                      <w:bCs w:val="0"/>
                      <w:color w:val="auto"/>
                      <w:kern w:val="0"/>
                      <w:sz w:val="21"/>
                      <w:szCs w:val="21"/>
                      <w:u w:val="none"/>
                      <w:lang w:val="zh-CN"/>
                    </w:rPr>
                    <w:t>g/m</w:t>
                  </w:r>
                  <w:r>
                    <w:rPr>
                      <w:rFonts w:hint="default" w:ascii="Times New Roman" w:hAnsi="Times New Roman" w:eastAsia="宋体" w:cs="Times New Roman"/>
                      <w:b w:val="0"/>
                      <w:bCs w:val="0"/>
                      <w:color w:val="auto"/>
                      <w:kern w:val="0"/>
                      <w:sz w:val="21"/>
                      <w:szCs w:val="21"/>
                      <w:u w:val="none"/>
                      <w:vertAlign w:val="superscript"/>
                      <w:lang w:val="zh-CN"/>
                    </w:rPr>
                    <w:t>3</w:t>
                  </w:r>
                  <w:r>
                    <w:rPr>
                      <w:rFonts w:hint="default" w:ascii="Times New Roman" w:hAnsi="Times New Roman" w:eastAsia="宋体" w:cs="Times New Roman"/>
                      <w:b w:val="0"/>
                      <w:bCs w:val="0"/>
                      <w:color w:val="auto"/>
                      <w:kern w:val="0"/>
                      <w:sz w:val="21"/>
                      <w:szCs w:val="21"/>
                      <w:u w:val="none"/>
                      <w:lang w:val="zh-CN"/>
                    </w:rPr>
                    <w:t>）</w:t>
                  </w:r>
                </w:p>
              </w:tc>
              <w:tc>
                <w:tcPr>
                  <w:tcW w:w="677" w:type="pct"/>
                  <w:tcBorders>
                    <w:tl2br w:val="nil"/>
                    <w:tr2bl w:val="nil"/>
                  </w:tcBorders>
                  <w:noWrap w:val="0"/>
                  <w:vAlign w:val="center"/>
                </w:tcPr>
                <w:p w14:paraId="1C25B9B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u w:val="none"/>
                      <w:lang w:val="zh-CN" w:eastAsia="zh-CN" w:bidi="ar-SA"/>
                    </w:rPr>
                  </w:pPr>
                  <w:r>
                    <w:rPr>
                      <w:rFonts w:hint="default" w:ascii="Times New Roman" w:hAnsi="Times New Roman" w:eastAsia="宋体" w:cs="Times New Roman"/>
                      <w:b w:val="0"/>
                      <w:bCs w:val="0"/>
                      <w:kern w:val="0"/>
                      <w:sz w:val="21"/>
                      <w:szCs w:val="21"/>
                      <w:u w:val="none"/>
                      <w:lang w:val="zh-CN"/>
                    </w:rPr>
                    <w:t>标准</w:t>
                  </w:r>
                  <w:r>
                    <w:rPr>
                      <w:rFonts w:hint="eastAsia" w:eastAsia="宋体" w:cs="Times New Roman"/>
                      <w:b w:val="0"/>
                      <w:bCs w:val="0"/>
                      <w:kern w:val="0"/>
                      <w:sz w:val="21"/>
                      <w:szCs w:val="21"/>
                      <w:u w:val="none"/>
                      <w:lang w:val="en-US" w:eastAsia="zh-CN"/>
                    </w:rPr>
                    <w:t>限值</w:t>
                  </w:r>
                  <w:r>
                    <w:rPr>
                      <w:rFonts w:hint="default" w:ascii="Times New Roman" w:hAnsi="Times New Roman" w:eastAsia="宋体" w:cs="Times New Roman"/>
                      <w:b w:val="0"/>
                      <w:bCs w:val="0"/>
                      <w:kern w:val="0"/>
                      <w:sz w:val="21"/>
                      <w:szCs w:val="21"/>
                      <w:u w:val="none"/>
                      <w:lang w:val="zh-CN"/>
                    </w:rPr>
                    <w:t>（</w:t>
                  </w:r>
                  <w:r>
                    <w:rPr>
                      <w:rFonts w:hint="eastAsia" w:ascii="Times New Roman" w:hAnsi="Times New Roman" w:eastAsia="宋体" w:cs="Times New Roman"/>
                      <w:b w:val="0"/>
                      <w:bCs w:val="0"/>
                      <w:color w:val="auto"/>
                      <w:kern w:val="0"/>
                      <w:sz w:val="21"/>
                      <w:szCs w:val="21"/>
                      <w:u w:val="none"/>
                      <w:lang w:val="en-US" w:eastAsia="zh-CN"/>
                    </w:rPr>
                    <w:t>m</w:t>
                  </w:r>
                  <w:r>
                    <w:rPr>
                      <w:rFonts w:hint="default" w:ascii="Times New Roman" w:hAnsi="Times New Roman" w:eastAsia="宋体" w:cs="Times New Roman"/>
                      <w:b w:val="0"/>
                      <w:bCs w:val="0"/>
                      <w:kern w:val="0"/>
                      <w:sz w:val="21"/>
                      <w:szCs w:val="21"/>
                      <w:u w:val="none"/>
                      <w:lang w:val="zh-CN"/>
                    </w:rPr>
                    <w:t>g/m</w:t>
                  </w:r>
                  <w:r>
                    <w:rPr>
                      <w:rFonts w:hint="default" w:ascii="Times New Roman" w:hAnsi="Times New Roman" w:eastAsia="宋体" w:cs="Times New Roman"/>
                      <w:b w:val="0"/>
                      <w:bCs w:val="0"/>
                      <w:kern w:val="0"/>
                      <w:sz w:val="21"/>
                      <w:szCs w:val="21"/>
                      <w:u w:val="none"/>
                      <w:vertAlign w:val="superscript"/>
                      <w:lang w:val="zh-CN"/>
                    </w:rPr>
                    <w:t>3</w:t>
                  </w:r>
                  <w:r>
                    <w:rPr>
                      <w:rFonts w:hint="default" w:ascii="Times New Roman" w:hAnsi="Times New Roman" w:eastAsia="宋体" w:cs="Times New Roman"/>
                      <w:b w:val="0"/>
                      <w:bCs w:val="0"/>
                      <w:kern w:val="0"/>
                      <w:sz w:val="21"/>
                      <w:szCs w:val="21"/>
                      <w:u w:val="none"/>
                      <w:lang w:val="zh-CN"/>
                    </w:rPr>
                    <w:t>）</w:t>
                  </w:r>
                </w:p>
              </w:tc>
              <w:tc>
                <w:tcPr>
                  <w:tcW w:w="683" w:type="pct"/>
                  <w:tcBorders>
                    <w:tl2br w:val="nil"/>
                    <w:tr2bl w:val="nil"/>
                  </w:tcBorders>
                  <w:noWrap w:val="0"/>
                  <w:vAlign w:val="center"/>
                </w:tcPr>
                <w:p w14:paraId="2B97F1B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eastAsia="zh-CN" w:bidi="ar-SA"/>
                    </w:rPr>
                  </w:pPr>
                  <w:r>
                    <w:rPr>
                      <w:rFonts w:hint="default" w:ascii="Times New Roman" w:hAnsi="Times New Roman" w:eastAsia="宋体" w:cs="Times New Roman"/>
                      <w:b w:val="0"/>
                      <w:bCs w:val="0"/>
                      <w:color w:val="auto"/>
                      <w:kern w:val="0"/>
                      <w:sz w:val="21"/>
                      <w:szCs w:val="21"/>
                      <w:u w:val="none"/>
                      <w:lang w:val="zh-CN"/>
                    </w:rPr>
                    <w:t>单因子指数范围</w:t>
                  </w:r>
                </w:p>
              </w:tc>
              <w:tc>
                <w:tcPr>
                  <w:tcW w:w="510" w:type="pct"/>
                  <w:tcBorders>
                    <w:tl2br w:val="nil"/>
                    <w:tr2bl w:val="nil"/>
                  </w:tcBorders>
                  <w:noWrap w:val="0"/>
                  <w:vAlign w:val="center"/>
                </w:tcPr>
                <w:p w14:paraId="66F8927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超标率</w:t>
                  </w:r>
                </w:p>
                <w:p w14:paraId="2668DD1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w:t>
                  </w:r>
                </w:p>
              </w:tc>
              <w:tc>
                <w:tcPr>
                  <w:tcW w:w="557" w:type="pct"/>
                  <w:tcBorders>
                    <w:tl2br w:val="nil"/>
                    <w:tr2bl w:val="nil"/>
                  </w:tcBorders>
                  <w:noWrap w:val="0"/>
                  <w:vAlign w:val="center"/>
                </w:tcPr>
                <w:p w14:paraId="7767019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达标情况</w:t>
                  </w:r>
                </w:p>
              </w:tc>
            </w:tr>
            <w:tr w14:paraId="7B2A7E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restart"/>
                  <w:tcBorders>
                    <w:tl2br w:val="nil"/>
                    <w:tr2bl w:val="nil"/>
                  </w:tcBorders>
                  <w:noWrap w:val="0"/>
                  <w:vAlign w:val="center"/>
                </w:tcPr>
                <w:p w14:paraId="32EE66D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汤庄</w:t>
                  </w:r>
                </w:p>
              </w:tc>
              <w:tc>
                <w:tcPr>
                  <w:tcW w:w="719" w:type="pct"/>
                  <w:tcBorders>
                    <w:tl2br w:val="nil"/>
                    <w:tr2bl w:val="nil"/>
                  </w:tcBorders>
                  <w:noWrap w:val="0"/>
                  <w:vAlign w:val="center"/>
                </w:tcPr>
                <w:p w14:paraId="2AF2255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eastAsia" w:eastAsia="宋体" w:cs="Times New Roman"/>
                      <w:b w:val="0"/>
                      <w:bCs w:val="0"/>
                      <w:color w:val="auto"/>
                      <w:kern w:val="0"/>
                      <w:sz w:val="21"/>
                      <w:szCs w:val="21"/>
                      <w:u w:val="none"/>
                      <w:lang w:val="en-US" w:eastAsia="zh-CN"/>
                    </w:rPr>
                    <w:t>TSP</w:t>
                  </w:r>
                </w:p>
              </w:tc>
              <w:tc>
                <w:tcPr>
                  <w:tcW w:w="729" w:type="pct"/>
                  <w:tcBorders>
                    <w:tl2br w:val="nil"/>
                    <w:tr2bl w:val="nil"/>
                  </w:tcBorders>
                  <w:noWrap w:val="0"/>
                  <w:vAlign w:val="center"/>
                </w:tcPr>
                <w:p w14:paraId="756D59A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eastAsia" w:ascii="Times New Roman" w:hAnsi="Times New Roman" w:eastAsia="宋体" w:cs="Times New Roman"/>
                      <w:b w:val="0"/>
                      <w:bCs w:val="0"/>
                      <w:color w:val="auto"/>
                      <w:kern w:val="0"/>
                      <w:sz w:val="21"/>
                      <w:szCs w:val="21"/>
                      <w:u w:val="none"/>
                      <w:lang w:val="en-US" w:eastAsia="zh-CN"/>
                    </w:rPr>
                    <w:t>24小时平均</w:t>
                  </w:r>
                </w:p>
              </w:tc>
              <w:tc>
                <w:tcPr>
                  <w:tcW w:w="729" w:type="pct"/>
                  <w:tcBorders>
                    <w:tl2br w:val="nil"/>
                    <w:tr2bl w:val="nil"/>
                  </w:tcBorders>
                  <w:noWrap w:val="0"/>
                  <w:vAlign w:val="center"/>
                </w:tcPr>
                <w:p w14:paraId="3D15077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0.156-0.187</w:t>
                  </w:r>
                </w:p>
              </w:tc>
              <w:tc>
                <w:tcPr>
                  <w:tcW w:w="677" w:type="pct"/>
                  <w:tcBorders>
                    <w:tl2br w:val="nil"/>
                    <w:tr2bl w:val="nil"/>
                  </w:tcBorders>
                  <w:noWrap w:val="0"/>
                  <w:vAlign w:val="center"/>
                </w:tcPr>
                <w:p w14:paraId="06393E1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ascii="Times New Roman" w:hAnsi="Times New Roman" w:eastAsia="宋体" w:cs="Times New Roman"/>
                      <w:b w:val="0"/>
                      <w:bCs w:val="0"/>
                      <w:kern w:val="2"/>
                      <w:sz w:val="21"/>
                      <w:szCs w:val="21"/>
                      <w:u w:val="none"/>
                      <w:lang w:val="en-US" w:eastAsia="zh-CN" w:bidi="ar-SA"/>
                    </w:rPr>
                    <w:t>0.3</w:t>
                  </w:r>
                </w:p>
              </w:tc>
              <w:tc>
                <w:tcPr>
                  <w:tcW w:w="683" w:type="pct"/>
                  <w:tcBorders>
                    <w:tl2br w:val="nil"/>
                    <w:tr2bl w:val="nil"/>
                  </w:tcBorders>
                  <w:noWrap w:val="0"/>
                  <w:vAlign w:val="center"/>
                </w:tcPr>
                <w:p w14:paraId="623E6F5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0.52-0.623</w:t>
                  </w:r>
                </w:p>
              </w:tc>
              <w:tc>
                <w:tcPr>
                  <w:tcW w:w="510" w:type="pct"/>
                  <w:tcBorders>
                    <w:tl2br w:val="nil"/>
                    <w:tr2bl w:val="nil"/>
                  </w:tcBorders>
                  <w:noWrap w:val="0"/>
                  <w:vAlign w:val="center"/>
                </w:tcPr>
                <w:p w14:paraId="715009E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7" w:type="pct"/>
                  <w:tcBorders>
                    <w:tl2br w:val="nil"/>
                    <w:tr2bl w:val="nil"/>
                  </w:tcBorders>
                  <w:noWrap w:val="0"/>
                  <w:vAlign w:val="center"/>
                </w:tcPr>
                <w:p w14:paraId="0815C76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r w14:paraId="3292C3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continue"/>
                  <w:tcBorders>
                    <w:tl2br w:val="nil"/>
                    <w:tr2bl w:val="nil"/>
                  </w:tcBorders>
                  <w:noWrap w:val="0"/>
                  <w:vAlign w:val="center"/>
                </w:tcPr>
                <w:p w14:paraId="2A4FA08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p>
              </w:tc>
              <w:tc>
                <w:tcPr>
                  <w:tcW w:w="719" w:type="pct"/>
                  <w:tcBorders>
                    <w:tl2br w:val="nil"/>
                    <w:tr2bl w:val="nil"/>
                  </w:tcBorders>
                  <w:noWrap w:val="0"/>
                  <w:vAlign w:val="center"/>
                </w:tcPr>
                <w:p w14:paraId="65415B05">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甲醛</w:t>
                  </w:r>
                </w:p>
              </w:tc>
              <w:tc>
                <w:tcPr>
                  <w:tcW w:w="729" w:type="pct"/>
                  <w:tcBorders>
                    <w:tl2br w:val="nil"/>
                    <w:tr2bl w:val="nil"/>
                  </w:tcBorders>
                  <w:noWrap w:val="0"/>
                  <w:vAlign w:val="center"/>
                </w:tcPr>
                <w:p w14:paraId="4EA63632">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kern w:val="0"/>
                      <w:sz w:val="21"/>
                      <w:szCs w:val="21"/>
                      <w:u w:val="none"/>
                      <w:lang w:val="en-US" w:eastAsia="zh-CN"/>
                    </w:rPr>
                    <w:t>1小时平均</w:t>
                  </w:r>
                </w:p>
              </w:tc>
              <w:tc>
                <w:tcPr>
                  <w:tcW w:w="729" w:type="pct"/>
                  <w:tcBorders>
                    <w:tl2br w:val="nil"/>
                    <w:tr2bl w:val="nil"/>
                  </w:tcBorders>
                  <w:noWrap w:val="0"/>
                  <w:vAlign w:val="center"/>
                </w:tcPr>
                <w:p w14:paraId="55EBF86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未检出</w:t>
                  </w:r>
                </w:p>
              </w:tc>
              <w:tc>
                <w:tcPr>
                  <w:tcW w:w="677" w:type="pct"/>
                  <w:tcBorders>
                    <w:tl2br w:val="nil"/>
                    <w:tr2bl w:val="nil"/>
                  </w:tcBorders>
                  <w:noWrap w:val="0"/>
                  <w:vAlign w:val="center"/>
                </w:tcPr>
                <w:p w14:paraId="3D7E68F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eastAsia="宋体" w:cs="Times New Roman"/>
                      <w:b w:val="0"/>
                      <w:bCs w:val="0"/>
                      <w:kern w:val="2"/>
                      <w:sz w:val="21"/>
                      <w:szCs w:val="21"/>
                      <w:u w:val="none"/>
                      <w:lang w:val="en-US" w:eastAsia="zh-CN" w:bidi="ar-SA"/>
                    </w:rPr>
                    <w:t>0.05</w:t>
                  </w:r>
                </w:p>
              </w:tc>
              <w:tc>
                <w:tcPr>
                  <w:tcW w:w="683" w:type="pct"/>
                  <w:tcBorders>
                    <w:tl2br w:val="nil"/>
                    <w:tr2bl w:val="nil"/>
                  </w:tcBorders>
                  <w:noWrap w:val="0"/>
                  <w:vAlign w:val="center"/>
                </w:tcPr>
                <w:p w14:paraId="1744442E">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w:t>
                  </w:r>
                </w:p>
              </w:tc>
              <w:tc>
                <w:tcPr>
                  <w:tcW w:w="510" w:type="pct"/>
                  <w:tcBorders>
                    <w:tl2br w:val="nil"/>
                    <w:tr2bl w:val="nil"/>
                  </w:tcBorders>
                  <w:noWrap w:val="0"/>
                  <w:vAlign w:val="center"/>
                </w:tcPr>
                <w:p w14:paraId="0C66851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7" w:type="pct"/>
                  <w:tcBorders>
                    <w:tl2br w:val="nil"/>
                    <w:tr2bl w:val="nil"/>
                  </w:tcBorders>
                  <w:noWrap w:val="0"/>
                  <w:vAlign w:val="center"/>
                </w:tcPr>
                <w:p w14:paraId="765074F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r w14:paraId="4F904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continue"/>
                  <w:tcBorders>
                    <w:tl2br w:val="nil"/>
                    <w:tr2bl w:val="nil"/>
                  </w:tcBorders>
                  <w:noWrap w:val="0"/>
                  <w:vAlign w:val="center"/>
                </w:tcPr>
                <w:p w14:paraId="39E5A90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p>
              </w:tc>
              <w:tc>
                <w:tcPr>
                  <w:tcW w:w="719" w:type="pct"/>
                  <w:tcBorders>
                    <w:tl2br w:val="nil"/>
                    <w:tr2bl w:val="nil"/>
                  </w:tcBorders>
                  <w:noWrap w:val="0"/>
                  <w:vAlign w:val="center"/>
                </w:tcPr>
                <w:p w14:paraId="4C0573E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eastAsia" w:hAnsi="宋体" w:eastAsia="宋体" w:cs="Times New Roman"/>
                      <w:b w:val="0"/>
                      <w:bCs w:val="0"/>
                      <w:kern w:val="0"/>
                      <w:sz w:val="21"/>
                      <w:szCs w:val="21"/>
                      <w:u w:val="none"/>
                      <w:lang w:val="en-US" w:eastAsia="zh-CN"/>
                    </w:rPr>
                    <w:t>非甲烷总烃</w:t>
                  </w:r>
                </w:p>
              </w:tc>
              <w:tc>
                <w:tcPr>
                  <w:tcW w:w="729" w:type="pct"/>
                  <w:tcBorders>
                    <w:tl2br w:val="nil"/>
                    <w:tr2bl w:val="nil"/>
                  </w:tcBorders>
                  <w:noWrap w:val="0"/>
                  <w:vAlign w:val="center"/>
                </w:tcPr>
                <w:p w14:paraId="5343DAF5">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1</w:t>
                  </w:r>
                  <w:r>
                    <w:rPr>
                      <w:rFonts w:hint="eastAsia" w:ascii="Times New Roman" w:hAnsi="Times New Roman" w:eastAsia="宋体" w:cs="Times New Roman"/>
                      <w:b w:val="0"/>
                      <w:bCs w:val="0"/>
                      <w:color w:val="auto"/>
                      <w:kern w:val="0"/>
                      <w:sz w:val="21"/>
                      <w:szCs w:val="21"/>
                      <w:u w:val="none"/>
                      <w:lang w:val="en-US" w:eastAsia="zh-CN"/>
                    </w:rPr>
                    <w:t>小时平均</w:t>
                  </w:r>
                </w:p>
              </w:tc>
              <w:tc>
                <w:tcPr>
                  <w:tcW w:w="729" w:type="pct"/>
                  <w:tcBorders>
                    <w:tl2br w:val="nil"/>
                    <w:tr2bl w:val="nil"/>
                  </w:tcBorders>
                  <w:noWrap w:val="0"/>
                  <w:vAlign w:val="center"/>
                </w:tcPr>
                <w:p w14:paraId="1F3ACA4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0.24-0.50</w:t>
                  </w:r>
                </w:p>
              </w:tc>
              <w:tc>
                <w:tcPr>
                  <w:tcW w:w="677" w:type="pct"/>
                  <w:tcBorders>
                    <w:tl2br w:val="nil"/>
                    <w:tr2bl w:val="nil"/>
                  </w:tcBorders>
                  <w:noWrap w:val="0"/>
                  <w:vAlign w:val="center"/>
                </w:tcPr>
                <w:p w14:paraId="67FDF9C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ascii="Times New Roman" w:hAnsi="Times New Roman" w:eastAsia="宋体" w:cs="Times New Roman"/>
                      <w:b w:val="0"/>
                      <w:bCs w:val="0"/>
                      <w:kern w:val="2"/>
                      <w:sz w:val="21"/>
                      <w:szCs w:val="21"/>
                      <w:u w:val="none"/>
                      <w:lang w:val="en-US" w:eastAsia="zh-CN" w:bidi="ar-SA"/>
                    </w:rPr>
                    <w:t>2.0</w:t>
                  </w:r>
                </w:p>
              </w:tc>
              <w:tc>
                <w:tcPr>
                  <w:tcW w:w="683" w:type="pct"/>
                  <w:tcBorders>
                    <w:tl2br w:val="nil"/>
                    <w:tr2bl w:val="nil"/>
                  </w:tcBorders>
                  <w:noWrap w:val="0"/>
                  <w:vAlign w:val="center"/>
                </w:tcPr>
                <w:p w14:paraId="4EFC326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0.12-0.25</w:t>
                  </w:r>
                </w:p>
              </w:tc>
              <w:tc>
                <w:tcPr>
                  <w:tcW w:w="510" w:type="pct"/>
                  <w:tcBorders>
                    <w:tl2br w:val="nil"/>
                    <w:tr2bl w:val="nil"/>
                  </w:tcBorders>
                  <w:noWrap w:val="0"/>
                  <w:vAlign w:val="center"/>
                </w:tcPr>
                <w:p w14:paraId="05AF71A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7" w:type="pct"/>
                  <w:tcBorders>
                    <w:tl2br w:val="nil"/>
                    <w:tr2bl w:val="nil"/>
                  </w:tcBorders>
                  <w:noWrap w:val="0"/>
                  <w:vAlign w:val="center"/>
                </w:tcPr>
                <w:p w14:paraId="74D01D4C">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bl>
          <w:tbl>
            <w:tblPr>
              <w:tblStyle w:val="29"/>
              <w:tblW w:w="8570" w:type="dxa"/>
              <w:tblInd w:w="5" w:type="dxa"/>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3"/>
            </w:tblGrid>
            <w:tr w14:paraId="4322E35E">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Borders>
                    <w:left w:val="nil"/>
                    <w:bottom w:val="nil"/>
                    <w:right w:val="nil"/>
                  </w:tcBorders>
                  <w:vAlign w:val="center"/>
                </w:tcPr>
                <w:p w14:paraId="6E3718D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color w:val="000000" w:themeColor="text1"/>
                      <w:sz w:val="24"/>
                      <w:szCs w:val="24"/>
                      <w:highlight w:val="none"/>
                      <w:vertAlign w:val="baseline"/>
                      <w:lang w:val="en-US" w:eastAsia="zh-CN"/>
                      <w14:textFill>
                        <w14:solidFill>
                          <w14:schemeClr w14:val="tx1"/>
                        </w14:solidFill>
                      </w14:textFill>
                    </w:rPr>
                  </w:pPr>
                  <w:r>
                    <w:rPr>
                      <w:sz w:val="24"/>
                    </w:rPr>
                    <mc:AlternateContent>
                      <mc:Choice Requires="wps">
                        <w:drawing>
                          <wp:anchor distT="0" distB="0" distL="114300" distR="114300" simplePos="0" relativeHeight="251679744" behindDoc="0" locked="0" layoutInCell="1" allowOverlap="1">
                            <wp:simplePos x="0" y="0"/>
                            <wp:positionH relativeFrom="column">
                              <wp:posOffset>2759710</wp:posOffset>
                            </wp:positionH>
                            <wp:positionV relativeFrom="paragraph">
                              <wp:posOffset>2047875</wp:posOffset>
                            </wp:positionV>
                            <wp:extent cx="1103630" cy="276860"/>
                            <wp:effectExtent l="0" t="0" r="0" b="0"/>
                            <wp:wrapNone/>
                            <wp:docPr id="61" name="文本框 61"/>
                            <wp:cNvGraphicFramePr/>
                            <a:graphic xmlns:a="http://schemas.openxmlformats.org/drawingml/2006/main">
                              <a:graphicData uri="http://schemas.microsoft.com/office/word/2010/wordprocessingShape">
                                <wps:wsp>
                                  <wps:cNvSpPr txBox="1"/>
                                  <wps:spPr>
                                    <a:xfrm>
                                      <a:off x="4160520" y="5052695"/>
                                      <a:ext cx="110363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4B9230">
                                        <w:pPr>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b/>
                                            <w:bCs/>
                                            <w:color w:val="FFFF00"/>
                                            <w:lang w:val="en-US" w:eastAsia="zh-CN"/>
                                          </w:rPr>
                                        </w:pPr>
                                        <w:r>
                                          <w:rPr>
                                            <w:rFonts w:hint="eastAsia"/>
                                            <w:b/>
                                            <w:bCs/>
                                            <w:color w:val="FFFF00"/>
                                            <w:lang w:val="en-US" w:eastAsia="zh-CN"/>
                                          </w:rPr>
                                          <w:t>长度：819m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3pt;margin-top:161.25pt;height:21.8pt;width:86.9pt;z-index:251679744;mso-width-relative:page;mso-height-relative:page;" filled="f" stroked="f" coordsize="21600,21600" o:gfxdata="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boSR3AAAAAsBAAAPAAAAAAAA&#10;AAEAIAAAACIAAABkcnMvZG93bnJldi54bWxQSwECFAAUAAAACACHTuJAWl6CxUcCAAB0BAAADgAA&#10;AAAAAAABACAAAAArAQAAZHJzL2Uyb0RvYy54bWxQSwUGAAAAAAYABgBZAQAA5AUAAAAA&#10;">
                            <v:fill on="f" focussize="0,0"/>
                            <v:stroke on="f" weight="0.5pt"/>
                            <v:imagedata o:title=""/>
                            <o:lock v:ext="edit" aspectratio="f"/>
                            <v:textbox>
                              <w:txbxContent>
                                <w:p w14:paraId="2B4B9230">
                                  <w:pPr>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b/>
                                      <w:bCs/>
                                      <w:color w:val="FFFF00"/>
                                      <w:lang w:val="en-US" w:eastAsia="zh-CN"/>
                                    </w:rPr>
                                  </w:pPr>
                                  <w:r>
                                    <w:rPr>
                                      <w:rFonts w:hint="eastAsia"/>
                                      <w:b/>
                                      <w:bCs/>
                                      <w:color w:val="FFFF00"/>
                                      <w:lang w:val="en-US" w:eastAsia="zh-CN"/>
                                    </w:rPr>
                                    <w:t>长度：819m</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3792220</wp:posOffset>
                            </wp:positionH>
                            <wp:positionV relativeFrom="paragraph">
                              <wp:posOffset>4129405</wp:posOffset>
                            </wp:positionV>
                            <wp:extent cx="965835" cy="277495"/>
                            <wp:effectExtent l="467360" t="139700" r="14605" b="20955"/>
                            <wp:wrapNone/>
                            <wp:docPr id="60" name="矩形标注 60"/>
                            <wp:cNvGraphicFramePr/>
                            <a:graphic xmlns:a="http://schemas.openxmlformats.org/drawingml/2006/main">
                              <a:graphicData uri="http://schemas.microsoft.com/office/word/2010/wordprocessingShape">
                                <wps:wsp>
                                  <wps:cNvSpPr/>
                                  <wps:spPr>
                                    <a:xfrm>
                                      <a:off x="4835525" y="6625590"/>
                                      <a:ext cx="965835" cy="277495"/>
                                    </a:xfrm>
                                    <a:prstGeom prst="wedgeRectCallout">
                                      <a:avLst>
                                        <a:gd name="adj1" fmla="val -93523"/>
                                        <a:gd name="adj2" fmla="val -9164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B6D23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b/>
                                            <w:bCs/>
                                            <w:color w:val="FF0000"/>
                                            <w:lang w:val="en-US" w:eastAsia="zh-CN"/>
                                          </w:rPr>
                                        </w:pPr>
                                        <w:r>
                                          <w:rPr>
                                            <w:rFonts w:hint="eastAsia"/>
                                            <w:b/>
                                            <w:bCs/>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8.6pt;margin-top:325.15pt;height:21.85pt;width:76.05pt;z-index:251678720;v-text-anchor:middle;mso-width-relative:page;mso-height-relative:page;" filled="f" stroked="t" coordsize="21600,21600" o:gfxdata="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FIhvCdcAAAALAQAADwAAAAAAAAABACAAAAAi&#10;AAAAZHJzL2Rvd25yZXYueG1sUEsBAhQAFAAAAAgAh07iQH8yIEu2AgAASAUAAA4AAAAAAAAAAQAg&#10;AAAAJgEAAGRycy9lMm9Eb2MueG1sUEsFBgAAAAAGAAYAWQEAAE4GAAAAAA==&#10;" adj="-9401,-8996">
                            <v:fill on="f" focussize="0,0"/>
                            <v:stroke weight="1pt" color="#FF0000 [2404]" miterlimit="8" joinstyle="miter"/>
                            <v:imagedata o:title=""/>
                            <o:lock v:ext="edit" aspectratio="f"/>
                            <v:textbox>
                              <w:txbxContent>
                                <w:p w14:paraId="68B6D23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b/>
                                      <w:bCs/>
                                      <w:color w:val="FF0000"/>
                                      <w:lang w:val="en-US" w:eastAsia="zh-CN"/>
                                    </w:rPr>
                                  </w:pPr>
                                  <w:r>
                                    <w:rPr>
                                      <w:rFonts w:hint="eastAsia"/>
                                      <w:b/>
                                      <w:bCs/>
                                      <w:color w:val="FF0000"/>
                                      <w:lang w:val="en-US" w:eastAsia="zh-CN"/>
                                    </w:rPr>
                                    <w:t>本项目位置</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2486025</wp:posOffset>
                            </wp:positionH>
                            <wp:positionV relativeFrom="paragraph">
                              <wp:posOffset>1130300</wp:posOffset>
                            </wp:positionV>
                            <wp:extent cx="788035" cy="2588895"/>
                            <wp:effectExtent l="24765" t="0" r="25400" b="1905"/>
                            <wp:wrapNone/>
                            <wp:docPr id="59" name="直接箭头连接符 59"/>
                            <wp:cNvGraphicFramePr/>
                            <a:graphic xmlns:a="http://schemas.openxmlformats.org/drawingml/2006/main">
                              <a:graphicData uri="http://schemas.microsoft.com/office/word/2010/wordprocessingShape">
                                <wps:wsp>
                                  <wps:cNvCnPr/>
                                  <wps:spPr>
                                    <a:xfrm>
                                      <a:off x="3759835" y="4126865"/>
                                      <a:ext cx="788035" cy="2588895"/>
                                    </a:xfrm>
                                    <a:prstGeom prst="straightConnector1">
                                      <a:avLst/>
                                    </a:prstGeom>
                                    <a:ln w="22225">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5.75pt;margin-top:89pt;height:203.85pt;width:62.05pt;z-index:251677696;mso-width-relative:page;mso-height-relative:page;" filled="f" stroked="t" coordsize="21600,21600" o:gfxdata="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SSfVLZ&#10;AAAACwEAAA8AAAAAAAAAAQAgAAAAIgAAAGRycy9kb3ducmV2LnhtbFBLAQIUABQAAAAIAIdO4kDl&#10;Vg3lHwIAAAsEAAAOAAAAAAAAAAEAIAAAACgBAABkcnMvZTJvRG9jLnhtbFBLBQYAAAAABgAGAFkB&#10;AAC5BQAAAAA=&#10;">
                            <v:fill on="f" focussize="0,0"/>
                            <v:stroke weight="1.75pt" color="#FFFF00 [3204]" miterlimit="8" joinstyle="miter" startarrow="open" endarrow="open"/>
                            <v:imagedata o:title=""/>
                            <o:lock v:ext="edit" aspectratio="f"/>
                          </v:shape>
                        </w:pict>
                      </mc:Fallback>
                    </mc:AlternateContent>
                  </w:r>
                  <w:r>
                    <w:drawing>
                      <wp:inline distT="0" distB="0" distL="114300" distR="114300">
                        <wp:extent cx="5364480" cy="4570095"/>
                        <wp:effectExtent l="0" t="0" r="7620" b="190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9"/>
                                <a:stretch>
                                  <a:fillRect/>
                                </a:stretch>
                              </pic:blipFill>
                              <pic:spPr>
                                <a:xfrm>
                                  <a:off x="0" y="0"/>
                                  <a:ext cx="5364480" cy="4570095"/>
                                </a:xfrm>
                                <a:prstGeom prst="rect">
                                  <a:avLst/>
                                </a:prstGeom>
                                <a:noFill/>
                                <a:ln>
                                  <a:noFill/>
                                </a:ln>
                              </pic:spPr>
                            </pic:pic>
                          </a:graphicData>
                        </a:graphic>
                      </wp:inline>
                    </w:drawing>
                  </w:r>
                </w:p>
              </w:tc>
            </w:tr>
            <w:tr w14:paraId="142762AB">
              <w:tblPrEx>
                <w:tblBorders>
                  <w:top w:val="none" w:color="auto" w:sz="0"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Borders>
                    <w:top w:val="nil"/>
                    <w:left w:val="nil"/>
                    <w:bottom w:val="nil"/>
                    <w:right w:val="nil"/>
                  </w:tcBorders>
                  <w:vAlign w:val="center"/>
                </w:tcPr>
                <w:p w14:paraId="784DF44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color w:val="000000" w:themeColor="text1"/>
                      <w:sz w:val="24"/>
                      <w:szCs w:val="24"/>
                      <w:highlight w:val="none"/>
                      <w:vertAlign w:val="baseline"/>
                      <w:lang w:val="en-US" w:eastAsia="zh-CN"/>
                      <w14:textFill>
                        <w14:solidFill>
                          <w14:schemeClr w14:val="tx1"/>
                        </w14:solidFill>
                      </w14:textFill>
                    </w:rPr>
                  </w:pPr>
                  <w:r>
                    <w:rPr>
                      <w:rFonts w:hint="eastAsia" w:ascii="Times New Roman" w:hAnsi="Times New Roman" w:eastAsia="黑体" w:cs="Times New Roman"/>
                      <w:bCs/>
                      <w:szCs w:val="24"/>
                      <w:lang w:val="en-US" w:eastAsia="zh-CN"/>
                    </w:rPr>
                    <w:t>图</w:t>
                  </w:r>
                  <w:r>
                    <w:rPr>
                      <w:rFonts w:hint="eastAsia" w:eastAsia="黑体" w:cs="Times New Roman"/>
                      <w:bCs/>
                      <w:szCs w:val="24"/>
                      <w:lang w:val="en-US" w:eastAsia="zh-CN"/>
                    </w:rPr>
                    <w:t>3</w:t>
                  </w:r>
                  <w:r>
                    <w:rPr>
                      <w:rFonts w:hint="eastAsia" w:ascii="Times New Roman" w:hAnsi="Times New Roman" w:eastAsia="黑体" w:cs="Times New Roman"/>
                      <w:bCs/>
                      <w:szCs w:val="24"/>
                      <w:lang w:val="en-US" w:eastAsia="zh-CN"/>
                    </w:rPr>
                    <w:t>-1  引用的监测点位与本项目位置关系图</w:t>
                  </w:r>
                </w:p>
              </w:tc>
            </w:tr>
          </w:tbl>
          <w:p w14:paraId="240245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根据上述监测结果，</w:t>
            </w:r>
            <w:r>
              <w:rPr>
                <w:rFonts w:hint="eastAsia" w:ascii="Times New Roman" w:hAnsi="Times New Roman" w:cs="Times New Roman"/>
                <w:color w:val="000000" w:themeColor="text1"/>
                <w:sz w:val="24"/>
                <w:szCs w:val="24"/>
                <w:highlight w:val="none"/>
                <w:lang w:eastAsia="zh-CN"/>
                <w14:textFill>
                  <w14:solidFill>
                    <w14:schemeClr w14:val="tx1"/>
                  </w14:solidFill>
                </w14:textFill>
              </w:rPr>
              <w:t>评价</w:t>
            </w:r>
            <w:r>
              <w:rPr>
                <w:rFonts w:hint="default" w:ascii="Times New Roman" w:hAnsi="Times New Roman" w:cs="Times New Roman"/>
                <w:color w:val="000000" w:themeColor="text1"/>
                <w:sz w:val="24"/>
                <w:szCs w:val="24"/>
                <w:highlight w:val="none"/>
                <w:lang w:eastAsia="zh-CN"/>
                <w14:textFill>
                  <w14:solidFill>
                    <w14:schemeClr w14:val="tx1"/>
                  </w14:solidFill>
                </w14:textFill>
              </w:rPr>
              <w:t>区域内TSP日均浓度可以满足《环境空气质量标准》（GB3095-2012）中二级标准要求；</w:t>
            </w:r>
            <w:r>
              <w:rPr>
                <w:rFonts w:hint="eastAsia"/>
                <w:color w:val="000000" w:themeColor="text1"/>
                <w:sz w:val="24"/>
                <w:szCs w:val="24"/>
                <w:highlight w:val="none"/>
                <w:lang w:val="en-US" w:eastAsia="zh-CN"/>
                <w14:textFill>
                  <w14:solidFill>
                    <w14:schemeClr w14:val="tx1"/>
                  </w14:solidFill>
                </w14:textFill>
              </w:rPr>
              <w:t>甲醛的小时浓度可以满足《环境影响评价技术导则 大气环境》（HJ2.2-2018）附录D浓度限值</w:t>
            </w:r>
            <w:r>
              <w:rPr>
                <w:rFonts w:hint="eastAsia"/>
                <w:color w:val="000000" w:themeColor="text1"/>
                <w:sz w:val="24"/>
                <w:szCs w:val="24"/>
                <w:highlight w:val="none"/>
                <w:lang w:eastAsia="zh-CN"/>
                <w14:textFill>
                  <w14:solidFill>
                    <w14:schemeClr w14:val="tx1"/>
                  </w14:solidFill>
                </w14:textFill>
              </w:rPr>
              <w:t>要求；</w:t>
            </w:r>
            <w:r>
              <w:rPr>
                <w:rFonts w:hint="eastAsia"/>
                <w:color w:val="000000" w:themeColor="text1"/>
                <w:sz w:val="24"/>
                <w:szCs w:val="24"/>
                <w:highlight w:val="none"/>
                <w:lang w:val="en-US" w:eastAsia="zh-CN"/>
                <w14:textFill>
                  <w14:solidFill>
                    <w14:schemeClr w14:val="tx1"/>
                  </w14:solidFill>
                </w14:textFill>
              </w:rPr>
              <w:t>非甲烷总烃</w:t>
            </w:r>
            <w:r>
              <w:rPr>
                <w:rFonts w:hint="default" w:ascii="Times New Roman" w:hAnsi="Times New Roman" w:cs="Times New Roman"/>
                <w:color w:val="000000" w:themeColor="text1"/>
                <w:sz w:val="24"/>
                <w:szCs w:val="24"/>
                <w:highlight w:val="none"/>
                <w:lang w:eastAsia="zh-CN"/>
                <w14:textFill>
                  <w14:solidFill>
                    <w14:schemeClr w14:val="tx1"/>
                  </w14:solidFill>
                </w14:textFill>
              </w:rPr>
              <w:t>小时</w:t>
            </w:r>
            <w:r>
              <w:rPr>
                <w:rFonts w:hint="eastAsia" w:cs="Times New Roman"/>
                <w:color w:val="000000" w:themeColor="text1"/>
                <w:sz w:val="24"/>
                <w:szCs w:val="24"/>
                <w:highlight w:val="none"/>
                <w:lang w:eastAsia="zh-CN"/>
                <w14:textFill>
                  <w14:solidFill>
                    <w14:schemeClr w14:val="tx1"/>
                  </w14:solidFill>
                </w14:textFill>
              </w:rPr>
              <w:t>浓度</w:t>
            </w:r>
            <w:r>
              <w:rPr>
                <w:rFonts w:hint="default" w:ascii="Times New Roman" w:hAnsi="Times New Roman" w:cs="Times New Roman"/>
                <w:color w:val="000000" w:themeColor="text1"/>
                <w:sz w:val="24"/>
                <w:szCs w:val="24"/>
                <w:highlight w:val="none"/>
                <w:lang w:eastAsia="zh-CN"/>
                <w14:textFill>
                  <w14:solidFill>
                    <w14:schemeClr w14:val="tx1"/>
                  </w14:solidFill>
                </w14:textFill>
              </w:rPr>
              <w:t>可以满足《大气污染物综合排放标准详解》</w:t>
            </w:r>
            <w:r>
              <w:rPr>
                <w:rFonts w:hint="eastAsia"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cs="Times New Roman"/>
                <w:color w:val="000000" w:themeColor="text1"/>
                <w:sz w:val="24"/>
                <w:szCs w:val="24"/>
                <w:highlight w:val="none"/>
                <w:lang w:eastAsia="zh-CN"/>
                <w14:textFill>
                  <w14:solidFill>
                    <w14:schemeClr w14:val="tx1"/>
                  </w14:solidFill>
                </w14:textFill>
              </w:rPr>
              <w:t>限值要求。</w:t>
            </w:r>
          </w:p>
          <w:p w14:paraId="637F8803">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2、地表水环境质量现状</w:t>
            </w:r>
          </w:p>
          <w:p w14:paraId="47CE3F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lang w:eastAsia="zh-CN"/>
              </w:rPr>
            </w:pPr>
            <w:r>
              <w:rPr>
                <w:rFonts w:hint="default" w:ascii="Times New Roman" w:hAnsi="Times New Roman" w:cs="Times New Roman"/>
                <w:color w:val="auto"/>
                <w:sz w:val="24"/>
                <w:highlight w:val="none"/>
              </w:rPr>
              <w:t>项目区附近主要地表水体为西</w:t>
            </w:r>
            <w:r>
              <w:rPr>
                <w:rFonts w:hint="default" w:ascii="Times New Roman" w:hAnsi="Times New Roman" w:cs="Times New Roman"/>
                <w:color w:val="auto"/>
                <w:sz w:val="24"/>
                <w:highlight w:val="none"/>
                <w:lang w:val="en-US" w:eastAsia="zh-CN"/>
              </w:rPr>
              <w:t>北</w:t>
            </w:r>
            <w:r>
              <w:rPr>
                <w:rFonts w:hint="default" w:ascii="Times New Roman" w:hAnsi="Times New Roman" w:cs="Times New Roman"/>
                <w:color w:val="auto"/>
                <w:sz w:val="24"/>
                <w:highlight w:val="none"/>
              </w:rPr>
              <w:t>侧</w:t>
            </w:r>
            <w:r>
              <w:rPr>
                <w:rFonts w:hint="default" w:ascii="Times New Roman" w:hAnsi="Times New Roman" w:cs="Times New Roman"/>
                <w:color w:val="auto"/>
                <w:sz w:val="24"/>
                <w:highlight w:val="none"/>
                <w:lang w:val="en-US" w:eastAsia="zh-CN"/>
              </w:rPr>
              <w:t>1.83km处</w:t>
            </w:r>
            <w:r>
              <w:rPr>
                <w:rFonts w:hint="default" w:ascii="Times New Roman" w:hAnsi="Times New Roman" w:cs="Times New Roman"/>
                <w:color w:val="auto"/>
                <w:sz w:val="24"/>
                <w:highlight w:val="none"/>
              </w:rPr>
              <w:t>的</w:t>
            </w:r>
            <w:r>
              <w:rPr>
                <w:rFonts w:hint="default" w:ascii="Times New Roman" w:hAnsi="Times New Roman" w:cs="Times New Roman"/>
                <w:color w:val="000000"/>
                <w:sz w:val="24"/>
                <w:highlight w:val="none"/>
              </w:rPr>
              <w:t>九曲河</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九曲河</w:t>
            </w:r>
            <w:r>
              <w:rPr>
                <w:rFonts w:hint="default" w:ascii="Times New Roman" w:hAnsi="Times New Roman" w:cs="Times New Roman"/>
                <w:color w:val="000000"/>
                <w:sz w:val="24"/>
                <w:highlight w:val="none"/>
                <w:lang w:val="en-US" w:eastAsia="zh-CN"/>
              </w:rPr>
              <w:t>再向西流经470m汇入赵河</w:t>
            </w:r>
            <w:r>
              <w:rPr>
                <w:rFonts w:hint="default" w:ascii="Times New Roman" w:hAnsi="Times New Roman" w:cs="Times New Roman"/>
                <w:color w:val="000000"/>
                <w:sz w:val="24"/>
                <w:highlight w:val="none"/>
                <w:lang w:eastAsia="zh-CN"/>
              </w:rPr>
              <w:t>。根据南阳市地面水环境功能区划报告，九曲河、赵河评价河段水质功能区划</w:t>
            </w:r>
            <w:r>
              <w:rPr>
                <w:rFonts w:hint="default" w:ascii="Times New Roman" w:hAnsi="Times New Roman" w:cs="Times New Roman"/>
                <w:color w:val="000000"/>
                <w:sz w:val="24"/>
                <w:highlight w:val="none"/>
                <w:lang w:val="en-US" w:eastAsia="zh-CN"/>
              </w:rPr>
              <w:t>为</w:t>
            </w:r>
            <w:r>
              <w:rPr>
                <w:rFonts w:hint="default" w:ascii="Times New Roman" w:hAnsi="Times New Roman" w:cs="Times New Roman"/>
                <w:color w:val="000000"/>
                <w:sz w:val="24"/>
                <w:highlight w:val="none"/>
                <w:lang w:eastAsia="zh-CN"/>
              </w:rPr>
              <w:t>《地表水环境质量标准》（GB3838-2002）Ⅲ类水体。</w:t>
            </w:r>
          </w:p>
          <w:p w14:paraId="53006B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sz w:val="24"/>
                <w:lang w:val="en-US" w:eastAsia="zh-CN"/>
              </w:rPr>
            </w:pPr>
            <w:r>
              <w:rPr>
                <w:rFonts w:hint="default" w:ascii="Times New Roman" w:hAnsi="Times New Roman" w:cs="Times New Roman"/>
                <w:color w:val="000000"/>
                <w:sz w:val="24"/>
                <w:lang w:val="en-US" w:eastAsia="zh-CN"/>
              </w:rPr>
              <w:t>根据南阳市生态环境局2025年7月发布的《2024年南阳市生态环境质量状况》，全市37个市控断面中，</w:t>
            </w:r>
            <w:r>
              <w:rPr>
                <w:rFonts w:hint="default" w:ascii="Times New Roman" w:hAnsi="Times New Roman" w:cs="Times New Roman"/>
                <w:color w:val="000000"/>
                <w:sz w:val="24"/>
              </w:rPr>
              <w:t>赵河田寨断面</w:t>
            </w:r>
            <w:r>
              <w:rPr>
                <w:rFonts w:hint="default" w:ascii="Times New Roman" w:hAnsi="Times New Roman" w:cs="Times New Roman"/>
                <w:color w:val="000000"/>
                <w:sz w:val="24"/>
                <w:lang w:val="en-US" w:eastAsia="zh-CN"/>
              </w:rPr>
              <w:t>水质状况为良好，</w:t>
            </w:r>
            <w:r>
              <w:rPr>
                <w:rFonts w:hint="default" w:ascii="Times New Roman" w:hAnsi="Times New Roman" w:cs="Times New Roman"/>
                <w:color w:val="000000"/>
                <w:sz w:val="24"/>
              </w:rPr>
              <w:t>能够满足《地表水环境质量标准》（GB3838-2002）中Ⅲ类标准要求</w:t>
            </w:r>
            <w:r>
              <w:rPr>
                <w:rFonts w:hint="default" w:ascii="Times New Roman" w:hAnsi="Times New Roman" w:cs="Times New Roman"/>
                <w:color w:val="000000"/>
                <w:sz w:val="24"/>
                <w:lang w:eastAsia="zh-CN"/>
              </w:rPr>
              <w:t>。</w:t>
            </w:r>
          </w:p>
          <w:p w14:paraId="546390D0">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3、声环境质量现状</w:t>
            </w:r>
          </w:p>
          <w:p w14:paraId="0A485C95">
            <w:pPr>
              <w:spacing w:line="360" w:lineRule="auto"/>
              <w:ind w:firstLine="480" w:firstLineChars="200"/>
              <w:rPr>
                <w:rFonts w:cs="Times New Roman"/>
                <w:szCs w:val="24"/>
                <w:u w:val="none"/>
              </w:rPr>
            </w:pPr>
            <w:r>
              <w:rPr>
                <w:rFonts w:hint="eastAsia" w:ascii="Times New Roman" w:hAnsi="Times New Roman" w:eastAsia="宋体" w:cs="Times New Roman"/>
                <w:sz w:val="24"/>
                <w:u w:val="none"/>
              </w:rPr>
              <w:t>项目厂界外周边50m范围内不存在声环境保护目标，</w:t>
            </w:r>
            <w:r>
              <w:rPr>
                <w:rFonts w:hint="eastAsia" w:cs="Times New Roman"/>
                <w:szCs w:val="24"/>
                <w:u w:val="none"/>
              </w:rPr>
              <w:t>根据《建设项目环境影响报告表编制技术指南（污染影响类）（试行）》</w:t>
            </w:r>
            <w:r>
              <w:rPr>
                <w:rFonts w:hint="eastAsia" w:ascii="Times New Roman" w:hAnsi="Times New Roman" w:eastAsia="宋体" w:cs="Times New Roman"/>
                <w:sz w:val="24"/>
                <w:u w:val="none"/>
              </w:rPr>
              <w:t>，</w:t>
            </w:r>
            <w:r>
              <w:rPr>
                <w:rFonts w:hint="eastAsia" w:ascii="Times New Roman" w:hAnsi="Times New Roman" w:eastAsia="宋体" w:cs="Times New Roman"/>
                <w:sz w:val="24"/>
                <w:u w:val="none"/>
                <w:lang w:eastAsia="zh-CN"/>
              </w:rPr>
              <w:t>本项目不再进行</w:t>
            </w:r>
            <w:r>
              <w:rPr>
                <w:rFonts w:hint="eastAsia" w:ascii="Times New Roman" w:hAnsi="Times New Roman" w:eastAsia="宋体" w:cs="Times New Roman"/>
                <w:sz w:val="24"/>
                <w:u w:val="none"/>
              </w:rPr>
              <w:t>声环境质量现状监测及达标评价</w:t>
            </w:r>
            <w:r>
              <w:rPr>
                <w:rFonts w:cs="Times New Roman"/>
                <w:szCs w:val="24"/>
                <w:u w:val="none"/>
              </w:rPr>
              <w:t>。</w:t>
            </w:r>
          </w:p>
          <w:p w14:paraId="04AF9140">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4、地下水与土壤环境质量现状</w:t>
            </w:r>
          </w:p>
          <w:p w14:paraId="34E0E519">
            <w:pPr>
              <w:spacing w:line="360" w:lineRule="auto"/>
              <w:ind w:firstLine="480" w:firstLineChars="200"/>
              <w:rPr>
                <w:rFonts w:cs="Times New Roman"/>
                <w:szCs w:val="24"/>
                <w:u w:val="none"/>
              </w:rPr>
            </w:pPr>
            <w:r>
              <w:rPr>
                <w:rFonts w:hint="eastAsia" w:cs="Times New Roman"/>
                <w:szCs w:val="24"/>
                <w:u w:val="none"/>
              </w:rPr>
              <w:t>本项目营运期废水主要</w:t>
            </w:r>
            <w:r>
              <w:rPr>
                <w:rFonts w:hint="eastAsia" w:cs="Times New Roman"/>
                <w:szCs w:val="24"/>
                <w:u w:val="none"/>
                <w:lang w:eastAsia="zh-CN"/>
              </w:rPr>
              <w:t>为生活污水</w:t>
            </w:r>
            <w:r>
              <w:rPr>
                <w:rFonts w:hint="eastAsia" w:cs="Times New Roman"/>
                <w:szCs w:val="24"/>
                <w:u w:val="none"/>
                <w:lang w:val="en-US" w:eastAsia="zh-CN"/>
              </w:rPr>
              <w:t>，</w:t>
            </w:r>
            <w:r>
              <w:rPr>
                <w:rFonts w:hint="eastAsia" w:cs="Times New Roman"/>
                <w:szCs w:val="24"/>
                <w:u w:val="none"/>
              </w:rPr>
              <w:t>厂区车间地面及道路均进行硬化，</w:t>
            </w:r>
            <w:r>
              <w:rPr>
                <w:rFonts w:hint="eastAsia" w:eastAsia="宋体" w:cs="Times New Roman"/>
                <w:sz w:val="24"/>
                <w:szCs w:val="24"/>
                <w:u w:val="none"/>
                <w:lang w:val="en-US" w:eastAsia="zh-CN"/>
              </w:rPr>
              <w:t>涉水设施及管道</w:t>
            </w:r>
            <w:r>
              <w:rPr>
                <w:rFonts w:hint="eastAsia" w:ascii="Times New Roman" w:hAnsi="Times New Roman" w:eastAsia="宋体" w:cs="Times New Roman"/>
                <w:sz w:val="24"/>
                <w:szCs w:val="24"/>
                <w:u w:val="none"/>
                <w:lang w:eastAsia="zh-CN"/>
              </w:rPr>
              <w:t>均进行</w:t>
            </w:r>
            <w:r>
              <w:rPr>
                <w:rFonts w:hint="eastAsia" w:eastAsia="宋体" w:cs="Times New Roman"/>
                <w:sz w:val="24"/>
                <w:szCs w:val="24"/>
                <w:u w:val="none"/>
                <w:lang w:val="en-US" w:eastAsia="zh-CN"/>
              </w:rPr>
              <w:t>防腐防渗</w:t>
            </w:r>
            <w:r>
              <w:rPr>
                <w:rFonts w:hint="eastAsia" w:ascii="Times New Roman" w:hAnsi="Times New Roman" w:eastAsia="宋体" w:cs="Times New Roman"/>
                <w:sz w:val="24"/>
                <w:szCs w:val="24"/>
                <w:u w:val="none"/>
                <w:lang w:eastAsia="zh-CN"/>
              </w:rPr>
              <w:t>处理</w:t>
            </w:r>
            <w:r>
              <w:rPr>
                <w:rFonts w:hint="eastAsia" w:cs="Times New Roman"/>
                <w:szCs w:val="24"/>
                <w:u w:val="none"/>
              </w:rPr>
              <w:t>，正常情况下</w:t>
            </w:r>
            <w:r>
              <w:rPr>
                <w:rFonts w:hint="eastAsia" w:cs="Times New Roman"/>
                <w:szCs w:val="24"/>
                <w:u w:val="none"/>
                <w:lang w:eastAsia="zh-CN"/>
              </w:rPr>
              <w:t>，</w:t>
            </w:r>
            <w:r>
              <w:rPr>
                <w:rFonts w:hint="eastAsia" w:ascii="宋体" w:hAnsi="宋体" w:cs="宋体"/>
                <w:color w:val="000000"/>
                <w:kern w:val="0"/>
                <w:lang w:bidi="ar"/>
              </w:rPr>
              <w:t>项目无地下水、土壤污染途径</w:t>
            </w:r>
            <w:r>
              <w:rPr>
                <w:rFonts w:hint="eastAsia" w:ascii="Times New Roman" w:hAnsi="Times New Roman" w:eastAsia="宋体" w:cs="Times New Roman"/>
                <w:sz w:val="24"/>
                <w:szCs w:val="24"/>
                <w:u w:val="none"/>
                <w:lang w:eastAsia="zh-CN"/>
              </w:rPr>
              <w:t>，</w:t>
            </w:r>
            <w:r>
              <w:rPr>
                <w:rFonts w:hint="eastAsia" w:cs="Times New Roman"/>
                <w:szCs w:val="24"/>
                <w:u w:val="none"/>
              </w:rPr>
              <w:t>根据《建设项目环境影响报告表编制技术指南（污染影响类）（试行）》，本项目不再进行土壤和地下水现状调查。</w:t>
            </w:r>
          </w:p>
          <w:p w14:paraId="2999F18F">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5、生态环境现状</w:t>
            </w:r>
          </w:p>
          <w:p w14:paraId="6ECA3319">
            <w:pPr>
              <w:spacing w:line="360" w:lineRule="auto"/>
              <w:ind w:firstLine="480" w:firstLineChars="200"/>
              <w:rPr>
                <w:rFonts w:hint="eastAsia" w:hAnsi="宋体"/>
                <w:szCs w:val="20"/>
              </w:rPr>
            </w:pPr>
            <w:r>
              <w:rPr>
                <w:rFonts w:hint="eastAsia" w:eastAsia="宋体" w:cs="Times New Roman"/>
                <w:kern w:val="0"/>
                <w:szCs w:val="24"/>
              </w:rPr>
              <w:t>本</w:t>
            </w:r>
            <w:r>
              <w:rPr>
                <w:rFonts w:eastAsia="宋体" w:cs="Times New Roman"/>
                <w:kern w:val="0"/>
                <w:szCs w:val="24"/>
              </w:rPr>
              <w:t>项目位于</w:t>
            </w:r>
            <w:r>
              <w:rPr>
                <w:rFonts w:hint="eastAsia" w:eastAsia="宋体" w:cs="Times New Roman"/>
                <w:kern w:val="0"/>
                <w:szCs w:val="24"/>
                <w:lang w:val="en-US" w:eastAsia="zh-CN"/>
              </w:rPr>
              <w:t>南阳市镇平县先进制造业开发区玉神路与建设路交叉口北200米8号</w:t>
            </w:r>
            <w:r>
              <w:rPr>
                <w:rFonts w:hint="eastAsia" w:cs="Times New Roman"/>
                <w:szCs w:val="24"/>
              </w:rPr>
              <w:t>，</w:t>
            </w:r>
            <w:r>
              <w:rPr>
                <w:rFonts w:hint="eastAsia" w:cs="Times New Roman"/>
                <w:szCs w:val="24"/>
                <w:lang w:val="en-US" w:eastAsia="zh-CN"/>
              </w:rPr>
              <w:t>租赁</w:t>
            </w:r>
            <w:r>
              <w:rPr>
                <w:rFonts w:hint="eastAsia"/>
                <w:color w:val="000000"/>
                <w:sz w:val="24"/>
              </w:rPr>
              <w:t>厂房进行生产</w:t>
            </w:r>
            <w:r>
              <w:rPr>
                <w:rFonts w:hint="eastAsia" w:cs="Times New Roman"/>
                <w:szCs w:val="24"/>
                <w:lang w:eastAsia="zh-CN"/>
              </w:rPr>
              <w:t>。</w:t>
            </w:r>
            <w:r>
              <w:rPr>
                <w:rFonts w:hint="eastAsia" w:cs="Times New Roman"/>
                <w:szCs w:val="24"/>
              </w:rPr>
              <w:t>根据《建设项目环境影响报告表编制技术指南（污染影响类）（试行）》，不需要进行生态现状调查。</w:t>
            </w:r>
          </w:p>
        </w:tc>
      </w:tr>
      <w:tr w14:paraId="490FFB78">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348C9D6C">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环境保护目标</w:t>
            </w:r>
          </w:p>
        </w:tc>
        <w:tc>
          <w:tcPr>
            <w:tcW w:w="4754" w:type="pct"/>
            <w:vAlign w:val="top"/>
          </w:tcPr>
          <w:p w14:paraId="1E79B909">
            <w:pPr>
              <w:widowControl/>
              <w:autoSpaceDE w:val="0"/>
              <w:autoSpaceDN w:val="0"/>
              <w:spacing w:line="360" w:lineRule="auto"/>
              <w:ind w:firstLine="480" w:firstLineChars="200"/>
              <w:rPr>
                <w:rFonts w:hint="eastAsia" w:hAnsi="宋体"/>
                <w:kern w:val="0"/>
              </w:rPr>
            </w:pPr>
            <w:r>
              <w:rPr>
                <w:rFonts w:hint="eastAsia" w:hAnsi="宋体"/>
                <w:kern w:val="0"/>
              </w:rPr>
              <w:t>根据现场调查，项目区评价范围内没有发现文物、名胜古迹及有价值的自然景观和珍稀动植物等特殊保护对象</w:t>
            </w:r>
            <w:r>
              <w:rPr>
                <w:rFonts w:hint="eastAsia" w:hAnsi="宋体"/>
                <w:kern w:val="0"/>
                <w:lang w:eastAsia="zh-CN"/>
              </w:rPr>
              <w:t>，</w:t>
            </w:r>
            <w:r>
              <w:rPr>
                <w:rFonts w:hint="eastAsia" w:ascii="宋体" w:hAnsi="宋体" w:cs="宋体"/>
                <w:color w:val="000000"/>
                <w:kern w:val="0"/>
                <w:lang w:bidi="ar"/>
              </w:rPr>
              <w:t>厂区周边</w:t>
            </w:r>
            <w:r>
              <w:rPr>
                <w:color w:val="000000"/>
                <w:kern w:val="0"/>
                <w:lang w:bidi="ar"/>
              </w:rPr>
              <w:t>50m</w:t>
            </w:r>
            <w:r>
              <w:rPr>
                <w:rFonts w:hint="eastAsia" w:ascii="宋体" w:hAnsi="宋体" w:cs="宋体"/>
                <w:color w:val="000000"/>
                <w:kern w:val="0"/>
                <w:lang w:bidi="ar"/>
              </w:rPr>
              <w:t>范围内无声</w:t>
            </w:r>
            <w:r>
              <w:rPr>
                <w:rFonts w:hint="eastAsia" w:ascii="宋体" w:hAnsi="宋体" w:cs="宋体"/>
                <w:color w:val="000000"/>
                <w:kern w:val="0"/>
                <w:lang w:val="en-US" w:eastAsia="zh-CN" w:bidi="ar"/>
              </w:rPr>
              <w:t>环境保护目标</w:t>
            </w:r>
            <w:r>
              <w:rPr>
                <w:rFonts w:hint="eastAsia" w:ascii="宋体" w:hAnsi="宋体" w:cs="宋体"/>
                <w:color w:val="000000"/>
                <w:kern w:val="0"/>
                <w:lang w:bidi="ar"/>
              </w:rPr>
              <w:t>，厂界外</w:t>
            </w:r>
            <w:r>
              <w:rPr>
                <w:color w:val="000000"/>
                <w:kern w:val="0"/>
                <w:lang w:bidi="ar"/>
              </w:rPr>
              <w:t>500m</w:t>
            </w:r>
            <w:r>
              <w:rPr>
                <w:rFonts w:hint="eastAsia" w:ascii="宋体" w:hAnsi="宋体" w:cs="宋体"/>
                <w:color w:val="000000"/>
                <w:kern w:val="0"/>
                <w:lang w:bidi="ar"/>
              </w:rPr>
              <w:t>范围内无饮用</w:t>
            </w:r>
            <w:r>
              <w:rPr>
                <w:rFonts w:hint="eastAsia" w:ascii="宋体" w:hAnsi="宋体" w:cs="宋体"/>
                <w:color w:val="000000"/>
                <w:kern w:val="0"/>
                <w:lang w:val="en-US" w:eastAsia="zh-CN" w:bidi="ar"/>
              </w:rPr>
              <w:t>水源</w:t>
            </w:r>
            <w:r>
              <w:rPr>
                <w:rFonts w:hint="eastAsia" w:ascii="宋体" w:hAnsi="宋体" w:cs="宋体"/>
                <w:color w:val="000000"/>
                <w:kern w:val="0"/>
                <w:lang w:bidi="ar"/>
              </w:rPr>
              <w:t>保护区和其他需要特殊保护的地下水资源</w:t>
            </w:r>
            <w:r>
              <w:rPr>
                <w:rFonts w:hint="eastAsia" w:hAnsi="宋体"/>
                <w:kern w:val="0"/>
              </w:rPr>
              <w:t>。</w:t>
            </w:r>
          </w:p>
          <w:p w14:paraId="0FDFC8B2">
            <w:pPr>
              <w:widowControl/>
              <w:autoSpaceDE w:val="0"/>
              <w:autoSpaceDN w:val="0"/>
              <w:spacing w:line="360" w:lineRule="auto"/>
              <w:ind w:firstLine="480" w:firstLineChars="200"/>
              <w:rPr>
                <w:rFonts w:hAnsi="宋体"/>
                <w:kern w:val="0"/>
              </w:rPr>
            </w:pPr>
            <w:r>
              <w:rPr>
                <w:rFonts w:hint="eastAsia" w:hAnsi="宋体"/>
                <w:kern w:val="0"/>
              </w:rPr>
              <w:t>项目周边环境保护目标见</w:t>
            </w:r>
            <w:r>
              <w:rPr>
                <w:rFonts w:hint="eastAsia" w:hAnsi="宋体"/>
                <w:kern w:val="0"/>
                <w:lang w:val="en-US" w:eastAsia="zh-CN"/>
              </w:rPr>
              <w:t>下表</w:t>
            </w:r>
            <w:r>
              <w:rPr>
                <w:rFonts w:hint="eastAsia" w:hAnsi="宋体"/>
                <w:kern w:val="0"/>
              </w:rPr>
              <w:t>。</w:t>
            </w:r>
          </w:p>
          <w:p w14:paraId="4D498CC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黑体" w:cs="Times New Roman"/>
              </w:rPr>
            </w:pPr>
            <w:r>
              <w:rPr>
                <w:rFonts w:hAnsi="黑体" w:eastAsia="黑体" w:cs="Times New Roman"/>
              </w:rPr>
              <w:t>表</w:t>
            </w:r>
            <w:r>
              <w:rPr>
                <w:rFonts w:hint="eastAsia" w:eastAsia="黑体" w:cs="Times New Roman"/>
              </w:rPr>
              <w:t>3-</w:t>
            </w:r>
            <w:r>
              <w:rPr>
                <w:rFonts w:hint="eastAsia" w:eastAsia="黑体" w:cs="Times New Roman"/>
                <w:lang w:val="en-US" w:eastAsia="zh-CN"/>
              </w:rPr>
              <w:t>3</w:t>
            </w:r>
            <w:r>
              <w:rPr>
                <w:rFonts w:eastAsia="黑体" w:cs="Times New Roman"/>
              </w:rPr>
              <w:t xml:space="preserve">  </w:t>
            </w:r>
            <w:r>
              <w:rPr>
                <w:rFonts w:hAnsi="黑体" w:eastAsia="黑体" w:cs="Times New Roman"/>
              </w:rPr>
              <w:t>项目厂区周边主要环境保护目标一览表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391"/>
              <w:gridCol w:w="1523"/>
              <w:gridCol w:w="1562"/>
              <w:gridCol w:w="1547"/>
              <w:gridCol w:w="2540"/>
            </w:tblGrid>
            <w:tr w14:paraId="6447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tcBorders>
                    <w:tl2br w:val="nil"/>
                    <w:tr2bl w:val="nil"/>
                  </w:tcBorders>
                  <w:vAlign w:val="center"/>
                </w:tcPr>
                <w:p w14:paraId="5FE4C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类别</w:t>
                  </w:r>
                </w:p>
              </w:tc>
              <w:tc>
                <w:tcPr>
                  <w:tcW w:w="889" w:type="pct"/>
                  <w:tcBorders>
                    <w:tl2br w:val="nil"/>
                    <w:tr2bl w:val="nil"/>
                  </w:tcBorders>
                  <w:vAlign w:val="center"/>
                </w:tcPr>
                <w:p w14:paraId="30E6A4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保护目标</w:t>
                  </w:r>
                </w:p>
              </w:tc>
              <w:tc>
                <w:tcPr>
                  <w:tcW w:w="912" w:type="pct"/>
                  <w:tcBorders>
                    <w:tl2br w:val="nil"/>
                    <w:tr2bl w:val="nil"/>
                  </w:tcBorders>
                  <w:vAlign w:val="center"/>
                </w:tcPr>
                <w:p w14:paraId="349028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相对厂址方位</w:t>
                  </w:r>
                </w:p>
              </w:tc>
              <w:tc>
                <w:tcPr>
                  <w:tcW w:w="903" w:type="pct"/>
                  <w:tcBorders>
                    <w:tl2br w:val="nil"/>
                    <w:tr2bl w:val="nil"/>
                  </w:tcBorders>
                  <w:vAlign w:val="center"/>
                </w:tcPr>
                <w:p w14:paraId="0EC480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相对厂址距离</w:t>
                  </w:r>
                </w:p>
              </w:tc>
              <w:tc>
                <w:tcPr>
                  <w:tcW w:w="1483" w:type="pct"/>
                  <w:tcBorders>
                    <w:tl2br w:val="nil"/>
                    <w:tr2bl w:val="nil"/>
                  </w:tcBorders>
                  <w:vAlign w:val="center"/>
                </w:tcPr>
                <w:p w14:paraId="45EE3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保护级别</w:t>
                  </w:r>
                </w:p>
              </w:tc>
            </w:tr>
            <w:tr w14:paraId="3770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restart"/>
                  <w:tcBorders>
                    <w:tl2br w:val="nil"/>
                    <w:tr2bl w:val="nil"/>
                  </w:tcBorders>
                  <w:vAlign w:val="center"/>
                </w:tcPr>
                <w:p w14:paraId="1014CD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sz w:val="21"/>
                      <w:szCs w:val="21"/>
                      <w:lang w:eastAsia="zh-CN"/>
                    </w:rPr>
                  </w:pPr>
                  <w:r>
                    <w:rPr>
                      <w:rFonts w:hint="default" w:ascii="Times New Roman" w:hAnsi="Times New Roman" w:cs="Times New Roman"/>
                      <w:color w:val="000000"/>
                      <w:sz w:val="21"/>
                      <w:szCs w:val="21"/>
                      <w:lang w:eastAsia="zh-CN"/>
                    </w:rPr>
                    <w:t>环境空气</w:t>
                  </w:r>
                </w:p>
              </w:tc>
              <w:tc>
                <w:tcPr>
                  <w:tcW w:w="889" w:type="pct"/>
                  <w:tcBorders>
                    <w:tl2br w:val="nil"/>
                    <w:tr2bl w:val="nil"/>
                  </w:tcBorders>
                  <w:vAlign w:val="center"/>
                </w:tcPr>
                <w:p w14:paraId="0CEA1F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花坊庄</w:t>
                  </w:r>
                </w:p>
              </w:tc>
              <w:tc>
                <w:tcPr>
                  <w:tcW w:w="912" w:type="pct"/>
                  <w:tcBorders>
                    <w:tl2br w:val="nil"/>
                    <w:tr2bl w:val="nil"/>
                  </w:tcBorders>
                  <w:vAlign w:val="center"/>
                </w:tcPr>
                <w:p w14:paraId="61392B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NW</w:t>
                  </w:r>
                </w:p>
              </w:tc>
              <w:tc>
                <w:tcPr>
                  <w:tcW w:w="903" w:type="pct"/>
                  <w:tcBorders>
                    <w:tl2br w:val="nil"/>
                    <w:tr2bl w:val="nil"/>
                  </w:tcBorders>
                  <w:vAlign w:val="center"/>
                </w:tcPr>
                <w:p w14:paraId="31C56E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sz w:val="21"/>
                      <w:szCs w:val="21"/>
                      <w:lang w:val="en-US" w:eastAsia="zh-CN"/>
                    </w:rPr>
                  </w:pPr>
                  <w:r>
                    <w:rPr>
                      <w:rFonts w:hint="eastAsia" w:ascii="Times New Roman" w:hAnsi="Times New Roman" w:cs="Times New Roman"/>
                      <w:color w:val="000000"/>
                      <w:sz w:val="21"/>
                      <w:szCs w:val="21"/>
                      <w:lang w:val="en-US" w:eastAsia="zh-CN"/>
                    </w:rPr>
                    <w:t>409</w:t>
                  </w:r>
                  <w:r>
                    <w:rPr>
                      <w:rFonts w:hint="default" w:ascii="Times New Roman" w:hAnsi="Times New Roman" w:cs="Times New Roman"/>
                      <w:color w:val="000000"/>
                      <w:sz w:val="21"/>
                      <w:szCs w:val="21"/>
                      <w:lang w:val="en-US" w:eastAsia="zh-CN"/>
                    </w:rPr>
                    <w:t>m</w:t>
                  </w:r>
                </w:p>
              </w:tc>
              <w:tc>
                <w:tcPr>
                  <w:tcW w:w="1483" w:type="pct"/>
                  <w:vMerge w:val="restart"/>
                  <w:tcBorders>
                    <w:tl2br w:val="nil"/>
                    <w:tr2bl w:val="nil"/>
                  </w:tcBorders>
                  <w:vAlign w:val="center"/>
                </w:tcPr>
                <w:p w14:paraId="295C01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《环境空气质量标准》（GB3095-2026）中的过渡阶段二级</w:t>
                  </w:r>
                </w:p>
              </w:tc>
            </w:tr>
            <w:tr w14:paraId="2F81E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1CC834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eastAsia="zh-CN"/>
                    </w:rPr>
                  </w:pPr>
                </w:p>
              </w:tc>
              <w:tc>
                <w:tcPr>
                  <w:tcW w:w="889" w:type="pct"/>
                  <w:tcBorders>
                    <w:tl2br w:val="nil"/>
                    <w:tr2bl w:val="nil"/>
                  </w:tcBorders>
                  <w:vAlign w:val="center"/>
                </w:tcPr>
                <w:p w14:paraId="798E91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五里岗</w:t>
                  </w:r>
                </w:p>
              </w:tc>
              <w:tc>
                <w:tcPr>
                  <w:tcW w:w="912" w:type="pct"/>
                  <w:tcBorders>
                    <w:tl2br w:val="nil"/>
                    <w:tr2bl w:val="nil"/>
                  </w:tcBorders>
                  <w:vAlign w:val="center"/>
                </w:tcPr>
                <w:p w14:paraId="3CCD2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W</w:t>
                  </w:r>
                </w:p>
              </w:tc>
              <w:tc>
                <w:tcPr>
                  <w:tcW w:w="903" w:type="pct"/>
                  <w:tcBorders>
                    <w:tl2br w:val="nil"/>
                    <w:tr2bl w:val="nil"/>
                  </w:tcBorders>
                  <w:vAlign w:val="center"/>
                </w:tcPr>
                <w:p w14:paraId="067A53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119</w:t>
                  </w:r>
                  <w:r>
                    <w:rPr>
                      <w:rFonts w:hint="default" w:ascii="Times New Roman" w:hAnsi="Times New Roman" w:cs="Times New Roman"/>
                      <w:color w:val="000000"/>
                      <w:sz w:val="21"/>
                      <w:szCs w:val="21"/>
                      <w:lang w:val="en-US" w:eastAsia="zh-CN"/>
                    </w:rPr>
                    <w:t>m</w:t>
                  </w:r>
                </w:p>
              </w:tc>
              <w:tc>
                <w:tcPr>
                  <w:tcW w:w="1483" w:type="pct"/>
                  <w:vMerge w:val="continue"/>
                  <w:tcBorders>
                    <w:tl2br w:val="nil"/>
                    <w:tr2bl w:val="nil"/>
                  </w:tcBorders>
                  <w:vAlign w:val="center"/>
                </w:tcPr>
                <w:p w14:paraId="4CD327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p>
              </w:tc>
            </w:tr>
            <w:tr w14:paraId="40A5F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1560C8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eastAsia="zh-CN"/>
                    </w:rPr>
                  </w:pPr>
                </w:p>
              </w:tc>
              <w:tc>
                <w:tcPr>
                  <w:tcW w:w="889" w:type="pct"/>
                  <w:tcBorders>
                    <w:tl2br w:val="nil"/>
                    <w:tr2bl w:val="nil"/>
                  </w:tcBorders>
                  <w:vAlign w:val="center"/>
                </w:tcPr>
                <w:p w14:paraId="75AD1D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新城广场</w:t>
                  </w:r>
                </w:p>
              </w:tc>
              <w:tc>
                <w:tcPr>
                  <w:tcW w:w="912" w:type="pct"/>
                  <w:tcBorders>
                    <w:tl2br w:val="nil"/>
                    <w:tr2bl w:val="nil"/>
                  </w:tcBorders>
                  <w:vAlign w:val="center"/>
                </w:tcPr>
                <w:p w14:paraId="05D21A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S</w:t>
                  </w:r>
                  <w:r>
                    <w:rPr>
                      <w:rFonts w:hint="eastAsia" w:ascii="Times New Roman" w:hAnsi="Times New Roman" w:cs="Times New Roman"/>
                      <w:color w:val="000000"/>
                      <w:sz w:val="21"/>
                      <w:szCs w:val="21"/>
                      <w:lang w:val="en-US" w:eastAsia="zh-CN"/>
                    </w:rPr>
                    <w:t>E</w:t>
                  </w:r>
                </w:p>
              </w:tc>
              <w:tc>
                <w:tcPr>
                  <w:tcW w:w="903" w:type="pct"/>
                  <w:tcBorders>
                    <w:tl2br w:val="nil"/>
                    <w:tr2bl w:val="nil"/>
                  </w:tcBorders>
                  <w:vAlign w:val="center"/>
                </w:tcPr>
                <w:p w14:paraId="29129B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349</w:t>
                  </w:r>
                  <w:r>
                    <w:rPr>
                      <w:rFonts w:hint="default" w:ascii="Times New Roman" w:hAnsi="Times New Roman" w:cs="Times New Roman"/>
                      <w:color w:val="000000"/>
                      <w:sz w:val="21"/>
                      <w:szCs w:val="21"/>
                      <w:lang w:val="en-US" w:eastAsia="zh-CN"/>
                    </w:rPr>
                    <w:t>m</w:t>
                  </w:r>
                </w:p>
              </w:tc>
              <w:tc>
                <w:tcPr>
                  <w:tcW w:w="1483" w:type="pct"/>
                  <w:vMerge w:val="continue"/>
                  <w:tcBorders>
                    <w:tl2br w:val="nil"/>
                    <w:tr2bl w:val="nil"/>
                  </w:tcBorders>
                  <w:vAlign w:val="center"/>
                </w:tcPr>
                <w:p w14:paraId="008B5C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p>
              </w:tc>
            </w:tr>
            <w:tr w14:paraId="6B78D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60DAF4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eastAsia="zh-CN"/>
                    </w:rPr>
                  </w:pPr>
                </w:p>
              </w:tc>
              <w:tc>
                <w:tcPr>
                  <w:tcW w:w="889" w:type="pct"/>
                  <w:tcBorders>
                    <w:tl2br w:val="nil"/>
                    <w:tr2bl w:val="nil"/>
                  </w:tcBorders>
                  <w:vAlign w:val="center"/>
                </w:tcPr>
                <w:p w14:paraId="22EA0B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宇星嘉园</w:t>
                  </w:r>
                </w:p>
              </w:tc>
              <w:tc>
                <w:tcPr>
                  <w:tcW w:w="912" w:type="pct"/>
                  <w:tcBorders>
                    <w:tl2br w:val="nil"/>
                    <w:tr2bl w:val="nil"/>
                  </w:tcBorders>
                  <w:vAlign w:val="center"/>
                </w:tcPr>
                <w:p w14:paraId="61BA1B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w:t>
                  </w:r>
                  <w:r>
                    <w:rPr>
                      <w:rFonts w:hint="eastAsia" w:ascii="Times New Roman" w:hAnsi="Times New Roman" w:cs="Times New Roman"/>
                      <w:color w:val="000000"/>
                      <w:sz w:val="21"/>
                      <w:szCs w:val="21"/>
                      <w:lang w:val="en-US" w:eastAsia="zh-CN"/>
                    </w:rPr>
                    <w:t>E</w:t>
                  </w:r>
                </w:p>
              </w:tc>
              <w:tc>
                <w:tcPr>
                  <w:tcW w:w="903" w:type="pct"/>
                  <w:tcBorders>
                    <w:tl2br w:val="nil"/>
                    <w:tr2bl w:val="nil"/>
                  </w:tcBorders>
                  <w:vAlign w:val="center"/>
                </w:tcPr>
                <w:p w14:paraId="5CAE7D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382</w:t>
                  </w:r>
                  <w:r>
                    <w:rPr>
                      <w:rFonts w:hint="default" w:ascii="Times New Roman" w:hAnsi="Times New Roman" w:cs="Times New Roman"/>
                      <w:color w:val="000000"/>
                      <w:sz w:val="21"/>
                      <w:szCs w:val="21"/>
                      <w:lang w:val="en-US" w:eastAsia="zh-CN"/>
                    </w:rPr>
                    <w:t>m</w:t>
                  </w:r>
                </w:p>
              </w:tc>
              <w:tc>
                <w:tcPr>
                  <w:tcW w:w="1483" w:type="pct"/>
                  <w:vMerge w:val="continue"/>
                  <w:tcBorders>
                    <w:tl2br w:val="nil"/>
                    <w:tr2bl w:val="nil"/>
                  </w:tcBorders>
                  <w:vAlign w:val="center"/>
                </w:tcPr>
                <w:p w14:paraId="6A2E50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p>
              </w:tc>
            </w:tr>
            <w:tr w14:paraId="06ED4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74F5D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eastAsia="zh-CN"/>
                    </w:rPr>
                  </w:pPr>
                </w:p>
              </w:tc>
              <w:tc>
                <w:tcPr>
                  <w:tcW w:w="889" w:type="pct"/>
                  <w:tcBorders>
                    <w:tl2br w:val="nil"/>
                    <w:tr2bl w:val="nil"/>
                  </w:tcBorders>
                  <w:vAlign w:val="center"/>
                </w:tcPr>
                <w:p w14:paraId="3541CD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新城嘉园</w:t>
                  </w:r>
                </w:p>
              </w:tc>
              <w:tc>
                <w:tcPr>
                  <w:tcW w:w="912" w:type="pct"/>
                  <w:tcBorders>
                    <w:tl2br w:val="nil"/>
                    <w:tr2bl w:val="nil"/>
                  </w:tcBorders>
                  <w:vAlign w:val="center"/>
                </w:tcPr>
                <w:p w14:paraId="25BCB2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w:t>
                  </w:r>
                  <w:r>
                    <w:rPr>
                      <w:rFonts w:hint="eastAsia" w:ascii="Times New Roman" w:hAnsi="Times New Roman" w:cs="Times New Roman"/>
                      <w:color w:val="000000"/>
                      <w:sz w:val="21"/>
                      <w:szCs w:val="21"/>
                      <w:lang w:val="en-US" w:eastAsia="zh-CN"/>
                    </w:rPr>
                    <w:t>E</w:t>
                  </w:r>
                </w:p>
              </w:tc>
              <w:tc>
                <w:tcPr>
                  <w:tcW w:w="903" w:type="pct"/>
                  <w:tcBorders>
                    <w:tl2br w:val="nil"/>
                    <w:tr2bl w:val="nil"/>
                  </w:tcBorders>
                  <w:vAlign w:val="center"/>
                </w:tcPr>
                <w:p w14:paraId="32EB3E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483</w:t>
                  </w:r>
                  <w:r>
                    <w:rPr>
                      <w:rFonts w:hint="default" w:ascii="Times New Roman" w:hAnsi="Times New Roman" w:cs="Times New Roman"/>
                      <w:color w:val="000000"/>
                      <w:sz w:val="21"/>
                      <w:szCs w:val="21"/>
                      <w:lang w:val="en-US" w:eastAsia="zh-CN"/>
                    </w:rPr>
                    <w:t>m</w:t>
                  </w:r>
                </w:p>
              </w:tc>
              <w:tc>
                <w:tcPr>
                  <w:tcW w:w="1483" w:type="pct"/>
                  <w:vMerge w:val="continue"/>
                  <w:tcBorders>
                    <w:tl2br w:val="nil"/>
                    <w:tr2bl w:val="nil"/>
                  </w:tcBorders>
                  <w:vAlign w:val="center"/>
                </w:tcPr>
                <w:p w14:paraId="41745E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p>
              </w:tc>
            </w:tr>
            <w:tr w14:paraId="3A319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4721B7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eastAsia="zh-CN"/>
                    </w:rPr>
                  </w:pPr>
                </w:p>
              </w:tc>
              <w:tc>
                <w:tcPr>
                  <w:tcW w:w="889" w:type="pct"/>
                  <w:tcBorders>
                    <w:tl2br w:val="nil"/>
                    <w:tr2bl w:val="nil"/>
                  </w:tcBorders>
                  <w:vAlign w:val="center"/>
                </w:tcPr>
                <w:p w14:paraId="1AACC1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喻庄</w:t>
                  </w:r>
                </w:p>
              </w:tc>
              <w:tc>
                <w:tcPr>
                  <w:tcW w:w="912" w:type="pct"/>
                  <w:tcBorders>
                    <w:tl2br w:val="nil"/>
                    <w:tr2bl w:val="nil"/>
                  </w:tcBorders>
                  <w:vAlign w:val="center"/>
                </w:tcPr>
                <w:p w14:paraId="552C74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sz w:val="21"/>
                      <w:szCs w:val="21"/>
                      <w:lang w:val="en-US" w:eastAsia="zh-CN"/>
                    </w:rPr>
                  </w:pPr>
                  <w:r>
                    <w:rPr>
                      <w:rFonts w:hint="default" w:ascii="Times New Roman" w:hAnsi="Times New Roman" w:cs="Times New Roman"/>
                      <w:color w:val="000000"/>
                      <w:sz w:val="21"/>
                      <w:szCs w:val="21"/>
                    </w:rPr>
                    <w:t>S</w:t>
                  </w:r>
                  <w:r>
                    <w:rPr>
                      <w:rFonts w:hint="eastAsia" w:ascii="Times New Roman" w:hAnsi="Times New Roman" w:cs="Times New Roman"/>
                      <w:color w:val="000000"/>
                      <w:sz w:val="21"/>
                      <w:szCs w:val="21"/>
                      <w:lang w:val="en-US" w:eastAsia="zh-CN"/>
                    </w:rPr>
                    <w:t>E</w:t>
                  </w:r>
                </w:p>
              </w:tc>
              <w:tc>
                <w:tcPr>
                  <w:tcW w:w="903" w:type="pct"/>
                  <w:tcBorders>
                    <w:tl2br w:val="nil"/>
                    <w:tr2bl w:val="nil"/>
                  </w:tcBorders>
                  <w:vAlign w:val="center"/>
                </w:tcPr>
                <w:p w14:paraId="60028D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000000"/>
                      <w:sz w:val="21"/>
                      <w:szCs w:val="21"/>
                      <w:lang w:val="en-US" w:eastAsia="zh-CN"/>
                    </w:rPr>
                  </w:pPr>
                  <w:r>
                    <w:rPr>
                      <w:rFonts w:hint="eastAsia" w:ascii="Times New Roman" w:hAnsi="Times New Roman" w:cs="Times New Roman"/>
                      <w:color w:val="000000"/>
                      <w:sz w:val="21"/>
                      <w:szCs w:val="21"/>
                      <w:lang w:val="en-US" w:eastAsia="zh-CN"/>
                    </w:rPr>
                    <w:t>417</w:t>
                  </w:r>
                  <w:r>
                    <w:rPr>
                      <w:rFonts w:hint="default" w:ascii="Times New Roman" w:hAnsi="Times New Roman" w:cs="Times New Roman"/>
                      <w:color w:val="000000"/>
                      <w:sz w:val="21"/>
                      <w:szCs w:val="21"/>
                      <w:lang w:val="en-US" w:eastAsia="zh-CN"/>
                    </w:rPr>
                    <w:t>m</w:t>
                  </w:r>
                </w:p>
              </w:tc>
              <w:tc>
                <w:tcPr>
                  <w:tcW w:w="1483" w:type="pct"/>
                  <w:vMerge w:val="continue"/>
                  <w:tcBorders>
                    <w:tl2br w:val="nil"/>
                    <w:tr2bl w:val="nil"/>
                  </w:tcBorders>
                  <w:vAlign w:val="center"/>
                </w:tcPr>
                <w:p w14:paraId="25142D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p>
              </w:tc>
            </w:tr>
            <w:tr w14:paraId="43A72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restart"/>
                  <w:tcBorders>
                    <w:tl2br w:val="nil"/>
                    <w:tr2bl w:val="nil"/>
                  </w:tcBorders>
                  <w:vAlign w:val="center"/>
                </w:tcPr>
                <w:p w14:paraId="3839DD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eastAsia="zh-CN"/>
                    </w:rPr>
                  </w:pPr>
                  <w:r>
                    <w:rPr>
                      <w:rFonts w:hint="default" w:ascii="Times New Roman" w:hAnsi="Times New Roman" w:cs="Times New Roman"/>
                      <w:color w:val="000000"/>
                      <w:sz w:val="21"/>
                      <w:szCs w:val="21"/>
                      <w:u w:val="none"/>
                      <w:lang w:eastAsia="zh-CN"/>
                    </w:rPr>
                    <w:t>地表水环境</w:t>
                  </w:r>
                </w:p>
              </w:tc>
              <w:tc>
                <w:tcPr>
                  <w:tcW w:w="889" w:type="pct"/>
                  <w:tcBorders>
                    <w:tl2br w:val="nil"/>
                    <w:tr2bl w:val="nil"/>
                  </w:tcBorders>
                  <w:vAlign w:val="center"/>
                </w:tcPr>
                <w:p w14:paraId="1492FB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val="en-US" w:eastAsia="zh-CN"/>
                    </w:rPr>
                  </w:pPr>
                  <w:r>
                    <w:rPr>
                      <w:rFonts w:hint="default" w:ascii="Times New Roman" w:hAnsi="Times New Roman" w:cs="Times New Roman"/>
                      <w:color w:val="000000"/>
                      <w:sz w:val="21"/>
                      <w:szCs w:val="21"/>
                      <w:u w:val="none"/>
                      <w:lang w:val="en-US" w:eastAsia="zh-CN"/>
                    </w:rPr>
                    <w:t>九曲河</w:t>
                  </w:r>
                </w:p>
              </w:tc>
              <w:tc>
                <w:tcPr>
                  <w:tcW w:w="912" w:type="pct"/>
                  <w:tcBorders>
                    <w:tl2br w:val="nil"/>
                    <w:tr2bl w:val="nil"/>
                  </w:tcBorders>
                  <w:vAlign w:val="center"/>
                </w:tcPr>
                <w:p w14:paraId="688BC0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val="en-US" w:eastAsia="zh-CN"/>
                    </w:rPr>
                  </w:pPr>
                  <w:r>
                    <w:rPr>
                      <w:rFonts w:hint="default" w:ascii="Times New Roman" w:hAnsi="Times New Roman" w:cs="Times New Roman"/>
                      <w:color w:val="000000"/>
                      <w:sz w:val="21"/>
                      <w:szCs w:val="21"/>
                      <w:lang w:val="en-US" w:eastAsia="zh-CN"/>
                    </w:rPr>
                    <w:t>NW</w:t>
                  </w:r>
                </w:p>
              </w:tc>
              <w:tc>
                <w:tcPr>
                  <w:tcW w:w="903" w:type="pct"/>
                  <w:tcBorders>
                    <w:tl2br w:val="nil"/>
                    <w:tr2bl w:val="nil"/>
                  </w:tcBorders>
                  <w:vAlign w:val="center"/>
                </w:tcPr>
                <w:p w14:paraId="32AE22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1.83km</w:t>
                  </w:r>
                </w:p>
              </w:tc>
              <w:tc>
                <w:tcPr>
                  <w:tcW w:w="1483" w:type="pct"/>
                  <w:vMerge w:val="restart"/>
                  <w:tcBorders>
                    <w:tl2br w:val="nil"/>
                    <w:tr2bl w:val="nil"/>
                  </w:tcBorders>
                  <w:vAlign w:val="center"/>
                </w:tcPr>
                <w:p w14:paraId="78E847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rPr>
                  </w:pPr>
                  <w:r>
                    <w:rPr>
                      <w:rFonts w:hint="default" w:ascii="Times New Roman" w:hAnsi="Times New Roman" w:cs="Times New Roman"/>
                      <w:color w:val="000000"/>
                      <w:sz w:val="21"/>
                      <w:szCs w:val="21"/>
                      <w:u w:val="none"/>
                    </w:rPr>
                    <w:t>《地表水环境质量标准》（GB3838-2002）Ⅲ类</w:t>
                  </w:r>
                </w:p>
              </w:tc>
            </w:tr>
            <w:tr w14:paraId="4784D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vMerge w:val="continue"/>
                  <w:tcBorders>
                    <w:tl2br w:val="nil"/>
                    <w:tr2bl w:val="nil"/>
                  </w:tcBorders>
                  <w:vAlign w:val="center"/>
                </w:tcPr>
                <w:p w14:paraId="5694B0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eastAsia="zh-CN"/>
                    </w:rPr>
                  </w:pPr>
                </w:p>
              </w:tc>
              <w:tc>
                <w:tcPr>
                  <w:tcW w:w="889" w:type="pct"/>
                  <w:tcBorders>
                    <w:tl2br w:val="nil"/>
                    <w:tr2bl w:val="nil"/>
                  </w:tcBorders>
                  <w:vAlign w:val="center"/>
                </w:tcPr>
                <w:p w14:paraId="3E5231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西三里河</w:t>
                  </w:r>
                </w:p>
              </w:tc>
              <w:tc>
                <w:tcPr>
                  <w:tcW w:w="912" w:type="pct"/>
                  <w:tcBorders>
                    <w:tl2br w:val="nil"/>
                    <w:tr2bl w:val="nil"/>
                  </w:tcBorders>
                  <w:vAlign w:val="center"/>
                </w:tcPr>
                <w:p w14:paraId="1AAE56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000000"/>
                      <w:sz w:val="21"/>
                      <w:szCs w:val="21"/>
                      <w:u w:val="none"/>
                      <w:lang w:val="en-US" w:eastAsia="zh-CN"/>
                    </w:rPr>
                  </w:pPr>
                  <w:r>
                    <w:rPr>
                      <w:rFonts w:hint="eastAsia" w:ascii="Times New Roman" w:hAnsi="Times New Roman" w:cs="Times New Roman"/>
                      <w:color w:val="000000"/>
                      <w:sz w:val="21"/>
                      <w:szCs w:val="21"/>
                      <w:lang w:val="en-US" w:eastAsia="zh-CN"/>
                    </w:rPr>
                    <w:t>E</w:t>
                  </w:r>
                </w:p>
              </w:tc>
              <w:tc>
                <w:tcPr>
                  <w:tcW w:w="903" w:type="pct"/>
                  <w:tcBorders>
                    <w:tl2br w:val="nil"/>
                    <w:tr2bl w:val="nil"/>
                  </w:tcBorders>
                  <w:vAlign w:val="center"/>
                </w:tcPr>
                <w:p w14:paraId="160E2F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lang w:val="en-US" w:eastAsia="zh-CN"/>
                    </w:rPr>
                  </w:pPr>
                  <w:r>
                    <w:rPr>
                      <w:rFonts w:hint="eastAsia" w:ascii="Times New Roman" w:hAnsi="Times New Roman" w:cs="Times New Roman"/>
                      <w:color w:val="000000"/>
                      <w:sz w:val="21"/>
                      <w:szCs w:val="21"/>
                      <w:u w:val="none"/>
                      <w:lang w:val="en-US" w:eastAsia="zh-CN"/>
                    </w:rPr>
                    <w:t>1.4km</w:t>
                  </w:r>
                </w:p>
              </w:tc>
              <w:tc>
                <w:tcPr>
                  <w:tcW w:w="1483" w:type="pct"/>
                  <w:vMerge w:val="continue"/>
                  <w:tcBorders>
                    <w:tl2br w:val="nil"/>
                    <w:tr2bl w:val="nil"/>
                  </w:tcBorders>
                  <w:vAlign w:val="center"/>
                </w:tcPr>
                <w:p w14:paraId="092EA9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u w:val="none"/>
                    </w:rPr>
                  </w:pPr>
                </w:p>
              </w:tc>
            </w:tr>
            <w:tr w14:paraId="5E8E8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tcBorders>
                    <w:tl2br w:val="nil"/>
                    <w:tr2bl w:val="nil"/>
                  </w:tcBorders>
                  <w:vAlign w:val="center"/>
                </w:tcPr>
                <w:p w14:paraId="5DDA98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地下水环境</w:t>
                  </w:r>
                </w:p>
              </w:tc>
              <w:tc>
                <w:tcPr>
                  <w:tcW w:w="4187" w:type="pct"/>
                  <w:gridSpan w:val="4"/>
                  <w:tcBorders>
                    <w:tl2br w:val="nil"/>
                    <w:tr2bl w:val="nil"/>
                  </w:tcBorders>
                  <w:vAlign w:val="center"/>
                </w:tcPr>
                <w:p w14:paraId="63F737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厂界外500m范围内无地下水集中式饮用水水源和热水、矿泉水、温泉等特殊地下水资源</w:t>
                  </w:r>
                </w:p>
              </w:tc>
            </w:tr>
            <w:tr w14:paraId="1D712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tcBorders>
                    <w:tl2br w:val="nil"/>
                    <w:tr2bl w:val="nil"/>
                  </w:tcBorders>
                  <w:vAlign w:val="center"/>
                </w:tcPr>
                <w:p w14:paraId="474A86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声环境</w:t>
                  </w:r>
                </w:p>
              </w:tc>
              <w:tc>
                <w:tcPr>
                  <w:tcW w:w="4187" w:type="pct"/>
                  <w:gridSpan w:val="4"/>
                  <w:tcBorders>
                    <w:tl2br w:val="nil"/>
                    <w:tr2bl w:val="nil"/>
                  </w:tcBorders>
                  <w:vAlign w:val="center"/>
                </w:tcPr>
                <w:p w14:paraId="2A3B84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厂界外50m范围内无声环境保护目标</w:t>
                  </w:r>
                </w:p>
              </w:tc>
            </w:tr>
            <w:tr w14:paraId="463E4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12" w:type="pct"/>
                  <w:tcBorders>
                    <w:tl2br w:val="nil"/>
                    <w:tr2bl w:val="nil"/>
                  </w:tcBorders>
                  <w:vAlign w:val="center"/>
                </w:tcPr>
                <w:p w14:paraId="2CE86F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eastAsia="宋体" w:cs="Times New Roman"/>
                      <w:color w:val="auto"/>
                      <w:sz w:val="21"/>
                      <w:szCs w:val="21"/>
                      <w:highlight w:val="none"/>
                      <w:u w:val="none" w:color="auto"/>
                    </w:rPr>
                    <w:t>生态环境</w:t>
                  </w:r>
                </w:p>
              </w:tc>
              <w:tc>
                <w:tcPr>
                  <w:tcW w:w="4187" w:type="pct"/>
                  <w:gridSpan w:val="4"/>
                  <w:tcBorders>
                    <w:tl2br w:val="nil"/>
                    <w:tr2bl w:val="nil"/>
                  </w:tcBorders>
                  <w:vAlign w:val="center"/>
                </w:tcPr>
                <w:p w14:paraId="26EE3F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eastAsia="宋体" w:cs="Times New Roman"/>
                      <w:color w:val="auto"/>
                      <w:sz w:val="21"/>
                      <w:szCs w:val="21"/>
                      <w:highlight w:val="none"/>
                      <w:u w:val="none" w:color="auto"/>
                      <w:lang w:val="en-GB" w:bidi="ar"/>
                    </w:rPr>
                    <w:t>项目用地范围内无生态环境保护目标</w:t>
                  </w:r>
                </w:p>
              </w:tc>
            </w:tr>
          </w:tbl>
          <w:p w14:paraId="5298A7ED">
            <w:pPr>
              <w:spacing w:line="360" w:lineRule="auto"/>
              <w:ind w:left="0" w:leftChars="0" w:firstLine="0" w:firstLineChars="0"/>
              <w:rPr>
                <w:rFonts w:hint="default" w:eastAsia="宋体" w:cs="Times New Roman"/>
                <w:kern w:val="0"/>
                <w:szCs w:val="24"/>
                <w:lang w:val="en-US"/>
              </w:rPr>
            </w:pPr>
            <w:r>
              <w:rPr>
                <w:rFonts w:hint="eastAsia" w:eastAsia="宋体" w:cs="Times New Roman"/>
                <w:kern w:val="0"/>
                <w:szCs w:val="24"/>
                <w:lang w:val="en-US" w:eastAsia="zh-CN"/>
              </w:rPr>
              <w:t xml:space="preserve"> </w:t>
            </w:r>
          </w:p>
        </w:tc>
      </w:tr>
      <w:tr w14:paraId="7D2939A5">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1133C2C2">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污染物排放控制标准</w:t>
            </w:r>
          </w:p>
        </w:tc>
        <w:tc>
          <w:tcPr>
            <w:tcW w:w="4754" w:type="pct"/>
            <w:vAlign w:val="top"/>
          </w:tcPr>
          <w:p w14:paraId="5DEBA85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hAnsi="黑体" w:eastAsia="黑体" w:cs="Times New Roman"/>
                <w:u w:val="none"/>
                <w:lang w:val="en-US" w:eastAsia="zh-CN"/>
              </w:rPr>
            </w:pPr>
            <w:r>
              <w:rPr>
                <w:rFonts w:hint="eastAsia" w:hAnsi="黑体" w:eastAsia="黑体" w:cs="Times New Roman"/>
                <w:u w:val="none"/>
              </w:rPr>
              <w:t>表3-</w:t>
            </w:r>
            <w:r>
              <w:rPr>
                <w:rFonts w:hint="eastAsia" w:hAnsi="黑体" w:eastAsia="黑体" w:cs="Times New Roman"/>
                <w:u w:val="none"/>
                <w:lang w:val="en-US" w:eastAsia="zh-CN"/>
              </w:rPr>
              <w:t>4</w:t>
            </w:r>
            <w:r>
              <w:rPr>
                <w:rFonts w:hint="eastAsia" w:hAnsi="黑体" w:eastAsia="黑体" w:cs="Times New Roman"/>
                <w:u w:val="none"/>
              </w:rPr>
              <w:t xml:space="preserve">  </w:t>
            </w:r>
            <w:r>
              <w:rPr>
                <w:rFonts w:hint="eastAsia" w:hAnsi="黑体" w:eastAsia="黑体" w:cs="Times New Roman"/>
                <w:u w:val="none"/>
                <w:lang w:val="en-US" w:eastAsia="zh-CN"/>
              </w:rPr>
              <w:t>项目</w:t>
            </w:r>
            <w:r>
              <w:rPr>
                <w:rFonts w:hint="eastAsia" w:hAnsi="黑体" w:eastAsia="黑体" w:cs="Times New Roman"/>
                <w:u w:val="none"/>
              </w:rPr>
              <w:t>污染物排放</w:t>
            </w:r>
            <w:r>
              <w:rPr>
                <w:rFonts w:hint="eastAsia" w:hAnsi="黑体" w:eastAsia="黑体" w:cs="Times New Roman"/>
                <w:u w:val="none"/>
                <w:lang w:eastAsia="zh-CN"/>
              </w:rPr>
              <w:t>控制</w:t>
            </w:r>
            <w:r>
              <w:rPr>
                <w:rFonts w:hint="eastAsia" w:hAnsi="黑体" w:eastAsia="黑体" w:cs="Times New Roman"/>
                <w:u w:val="none"/>
              </w:rPr>
              <w:t>标准</w:t>
            </w:r>
            <w:r>
              <w:rPr>
                <w:rFonts w:hint="eastAsia" w:hAnsi="黑体" w:eastAsia="黑体" w:cs="Times New Roman"/>
                <w:u w:val="none"/>
                <w:lang w:val="en-US" w:eastAsia="zh-CN"/>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1221"/>
              <w:gridCol w:w="538"/>
              <w:gridCol w:w="1097"/>
              <w:gridCol w:w="1262"/>
              <w:gridCol w:w="911"/>
              <w:gridCol w:w="3044"/>
            </w:tblGrid>
            <w:tr w14:paraId="770BF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noWrap w:val="0"/>
                  <w:vAlign w:val="center"/>
                </w:tcPr>
                <w:p w14:paraId="04391C38">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类别</w:t>
                  </w:r>
                </w:p>
              </w:tc>
              <w:tc>
                <w:tcPr>
                  <w:tcW w:w="1668" w:type="pct"/>
                  <w:gridSpan w:val="3"/>
                  <w:noWrap w:val="0"/>
                  <w:vAlign w:val="center"/>
                </w:tcPr>
                <w:p w14:paraId="366A26FF">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执行标准</w:t>
                  </w:r>
                </w:p>
              </w:tc>
              <w:tc>
                <w:tcPr>
                  <w:tcW w:w="3046" w:type="pct"/>
                  <w:gridSpan w:val="3"/>
                  <w:noWrap w:val="0"/>
                  <w:vAlign w:val="center"/>
                </w:tcPr>
                <w:p w14:paraId="092DEFED">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标准值</w:t>
                  </w:r>
                </w:p>
              </w:tc>
            </w:tr>
            <w:tr w14:paraId="41CF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restart"/>
                  <w:noWrap w:val="0"/>
                  <w:vAlign w:val="center"/>
                </w:tcPr>
                <w:p w14:paraId="711ADB25">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auto"/>
                      <w:sz w:val="21"/>
                      <w:szCs w:val="21"/>
                      <w:highlight w:val="none"/>
                      <w:u w:val="none"/>
                    </w:rPr>
                  </w:pPr>
                  <w:r>
                    <w:rPr>
                      <w:rFonts w:hint="eastAsia"/>
                      <w:color w:val="auto"/>
                      <w:sz w:val="21"/>
                      <w:szCs w:val="21"/>
                      <w:highlight w:val="none"/>
                      <w:u w:val="none"/>
                      <w:lang w:val="en-US" w:eastAsia="zh-CN"/>
                    </w:rPr>
                    <w:t>废气</w:t>
                  </w:r>
                </w:p>
              </w:tc>
              <w:tc>
                <w:tcPr>
                  <w:tcW w:w="1668" w:type="pct"/>
                  <w:gridSpan w:val="3"/>
                  <w:vMerge w:val="restart"/>
                  <w:noWrap w:val="0"/>
                  <w:vAlign w:val="center"/>
                </w:tcPr>
                <w:p w14:paraId="50567C59">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《大气污染物综合排放标准》（GB16297-1996）表2标准</w:t>
                  </w:r>
                </w:p>
              </w:tc>
              <w:tc>
                <w:tcPr>
                  <w:tcW w:w="737" w:type="pct"/>
                  <w:vMerge w:val="restart"/>
                  <w:noWrap w:val="0"/>
                  <w:vAlign w:val="center"/>
                </w:tcPr>
                <w:p w14:paraId="784EBDC7">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rFonts w:hint="eastAsia"/>
                      <w:color w:val="auto"/>
                      <w:sz w:val="21"/>
                      <w:szCs w:val="21"/>
                      <w:highlight w:val="none"/>
                      <w:u w:val="none"/>
                    </w:rPr>
                    <w:t>甲醛</w:t>
                  </w:r>
                </w:p>
              </w:tc>
              <w:tc>
                <w:tcPr>
                  <w:tcW w:w="2308" w:type="pct"/>
                  <w:gridSpan w:val="2"/>
                  <w:noWrap w:val="0"/>
                  <w:vAlign w:val="center"/>
                </w:tcPr>
                <w:p w14:paraId="04CEA005">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最高允许排放浓度</w:t>
                  </w:r>
                  <w:r>
                    <w:rPr>
                      <w:rFonts w:hint="eastAsia"/>
                      <w:color w:val="auto"/>
                      <w:sz w:val="21"/>
                      <w:szCs w:val="21"/>
                      <w:highlight w:val="none"/>
                      <w:u w:val="none"/>
                    </w:rPr>
                    <w:t>25</w:t>
                  </w:r>
                  <w:r>
                    <w:rPr>
                      <w:color w:val="auto"/>
                      <w:sz w:val="21"/>
                      <w:szCs w:val="21"/>
                      <w:highlight w:val="none"/>
                      <w:u w:val="none"/>
                    </w:rPr>
                    <w:t>mg/m</w:t>
                  </w:r>
                  <w:r>
                    <w:rPr>
                      <w:color w:val="auto"/>
                      <w:sz w:val="21"/>
                      <w:szCs w:val="21"/>
                      <w:highlight w:val="none"/>
                      <w:u w:val="none"/>
                      <w:vertAlign w:val="superscript"/>
                    </w:rPr>
                    <w:t>3</w:t>
                  </w:r>
                  <w:r>
                    <w:rPr>
                      <w:color w:val="auto"/>
                      <w:sz w:val="21"/>
                      <w:szCs w:val="21"/>
                      <w:highlight w:val="none"/>
                      <w:u w:val="none"/>
                    </w:rPr>
                    <w:t>，排气筒高度15m时，最高允许排放速率</w:t>
                  </w:r>
                  <w:r>
                    <w:rPr>
                      <w:rFonts w:hint="eastAsia"/>
                      <w:color w:val="auto"/>
                      <w:sz w:val="21"/>
                      <w:szCs w:val="21"/>
                      <w:highlight w:val="none"/>
                      <w:u w:val="none"/>
                    </w:rPr>
                    <w:t>0.26</w:t>
                  </w:r>
                  <w:r>
                    <w:rPr>
                      <w:color w:val="auto"/>
                      <w:sz w:val="21"/>
                      <w:szCs w:val="21"/>
                      <w:highlight w:val="none"/>
                      <w:u w:val="none"/>
                    </w:rPr>
                    <w:t>kg/h</w:t>
                  </w:r>
                </w:p>
              </w:tc>
            </w:tr>
            <w:tr w14:paraId="1CB9A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1F3A844E">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7305844C">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37" w:type="pct"/>
                  <w:vMerge w:val="continue"/>
                  <w:noWrap w:val="0"/>
                  <w:vAlign w:val="center"/>
                </w:tcPr>
                <w:p w14:paraId="6B378033">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2308" w:type="pct"/>
                  <w:gridSpan w:val="2"/>
                  <w:noWrap w:val="0"/>
                  <w:vAlign w:val="center"/>
                </w:tcPr>
                <w:p w14:paraId="464CDADE">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周界外浓度最高点</w:t>
                  </w:r>
                  <w:r>
                    <w:rPr>
                      <w:rFonts w:hint="eastAsia"/>
                      <w:color w:val="auto"/>
                      <w:sz w:val="21"/>
                      <w:szCs w:val="21"/>
                      <w:highlight w:val="none"/>
                      <w:u w:val="none"/>
                    </w:rPr>
                    <w:t>0.2</w:t>
                  </w:r>
                  <w:r>
                    <w:rPr>
                      <w:color w:val="auto"/>
                      <w:sz w:val="21"/>
                      <w:szCs w:val="21"/>
                      <w:highlight w:val="none"/>
                      <w:u w:val="none"/>
                    </w:rPr>
                    <w:t>mg/m</w:t>
                  </w:r>
                  <w:r>
                    <w:rPr>
                      <w:color w:val="auto"/>
                      <w:sz w:val="21"/>
                      <w:szCs w:val="21"/>
                      <w:highlight w:val="none"/>
                      <w:u w:val="none"/>
                      <w:vertAlign w:val="superscript"/>
                    </w:rPr>
                    <w:t>3</w:t>
                  </w:r>
                </w:p>
              </w:tc>
            </w:tr>
            <w:tr w14:paraId="18D95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2A64D87E">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14F497F4">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37" w:type="pct"/>
                  <w:vMerge w:val="restart"/>
                  <w:noWrap w:val="0"/>
                  <w:vAlign w:val="center"/>
                </w:tcPr>
                <w:p w14:paraId="3B9DFF05">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非甲烷总烃</w:t>
                  </w:r>
                </w:p>
              </w:tc>
              <w:tc>
                <w:tcPr>
                  <w:tcW w:w="2308" w:type="pct"/>
                  <w:gridSpan w:val="2"/>
                  <w:noWrap w:val="0"/>
                  <w:vAlign w:val="center"/>
                </w:tcPr>
                <w:p w14:paraId="08B9591B">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最高允许排放浓度</w:t>
                  </w:r>
                  <w:r>
                    <w:rPr>
                      <w:rFonts w:hint="eastAsia"/>
                      <w:color w:val="auto"/>
                      <w:sz w:val="21"/>
                      <w:szCs w:val="21"/>
                      <w:highlight w:val="none"/>
                      <w:u w:val="none"/>
                    </w:rPr>
                    <w:t>1</w:t>
                  </w:r>
                  <w:r>
                    <w:rPr>
                      <w:rFonts w:hint="eastAsia"/>
                      <w:color w:val="auto"/>
                      <w:sz w:val="21"/>
                      <w:szCs w:val="21"/>
                      <w:highlight w:val="none"/>
                      <w:u w:val="none"/>
                      <w:lang w:val="en-US" w:eastAsia="zh-CN"/>
                    </w:rPr>
                    <w:t>2</w:t>
                  </w:r>
                  <w:r>
                    <w:rPr>
                      <w:rFonts w:hint="eastAsia"/>
                      <w:color w:val="auto"/>
                      <w:sz w:val="21"/>
                      <w:szCs w:val="21"/>
                      <w:highlight w:val="none"/>
                      <w:u w:val="none"/>
                    </w:rPr>
                    <w:t>0</w:t>
                  </w:r>
                  <w:r>
                    <w:rPr>
                      <w:color w:val="auto"/>
                      <w:sz w:val="21"/>
                      <w:szCs w:val="21"/>
                      <w:highlight w:val="none"/>
                      <w:u w:val="none"/>
                    </w:rPr>
                    <w:t>mg/m</w:t>
                  </w:r>
                  <w:r>
                    <w:rPr>
                      <w:color w:val="auto"/>
                      <w:sz w:val="21"/>
                      <w:szCs w:val="21"/>
                      <w:highlight w:val="none"/>
                      <w:u w:val="none"/>
                      <w:vertAlign w:val="superscript"/>
                    </w:rPr>
                    <w:t>3</w:t>
                  </w:r>
                  <w:r>
                    <w:rPr>
                      <w:color w:val="auto"/>
                      <w:sz w:val="21"/>
                      <w:szCs w:val="21"/>
                      <w:highlight w:val="none"/>
                      <w:u w:val="none"/>
                    </w:rPr>
                    <w:t>，排气筒高度15m时，最高允许排放速率</w:t>
                  </w:r>
                  <w:r>
                    <w:rPr>
                      <w:rFonts w:hint="eastAsia"/>
                      <w:color w:val="auto"/>
                      <w:sz w:val="21"/>
                      <w:szCs w:val="21"/>
                      <w:highlight w:val="none"/>
                      <w:u w:val="none"/>
                      <w:lang w:val="en-US" w:eastAsia="zh-CN"/>
                    </w:rPr>
                    <w:t>10</w:t>
                  </w:r>
                  <w:r>
                    <w:rPr>
                      <w:color w:val="auto"/>
                      <w:sz w:val="21"/>
                      <w:szCs w:val="21"/>
                      <w:highlight w:val="none"/>
                      <w:u w:val="none"/>
                    </w:rPr>
                    <w:t>kg/h</w:t>
                  </w:r>
                </w:p>
              </w:tc>
            </w:tr>
            <w:tr w14:paraId="49791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3F8EEE55">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2D5E4B79">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37" w:type="pct"/>
                  <w:vMerge w:val="continue"/>
                  <w:noWrap w:val="0"/>
                  <w:vAlign w:val="center"/>
                </w:tcPr>
                <w:p w14:paraId="59F4A775">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2308" w:type="pct"/>
                  <w:gridSpan w:val="2"/>
                  <w:noWrap w:val="0"/>
                  <w:vAlign w:val="center"/>
                </w:tcPr>
                <w:p w14:paraId="589C9D6B">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周界外浓度最高点</w:t>
                  </w:r>
                  <w:r>
                    <w:rPr>
                      <w:rFonts w:hint="eastAsia"/>
                      <w:color w:val="auto"/>
                      <w:sz w:val="21"/>
                      <w:szCs w:val="21"/>
                      <w:highlight w:val="none"/>
                      <w:u w:val="none"/>
                      <w:lang w:val="en-US" w:eastAsia="zh-CN"/>
                    </w:rPr>
                    <w:t>4.0</w:t>
                  </w:r>
                  <w:r>
                    <w:rPr>
                      <w:color w:val="auto"/>
                      <w:sz w:val="21"/>
                      <w:szCs w:val="21"/>
                      <w:highlight w:val="none"/>
                      <w:u w:val="none"/>
                    </w:rPr>
                    <w:t>mg/m</w:t>
                  </w:r>
                  <w:r>
                    <w:rPr>
                      <w:color w:val="auto"/>
                      <w:sz w:val="21"/>
                      <w:szCs w:val="21"/>
                      <w:highlight w:val="none"/>
                      <w:u w:val="none"/>
                      <w:vertAlign w:val="superscript"/>
                    </w:rPr>
                    <w:t>3</w:t>
                  </w:r>
                </w:p>
              </w:tc>
            </w:tr>
            <w:tr w14:paraId="0961A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6163820">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restart"/>
                  <w:noWrap w:val="0"/>
                  <w:vAlign w:val="center"/>
                </w:tcPr>
                <w:p w14:paraId="4F199F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r>
                    <w:rPr>
                      <w:color w:val="000000"/>
                      <w:spacing w:val="5"/>
                      <w:sz w:val="21"/>
                      <w:szCs w:val="21"/>
                      <w:highlight w:val="none"/>
                    </w:rPr>
                    <w:t>《工业炉窑大气污染物排放标准</w:t>
                  </w:r>
                  <w:r>
                    <w:rPr>
                      <w:rFonts w:hint="eastAsia"/>
                      <w:color w:val="000000"/>
                      <w:spacing w:val="5"/>
                      <w:sz w:val="21"/>
                      <w:szCs w:val="21"/>
                      <w:highlight w:val="none"/>
                    </w:rPr>
                    <w:t>》</w:t>
                  </w:r>
                  <w:r>
                    <w:rPr>
                      <w:color w:val="000000"/>
                      <w:spacing w:val="5"/>
                      <w:sz w:val="21"/>
                      <w:szCs w:val="21"/>
                      <w:highlight w:val="none"/>
                    </w:rPr>
                    <w:t>（</w:t>
                  </w:r>
                  <w:r>
                    <w:rPr>
                      <w:rFonts w:hint="eastAsia"/>
                      <w:color w:val="000000"/>
                      <w:spacing w:val="5"/>
                      <w:sz w:val="21"/>
                      <w:szCs w:val="21"/>
                      <w:highlight w:val="none"/>
                      <w:lang w:eastAsia="zh-CN"/>
                    </w:rPr>
                    <w:t>DB41/1066-2020</w:t>
                  </w:r>
                  <w:r>
                    <w:rPr>
                      <w:color w:val="000000"/>
                      <w:spacing w:val="5"/>
                      <w:sz w:val="21"/>
                      <w:szCs w:val="21"/>
                      <w:highlight w:val="none"/>
                    </w:rPr>
                    <w:t>）</w:t>
                  </w:r>
                </w:p>
              </w:tc>
              <w:tc>
                <w:tcPr>
                  <w:tcW w:w="737" w:type="pct"/>
                  <w:vMerge w:val="restart"/>
                  <w:noWrap w:val="0"/>
                  <w:vAlign w:val="center"/>
                </w:tcPr>
                <w:p w14:paraId="489410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r>
                    <w:rPr>
                      <w:color w:val="000000"/>
                      <w:spacing w:val="6"/>
                      <w:sz w:val="21"/>
                      <w:szCs w:val="21"/>
                      <w:highlight w:val="none"/>
                    </w:rPr>
                    <w:t>颗</w:t>
                  </w:r>
                  <w:r>
                    <w:rPr>
                      <w:color w:val="000000"/>
                      <w:spacing w:val="5"/>
                      <w:sz w:val="21"/>
                      <w:szCs w:val="21"/>
                      <w:highlight w:val="none"/>
                    </w:rPr>
                    <w:t>粒物</w:t>
                  </w:r>
                </w:p>
              </w:tc>
              <w:tc>
                <w:tcPr>
                  <w:tcW w:w="2308" w:type="pct"/>
                  <w:gridSpan w:val="2"/>
                  <w:noWrap w:val="0"/>
                  <w:vAlign w:val="center"/>
                </w:tcPr>
                <w:p w14:paraId="6790AF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r>
                    <w:rPr>
                      <w:rFonts w:hint="eastAsia"/>
                      <w:color w:val="000000"/>
                      <w:spacing w:val="5"/>
                      <w:sz w:val="21"/>
                      <w:szCs w:val="21"/>
                      <w:highlight w:val="none"/>
                    </w:rPr>
                    <w:t>有组织：</w:t>
                  </w:r>
                  <w:r>
                    <w:rPr>
                      <w:color w:val="000000"/>
                      <w:spacing w:val="5"/>
                      <w:sz w:val="21"/>
                      <w:szCs w:val="21"/>
                      <w:highlight w:val="none"/>
                    </w:rPr>
                    <w:t>10mg/m</w:t>
                  </w:r>
                  <w:r>
                    <w:rPr>
                      <w:color w:val="000000"/>
                      <w:spacing w:val="5"/>
                      <w:sz w:val="21"/>
                      <w:szCs w:val="21"/>
                      <w:highlight w:val="none"/>
                      <w:vertAlign w:val="superscript"/>
                    </w:rPr>
                    <w:t>3</w:t>
                  </w:r>
                </w:p>
              </w:tc>
            </w:tr>
            <w:tr w14:paraId="5979F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9B95D6E">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16249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p>
              </w:tc>
              <w:tc>
                <w:tcPr>
                  <w:tcW w:w="737" w:type="pct"/>
                  <w:vMerge w:val="continue"/>
                  <w:noWrap w:val="0"/>
                  <w:vAlign w:val="center"/>
                </w:tcPr>
                <w:p w14:paraId="44F95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p>
              </w:tc>
              <w:tc>
                <w:tcPr>
                  <w:tcW w:w="2308" w:type="pct"/>
                  <w:gridSpan w:val="2"/>
                  <w:noWrap w:val="0"/>
                  <w:vAlign w:val="center"/>
                </w:tcPr>
                <w:p w14:paraId="5816E6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u w:val="none"/>
                    </w:rPr>
                  </w:pPr>
                  <w:r>
                    <w:rPr>
                      <w:rFonts w:hint="eastAsia"/>
                      <w:color w:val="000000"/>
                      <w:spacing w:val="6"/>
                      <w:position w:val="1"/>
                      <w:sz w:val="21"/>
                      <w:szCs w:val="21"/>
                      <w:highlight w:val="none"/>
                    </w:rPr>
                    <w:t>无组织（企业边界）</w:t>
                  </w:r>
                  <w:r>
                    <w:rPr>
                      <w:color w:val="000000"/>
                      <w:spacing w:val="6"/>
                      <w:position w:val="1"/>
                      <w:sz w:val="21"/>
                      <w:szCs w:val="21"/>
                      <w:highlight w:val="none"/>
                    </w:rPr>
                    <w:t>：</w:t>
                  </w:r>
                  <w:r>
                    <w:rPr>
                      <w:rFonts w:hint="eastAsia"/>
                      <w:color w:val="000000"/>
                      <w:spacing w:val="6"/>
                      <w:position w:val="1"/>
                      <w:sz w:val="21"/>
                      <w:szCs w:val="21"/>
                      <w:highlight w:val="none"/>
                    </w:rPr>
                    <w:t>1.0</w:t>
                  </w:r>
                  <w:r>
                    <w:rPr>
                      <w:color w:val="000000"/>
                      <w:position w:val="1"/>
                      <w:sz w:val="21"/>
                      <w:szCs w:val="21"/>
                      <w:highlight w:val="none"/>
                    </w:rPr>
                    <w:t>mg</w:t>
                  </w:r>
                  <w:r>
                    <w:rPr>
                      <w:color w:val="000000"/>
                      <w:spacing w:val="6"/>
                      <w:position w:val="1"/>
                      <w:sz w:val="21"/>
                      <w:szCs w:val="21"/>
                      <w:highlight w:val="none"/>
                    </w:rPr>
                    <w:t>/</w:t>
                  </w:r>
                  <w:r>
                    <w:rPr>
                      <w:color w:val="000000"/>
                      <w:position w:val="1"/>
                      <w:sz w:val="21"/>
                      <w:szCs w:val="21"/>
                      <w:highlight w:val="none"/>
                    </w:rPr>
                    <w:t>m</w:t>
                  </w:r>
                  <w:r>
                    <w:rPr>
                      <w:color w:val="000000"/>
                      <w:position w:val="1"/>
                      <w:sz w:val="21"/>
                      <w:szCs w:val="21"/>
                      <w:highlight w:val="none"/>
                      <w:vertAlign w:val="superscript"/>
                    </w:rPr>
                    <w:t>3</w:t>
                  </w:r>
                </w:p>
              </w:tc>
            </w:tr>
            <w:tr w14:paraId="001A7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11B0FE3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auto"/>
                      <w:sz w:val="21"/>
                      <w:szCs w:val="21"/>
                      <w:highlight w:val="none"/>
                      <w:u w:val="none"/>
                    </w:rPr>
                  </w:pPr>
                </w:p>
              </w:tc>
              <w:tc>
                <w:tcPr>
                  <w:tcW w:w="1668" w:type="pct"/>
                  <w:gridSpan w:val="3"/>
                  <w:vMerge w:val="restart"/>
                  <w:noWrap w:val="0"/>
                  <w:vAlign w:val="center"/>
                </w:tcPr>
                <w:p w14:paraId="602FB3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auto"/>
                      <w:sz w:val="21"/>
                      <w:szCs w:val="21"/>
                      <w:highlight w:val="none"/>
                      <w:u w:val="none"/>
                      <w:lang w:eastAsia="zh-CN"/>
                    </w:rPr>
                  </w:pPr>
                  <w:r>
                    <w:rPr>
                      <w:color w:val="auto"/>
                      <w:spacing w:val="10"/>
                      <w:sz w:val="21"/>
                      <w:szCs w:val="21"/>
                      <w:highlight w:val="none"/>
                      <w:u w:val="none"/>
                    </w:rPr>
                    <w:t>《</w:t>
                  </w:r>
                  <w:r>
                    <w:rPr>
                      <w:color w:val="auto"/>
                      <w:spacing w:val="8"/>
                      <w:sz w:val="21"/>
                      <w:szCs w:val="21"/>
                      <w:highlight w:val="none"/>
                      <w:u w:val="none"/>
                    </w:rPr>
                    <w:t>铸造工业大气污染物排放标准》</w:t>
                  </w:r>
                  <w:r>
                    <w:rPr>
                      <w:rFonts w:hint="eastAsia"/>
                      <w:color w:val="auto"/>
                      <w:spacing w:val="9"/>
                      <w:sz w:val="21"/>
                      <w:szCs w:val="21"/>
                      <w:highlight w:val="none"/>
                      <w:u w:val="none"/>
                      <w:lang w:eastAsia="zh-CN"/>
                    </w:rPr>
                    <w:t>（</w:t>
                  </w:r>
                  <w:r>
                    <w:rPr>
                      <w:color w:val="auto"/>
                      <w:sz w:val="21"/>
                      <w:szCs w:val="21"/>
                      <w:highlight w:val="none"/>
                      <w:u w:val="none"/>
                    </w:rPr>
                    <w:t>GB</w:t>
                  </w:r>
                  <w:r>
                    <w:rPr>
                      <w:color w:val="auto"/>
                      <w:spacing w:val="8"/>
                      <w:sz w:val="21"/>
                      <w:szCs w:val="21"/>
                      <w:highlight w:val="none"/>
                      <w:u w:val="none"/>
                    </w:rPr>
                    <w:t>39726-2020</w:t>
                  </w:r>
                  <w:r>
                    <w:rPr>
                      <w:rFonts w:hint="eastAsia"/>
                      <w:color w:val="auto"/>
                      <w:spacing w:val="9"/>
                      <w:sz w:val="21"/>
                      <w:szCs w:val="21"/>
                      <w:highlight w:val="none"/>
                      <w:u w:val="none"/>
                      <w:lang w:eastAsia="zh-CN"/>
                    </w:rPr>
                    <w:t>）</w:t>
                  </w:r>
                </w:p>
              </w:tc>
              <w:tc>
                <w:tcPr>
                  <w:tcW w:w="737" w:type="pct"/>
                  <w:vMerge w:val="restart"/>
                  <w:noWrap w:val="0"/>
                  <w:vAlign w:val="center"/>
                </w:tcPr>
                <w:p w14:paraId="0A5962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10"/>
                      <w:sz w:val="21"/>
                      <w:szCs w:val="21"/>
                      <w:highlight w:val="none"/>
                      <w:u w:val="none"/>
                    </w:rPr>
                  </w:pPr>
                  <w:r>
                    <w:rPr>
                      <w:bCs/>
                      <w:color w:val="auto"/>
                      <w:sz w:val="21"/>
                      <w:szCs w:val="21"/>
                      <w:highlight w:val="none"/>
                      <w:u w:val="none"/>
                    </w:rPr>
                    <w:t>颗粒物</w:t>
                  </w:r>
                </w:p>
              </w:tc>
              <w:tc>
                <w:tcPr>
                  <w:tcW w:w="2308" w:type="pct"/>
                  <w:gridSpan w:val="2"/>
                  <w:noWrap w:val="0"/>
                  <w:vAlign w:val="center"/>
                </w:tcPr>
                <w:p w14:paraId="286CB30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pacing w:val="10"/>
                      <w:sz w:val="21"/>
                      <w:szCs w:val="21"/>
                      <w:highlight w:val="none"/>
                      <w:u w:val="none"/>
                    </w:rPr>
                    <w:t>最</w:t>
                  </w:r>
                  <w:r>
                    <w:rPr>
                      <w:color w:val="auto"/>
                      <w:spacing w:val="7"/>
                      <w:sz w:val="21"/>
                      <w:szCs w:val="21"/>
                      <w:highlight w:val="none"/>
                      <w:u w:val="none"/>
                    </w:rPr>
                    <w:t>高允许排放浓</w:t>
                  </w:r>
                  <w:r>
                    <w:rPr>
                      <w:color w:val="auto"/>
                      <w:spacing w:val="6"/>
                      <w:sz w:val="21"/>
                      <w:szCs w:val="21"/>
                      <w:highlight w:val="none"/>
                      <w:u w:val="none"/>
                    </w:rPr>
                    <w:t>度</w:t>
                  </w:r>
                  <w:r>
                    <w:rPr>
                      <w:color w:val="auto"/>
                      <w:spacing w:val="8"/>
                      <w:position w:val="3"/>
                      <w:sz w:val="21"/>
                      <w:szCs w:val="21"/>
                      <w:highlight w:val="none"/>
                      <w:u w:val="none"/>
                    </w:rPr>
                    <w:t>3</w:t>
                  </w:r>
                  <w:r>
                    <w:rPr>
                      <w:color w:val="auto"/>
                      <w:spacing w:val="7"/>
                      <w:position w:val="3"/>
                      <w:sz w:val="21"/>
                      <w:szCs w:val="21"/>
                      <w:highlight w:val="none"/>
                      <w:u w:val="none"/>
                    </w:rPr>
                    <w:t>0</w:t>
                  </w:r>
                  <w:r>
                    <w:rPr>
                      <w:color w:val="auto"/>
                      <w:position w:val="3"/>
                      <w:sz w:val="21"/>
                      <w:szCs w:val="21"/>
                      <w:highlight w:val="none"/>
                      <w:u w:val="none"/>
                    </w:rPr>
                    <w:t>mg</w:t>
                  </w:r>
                  <w:r>
                    <w:rPr>
                      <w:color w:val="auto"/>
                      <w:spacing w:val="7"/>
                      <w:position w:val="3"/>
                      <w:sz w:val="21"/>
                      <w:szCs w:val="21"/>
                      <w:highlight w:val="none"/>
                      <w:u w:val="none"/>
                    </w:rPr>
                    <w:t>/</w:t>
                  </w:r>
                  <w:r>
                    <w:rPr>
                      <w:color w:val="auto"/>
                      <w:position w:val="3"/>
                      <w:sz w:val="21"/>
                      <w:szCs w:val="21"/>
                      <w:highlight w:val="none"/>
                      <w:u w:val="none"/>
                    </w:rPr>
                    <w:t>m</w:t>
                  </w:r>
                  <w:r>
                    <w:rPr>
                      <w:color w:val="auto"/>
                      <w:position w:val="3"/>
                      <w:sz w:val="21"/>
                      <w:szCs w:val="21"/>
                      <w:highlight w:val="none"/>
                      <w:u w:val="none"/>
                      <w:vertAlign w:val="superscript"/>
                    </w:rPr>
                    <w:t>3</w:t>
                  </w:r>
                </w:p>
              </w:tc>
            </w:tr>
            <w:tr w14:paraId="2D3C8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35A988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1668" w:type="pct"/>
                  <w:gridSpan w:val="3"/>
                  <w:vMerge w:val="continue"/>
                  <w:noWrap w:val="0"/>
                  <w:vAlign w:val="center"/>
                </w:tcPr>
                <w:p w14:paraId="203267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737" w:type="pct"/>
                  <w:vMerge w:val="continue"/>
                  <w:noWrap w:val="0"/>
                  <w:vAlign w:val="center"/>
                </w:tcPr>
                <w:p w14:paraId="17CA860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p>
              </w:tc>
              <w:tc>
                <w:tcPr>
                  <w:tcW w:w="2308" w:type="pct"/>
                  <w:gridSpan w:val="2"/>
                  <w:noWrap w:val="0"/>
                  <w:vAlign w:val="center"/>
                </w:tcPr>
                <w:p w14:paraId="08657A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bCs/>
                      <w:color w:val="auto"/>
                      <w:sz w:val="21"/>
                      <w:szCs w:val="21"/>
                      <w:highlight w:val="none"/>
                      <w:u w:val="none"/>
                      <w:lang w:val="en-US" w:eastAsia="zh-CN"/>
                    </w:rPr>
                  </w:pPr>
                  <w:r>
                    <w:rPr>
                      <w:rFonts w:hint="eastAsia"/>
                      <w:bCs/>
                      <w:color w:val="auto"/>
                      <w:sz w:val="21"/>
                      <w:szCs w:val="21"/>
                      <w:highlight w:val="none"/>
                      <w:u w:val="none"/>
                      <w:lang w:val="en-US" w:eastAsia="zh-CN"/>
                    </w:rPr>
                    <w:t>监控点处1小时平均浓度</w:t>
                  </w:r>
                  <w:r>
                    <w:rPr>
                      <w:rFonts w:hint="eastAsia"/>
                      <w:color w:val="auto"/>
                      <w:sz w:val="21"/>
                      <w:szCs w:val="21"/>
                      <w:highlight w:val="none"/>
                      <w:u w:val="none"/>
                    </w:rPr>
                    <w:t>5</w:t>
                  </w:r>
                  <w:r>
                    <w:rPr>
                      <w:color w:val="auto"/>
                      <w:sz w:val="21"/>
                      <w:szCs w:val="21"/>
                      <w:highlight w:val="none"/>
                      <w:u w:val="none"/>
                    </w:rPr>
                    <w:t>mg/m</w:t>
                  </w:r>
                  <w:r>
                    <w:rPr>
                      <w:color w:val="auto"/>
                      <w:sz w:val="21"/>
                      <w:szCs w:val="21"/>
                      <w:highlight w:val="none"/>
                      <w:u w:val="none"/>
                      <w:vertAlign w:val="superscript"/>
                    </w:rPr>
                    <w:t>3</w:t>
                  </w:r>
                </w:p>
              </w:tc>
            </w:tr>
            <w:tr w14:paraId="7724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5729A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1668" w:type="pct"/>
                  <w:gridSpan w:val="3"/>
                  <w:vMerge w:val="continue"/>
                  <w:noWrap w:val="0"/>
                  <w:vAlign w:val="center"/>
                </w:tcPr>
                <w:p w14:paraId="5BD045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737" w:type="pct"/>
                  <w:vMerge w:val="restart"/>
                  <w:noWrap w:val="0"/>
                  <w:vAlign w:val="center"/>
                </w:tcPr>
                <w:p w14:paraId="517F8D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z w:val="21"/>
                      <w:szCs w:val="21"/>
                      <w:highlight w:val="none"/>
                      <w:u w:val="none"/>
                    </w:rPr>
                    <w:t>非甲烷总烃</w:t>
                  </w:r>
                </w:p>
              </w:tc>
              <w:tc>
                <w:tcPr>
                  <w:tcW w:w="2308" w:type="pct"/>
                  <w:gridSpan w:val="2"/>
                  <w:noWrap w:val="0"/>
                  <w:vAlign w:val="center"/>
                </w:tcPr>
                <w:p w14:paraId="392DB0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bCs/>
                      <w:color w:val="auto"/>
                      <w:sz w:val="21"/>
                      <w:szCs w:val="21"/>
                      <w:highlight w:val="none"/>
                      <w:u w:val="none"/>
                      <w:lang w:val="en-US" w:eastAsia="zh-CN"/>
                    </w:rPr>
                  </w:pPr>
                  <w:r>
                    <w:rPr>
                      <w:rFonts w:hint="eastAsia"/>
                      <w:bCs/>
                      <w:color w:val="auto"/>
                      <w:sz w:val="21"/>
                      <w:szCs w:val="21"/>
                      <w:highlight w:val="none"/>
                      <w:u w:val="none"/>
                      <w:lang w:val="en-US" w:eastAsia="zh-CN"/>
                    </w:rPr>
                    <w:t>监控点处1小时平均浓度</w:t>
                  </w:r>
                  <w:r>
                    <w:rPr>
                      <w:rFonts w:hint="eastAsia"/>
                      <w:color w:val="auto"/>
                      <w:sz w:val="21"/>
                      <w:szCs w:val="21"/>
                      <w:highlight w:val="none"/>
                      <w:u w:val="none"/>
                      <w:lang w:val="en-US" w:eastAsia="zh-CN"/>
                    </w:rPr>
                    <w:t>10</w:t>
                  </w:r>
                  <w:r>
                    <w:rPr>
                      <w:color w:val="auto"/>
                      <w:sz w:val="21"/>
                      <w:szCs w:val="21"/>
                      <w:highlight w:val="none"/>
                      <w:u w:val="none"/>
                    </w:rPr>
                    <w:t>mg/m</w:t>
                  </w:r>
                  <w:r>
                    <w:rPr>
                      <w:color w:val="auto"/>
                      <w:sz w:val="21"/>
                      <w:szCs w:val="21"/>
                      <w:highlight w:val="none"/>
                      <w:u w:val="none"/>
                      <w:vertAlign w:val="superscript"/>
                    </w:rPr>
                    <w:t>3</w:t>
                  </w:r>
                </w:p>
              </w:tc>
            </w:tr>
            <w:tr w14:paraId="6A746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1A007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1668" w:type="pct"/>
                  <w:gridSpan w:val="3"/>
                  <w:vMerge w:val="continue"/>
                  <w:noWrap w:val="0"/>
                  <w:vAlign w:val="center"/>
                </w:tcPr>
                <w:p w14:paraId="2EFC3F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737" w:type="pct"/>
                  <w:vMerge w:val="continue"/>
                  <w:noWrap w:val="0"/>
                  <w:vAlign w:val="center"/>
                </w:tcPr>
                <w:p w14:paraId="10A9002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2308" w:type="pct"/>
                  <w:gridSpan w:val="2"/>
                  <w:noWrap w:val="0"/>
                  <w:vAlign w:val="center"/>
                </w:tcPr>
                <w:p w14:paraId="10734C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bCs/>
                      <w:color w:val="auto"/>
                      <w:sz w:val="21"/>
                      <w:szCs w:val="21"/>
                      <w:highlight w:val="none"/>
                      <w:u w:val="none"/>
                      <w:lang w:val="en-US" w:eastAsia="zh-CN"/>
                    </w:rPr>
                  </w:pPr>
                  <w:r>
                    <w:rPr>
                      <w:rFonts w:hint="eastAsia"/>
                      <w:bCs/>
                      <w:color w:val="auto"/>
                      <w:sz w:val="21"/>
                      <w:szCs w:val="21"/>
                      <w:highlight w:val="none"/>
                      <w:u w:val="none"/>
                      <w:lang w:val="en-US" w:eastAsia="zh-CN"/>
                    </w:rPr>
                    <w:t>监控点处任意一次浓度值</w:t>
                  </w:r>
                  <w:r>
                    <w:rPr>
                      <w:color w:val="auto"/>
                      <w:spacing w:val="8"/>
                      <w:position w:val="3"/>
                      <w:sz w:val="21"/>
                      <w:szCs w:val="21"/>
                      <w:highlight w:val="none"/>
                      <w:u w:val="none"/>
                    </w:rPr>
                    <w:t>3</w:t>
                  </w:r>
                  <w:r>
                    <w:rPr>
                      <w:color w:val="auto"/>
                      <w:spacing w:val="7"/>
                      <w:position w:val="3"/>
                      <w:sz w:val="21"/>
                      <w:szCs w:val="21"/>
                      <w:highlight w:val="none"/>
                      <w:u w:val="none"/>
                    </w:rPr>
                    <w:t>0</w:t>
                  </w:r>
                  <w:r>
                    <w:rPr>
                      <w:color w:val="auto"/>
                      <w:position w:val="3"/>
                      <w:sz w:val="21"/>
                      <w:szCs w:val="21"/>
                      <w:highlight w:val="none"/>
                      <w:u w:val="none"/>
                    </w:rPr>
                    <w:t>mg</w:t>
                  </w:r>
                  <w:r>
                    <w:rPr>
                      <w:color w:val="auto"/>
                      <w:spacing w:val="7"/>
                      <w:position w:val="3"/>
                      <w:sz w:val="21"/>
                      <w:szCs w:val="21"/>
                      <w:highlight w:val="none"/>
                      <w:u w:val="none"/>
                    </w:rPr>
                    <w:t>/</w:t>
                  </w:r>
                  <w:r>
                    <w:rPr>
                      <w:color w:val="auto"/>
                      <w:position w:val="3"/>
                      <w:sz w:val="21"/>
                      <w:szCs w:val="21"/>
                      <w:highlight w:val="none"/>
                      <w:u w:val="none"/>
                    </w:rPr>
                    <w:t>m</w:t>
                  </w:r>
                  <w:r>
                    <w:rPr>
                      <w:color w:val="auto"/>
                      <w:position w:val="3"/>
                      <w:sz w:val="21"/>
                      <w:szCs w:val="21"/>
                      <w:highlight w:val="none"/>
                      <w:u w:val="none"/>
                      <w:vertAlign w:val="superscript"/>
                    </w:rPr>
                    <w:t>3</w:t>
                  </w:r>
                </w:p>
              </w:tc>
            </w:tr>
            <w:tr w14:paraId="2A9C2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CDCA54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1668" w:type="pct"/>
                  <w:gridSpan w:val="3"/>
                  <w:vMerge w:val="continue"/>
                  <w:noWrap w:val="0"/>
                  <w:vAlign w:val="center"/>
                </w:tcPr>
                <w:p w14:paraId="12FDF1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sz w:val="21"/>
                      <w:szCs w:val="21"/>
                    </w:rPr>
                  </w:pPr>
                </w:p>
              </w:tc>
              <w:tc>
                <w:tcPr>
                  <w:tcW w:w="3046" w:type="pct"/>
                  <w:gridSpan w:val="3"/>
                  <w:noWrap w:val="0"/>
                  <w:vAlign w:val="center"/>
                </w:tcPr>
                <w:p w14:paraId="4FE262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bCs/>
                      <w:color w:val="auto"/>
                      <w:sz w:val="21"/>
                      <w:szCs w:val="21"/>
                      <w:highlight w:val="none"/>
                      <w:u w:val="none"/>
                      <w:lang w:val="en-US" w:eastAsia="zh-CN"/>
                    </w:rPr>
                  </w:pPr>
                  <w:r>
                    <w:rPr>
                      <w:rFonts w:hint="eastAsia"/>
                      <w:bCs/>
                      <w:color w:val="auto"/>
                      <w:sz w:val="21"/>
                      <w:szCs w:val="21"/>
                      <w:highlight w:val="none"/>
                      <w:u w:val="none"/>
                      <w:lang w:val="en-US" w:eastAsia="zh-CN"/>
                    </w:rPr>
                    <w:t>在厂房外设置监控点</w:t>
                  </w:r>
                </w:p>
              </w:tc>
            </w:tr>
            <w:tr w14:paraId="47724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1D84EA43">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auto"/>
                      <w:sz w:val="21"/>
                      <w:szCs w:val="21"/>
                      <w:highlight w:val="none"/>
                      <w:u w:val="none"/>
                    </w:rPr>
                  </w:pPr>
                </w:p>
              </w:tc>
              <w:tc>
                <w:tcPr>
                  <w:tcW w:w="1668" w:type="pct"/>
                  <w:gridSpan w:val="3"/>
                  <w:vMerge w:val="restart"/>
                  <w:noWrap w:val="0"/>
                  <w:vAlign w:val="center"/>
                </w:tcPr>
                <w:p w14:paraId="7CA641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10"/>
                      <w:sz w:val="21"/>
                      <w:szCs w:val="21"/>
                      <w:highlight w:val="none"/>
                      <w:u w:val="none"/>
                    </w:rPr>
                  </w:pPr>
                  <w:r>
                    <w:rPr>
                      <w:color w:val="auto"/>
                      <w:spacing w:val="10"/>
                      <w:sz w:val="21"/>
                      <w:szCs w:val="21"/>
                      <w:highlight w:val="none"/>
                      <w:u w:val="none"/>
                    </w:rPr>
                    <w:t>《河</w:t>
                  </w:r>
                  <w:r>
                    <w:rPr>
                      <w:color w:val="auto"/>
                      <w:spacing w:val="5"/>
                      <w:sz w:val="21"/>
                      <w:szCs w:val="21"/>
                      <w:highlight w:val="none"/>
                      <w:u w:val="none"/>
                    </w:rPr>
                    <w:t>南省2019年铸造行业污染治理方案》</w:t>
                  </w:r>
                </w:p>
              </w:tc>
              <w:tc>
                <w:tcPr>
                  <w:tcW w:w="737" w:type="pct"/>
                  <w:noWrap w:val="0"/>
                  <w:vAlign w:val="center"/>
                </w:tcPr>
                <w:p w14:paraId="46C2938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10"/>
                      <w:sz w:val="21"/>
                      <w:szCs w:val="21"/>
                      <w:highlight w:val="none"/>
                      <w:u w:val="none"/>
                    </w:rPr>
                  </w:pPr>
                  <w:r>
                    <w:rPr>
                      <w:color w:val="auto"/>
                      <w:spacing w:val="6"/>
                      <w:sz w:val="21"/>
                      <w:szCs w:val="21"/>
                      <w:highlight w:val="none"/>
                      <w:u w:val="none"/>
                    </w:rPr>
                    <w:t>颗</w:t>
                  </w:r>
                  <w:r>
                    <w:rPr>
                      <w:color w:val="auto"/>
                      <w:spacing w:val="5"/>
                      <w:sz w:val="21"/>
                      <w:szCs w:val="21"/>
                      <w:highlight w:val="none"/>
                      <w:u w:val="none"/>
                    </w:rPr>
                    <w:t>粒物</w:t>
                  </w:r>
                </w:p>
              </w:tc>
              <w:tc>
                <w:tcPr>
                  <w:tcW w:w="2308" w:type="pct"/>
                  <w:gridSpan w:val="2"/>
                  <w:noWrap w:val="0"/>
                  <w:vAlign w:val="center"/>
                </w:tcPr>
                <w:p w14:paraId="718C38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8"/>
                      <w:position w:val="3"/>
                      <w:sz w:val="21"/>
                      <w:szCs w:val="21"/>
                      <w:highlight w:val="none"/>
                      <w:u w:val="none"/>
                    </w:rPr>
                  </w:pPr>
                  <w:r>
                    <w:rPr>
                      <w:color w:val="auto"/>
                      <w:spacing w:val="7"/>
                      <w:sz w:val="21"/>
                      <w:szCs w:val="21"/>
                      <w:highlight w:val="none"/>
                      <w:u w:val="none"/>
                      <w:lang w:val="en-US" w:eastAsia="zh-CN"/>
                    </w:rPr>
                    <w:t>砂回收</w:t>
                  </w:r>
                  <w:r>
                    <w:rPr>
                      <w:rFonts w:hint="eastAsia"/>
                      <w:color w:val="auto"/>
                      <w:spacing w:val="7"/>
                      <w:sz w:val="21"/>
                      <w:szCs w:val="21"/>
                      <w:highlight w:val="none"/>
                      <w:u w:val="none"/>
                      <w:lang w:val="en-US" w:eastAsia="zh-CN"/>
                    </w:rPr>
                    <w:t>、</w:t>
                  </w:r>
                  <w:r>
                    <w:rPr>
                      <w:color w:val="auto"/>
                      <w:spacing w:val="7"/>
                      <w:sz w:val="21"/>
                      <w:szCs w:val="21"/>
                      <w:highlight w:val="none"/>
                      <w:u w:val="none"/>
                    </w:rPr>
                    <w:t>熔化</w:t>
                  </w:r>
                  <w:r>
                    <w:rPr>
                      <w:rFonts w:hint="eastAsia"/>
                      <w:color w:val="auto"/>
                      <w:spacing w:val="7"/>
                      <w:sz w:val="21"/>
                      <w:szCs w:val="21"/>
                      <w:highlight w:val="none"/>
                      <w:u w:val="none"/>
                    </w:rPr>
                    <w:t>、抛丸</w:t>
                  </w:r>
                  <w:r>
                    <w:rPr>
                      <w:rFonts w:hint="eastAsia"/>
                      <w:color w:val="auto"/>
                      <w:spacing w:val="7"/>
                      <w:sz w:val="21"/>
                      <w:szCs w:val="21"/>
                      <w:highlight w:val="none"/>
                      <w:u w:val="none"/>
                      <w:lang w:eastAsia="zh-CN"/>
                    </w:rPr>
                    <w:t>、</w:t>
                  </w:r>
                  <w:r>
                    <w:rPr>
                      <w:rFonts w:hint="eastAsia"/>
                      <w:color w:val="auto"/>
                      <w:spacing w:val="7"/>
                      <w:sz w:val="21"/>
                      <w:szCs w:val="21"/>
                      <w:highlight w:val="none"/>
                      <w:u w:val="none"/>
                      <w:lang w:val="en-US" w:eastAsia="zh-CN"/>
                    </w:rPr>
                    <w:t>混砂及</w:t>
                  </w:r>
                  <w:r>
                    <w:rPr>
                      <w:color w:val="auto"/>
                      <w:spacing w:val="7"/>
                      <w:sz w:val="21"/>
                      <w:szCs w:val="21"/>
                      <w:highlight w:val="none"/>
                      <w:u w:val="none"/>
                    </w:rPr>
                    <w:t>浇铸</w:t>
                  </w:r>
                  <w:r>
                    <w:rPr>
                      <w:rFonts w:hint="eastAsia"/>
                      <w:color w:val="auto"/>
                      <w:spacing w:val="7"/>
                      <w:sz w:val="21"/>
                      <w:szCs w:val="21"/>
                      <w:highlight w:val="none"/>
                      <w:u w:val="none"/>
                    </w:rPr>
                    <w:t>工序</w:t>
                  </w:r>
                  <w:r>
                    <w:rPr>
                      <w:color w:val="auto"/>
                      <w:spacing w:val="5"/>
                      <w:sz w:val="21"/>
                      <w:szCs w:val="21"/>
                      <w:highlight w:val="none"/>
                      <w:u w:val="none"/>
                    </w:rPr>
                    <w:t>：10mg/m</w:t>
                  </w:r>
                  <w:r>
                    <w:rPr>
                      <w:color w:val="auto"/>
                      <w:spacing w:val="5"/>
                      <w:sz w:val="21"/>
                      <w:szCs w:val="21"/>
                      <w:highlight w:val="none"/>
                      <w:u w:val="none"/>
                      <w:vertAlign w:val="superscript"/>
                    </w:rPr>
                    <w:t>3</w:t>
                  </w:r>
                </w:p>
              </w:tc>
            </w:tr>
            <w:tr w14:paraId="05076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36DD56D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76EE48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10"/>
                      <w:sz w:val="21"/>
                      <w:szCs w:val="21"/>
                      <w:highlight w:val="none"/>
                      <w:u w:val="none"/>
                    </w:rPr>
                  </w:pPr>
                </w:p>
              </w:tc>
              <w:tc>
                <w:tcPr>
                  <w:tcW w:w="737" w:type="pct"/>
                  <w:noWrap w:val="0"/>
                  <w:vAlign w:val="center"/>
                </w:tcPr>
                <w:p w14:paraId="391A71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10"/>
                      <w:sz w:val="21"/>
                      <w:szCs w:val="21"/>
                      <w:highlight w:val="none"/>
                      <w:u w:val="none"/>
                    </w:rPr>
                  </w:pPr>
                  <w:r>
                    <w:rPr>
                      <w:color w:val="auto"/>
                      <w:spacing w:val="10"/>
                      <w:sz w:val="21"/>
                      <w:szCs w:val="21"/>
                      <w:highlight w:val="none"/>
                      <w:u w:val="none"/>
                    </w:rPr>
                    <w:t>厂</w:t>
                  </w:r>
                  <w:r>
                    <w:rPr>
                      <w:color w:val="auto"/>
                      <w:spacing w:val="7"/>
                      <w:sz w:val="21"/>
                      <w:szCs w:val="21"/>
                      <w:highlight w:val="none"/>
                      <w:u w:val="none"/>
                    </w:rPr>
                    <w:t>界无组织</w:t>
                  </w:r>
                </w:p>
              </w:tc>
              <w:tc>
                <w:tcPr>
                  <w:tcW w:w="2308" w:type="pct"/>
                  <w:gridSpan w:val="2"/>
                  <w:noWrap w:val="0"/>
                  <w:vAlign w:val="center"/>
                </w:tcPr>
                <w:p w14:paraId="19B56D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8"/>
                      <w:position w:val="3"/>
                      <w:sz w:val="21"/>
                      <w:szCs w:val="21"/>
                      <w:highlight w:val="none"/>
                      <w:u w:val="none"/>
                    </w:rPr>
                  </w:pPr>
                  <w:r>
                    <w:rPr>
                      <w:color w:val="auto"/>
                      <w:spacing w:val="6"/>
                      <w:position w:val="1"/>
                      <w:sz w:val="21"/>
                      <w:szCs w:val="21"/>
                      <w:highlight w:val="none"/>
                      <w:u w:val="none"/>
                    </w:rPr>
                    <w:t>颗粒物：0.5</w:t>
                  </w:r>
                  <w:r>
                    <w:rPr>
                      <w:color w:val="auto"/>
                      <w:position w:val="1"/>
                      <w:sz w:val="21"/>
                      <w:szCs w:val="21"/>
                      <w:highlight w:val="none"/>
                      <w:u w:val="none"/>
                    </w:rPr>
                    <w:t>mg</w:t>
                  </w:r>
                  <w:r>
                    <w:rPr>
                      <w:color w:val="auto"/>
                      <w:spacing w:val="6"/>
                      <w:position w:val="1"/>
                      <w:sz w:val="21"/>
                      <w:szCs w:val="21"/>
                      <w:highlight w:val="none"/>
                      <w:u w:val="none"/>
                    </w:rPr>
                    <w:t>/</w:t>
                  </w:r>
                  <w:r>
                    <w:rPr>
                      <w:color w:val="auto"/>
                      <w:position w:val="1"/>
                      <w:sz w:val="21"/>
                      <w:szCs w:val="21"/>
                      <w:highlight w:val="none"/>
                      <w:u w:val="none"/>
                    </w:rPr>
                    <w:t>m</w:t>
                  </w:r>
                  <w:r>
                    <w:rPr>
                      <w:color w:val="auto"/>
                      <w:position w:val="1"/>
                      <w:sz w:val="21"/>
                      <w:szCs w:val="21"/>
                      <w:highlight w:val="none"/>
                      <w:u w:val="none"/>
                      <w:vertAlign w:val="superscript"/>
                    </w:rPr>
                    <w:t>3</w:t>
                  </w:r>
                </w:p>
              </w:tc>
            </w:tr>
            <w:tr w14:paraId="5B2AE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B2DB0FE">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olor w:val="auto"/>
                      <w:sz w:val="21"/>
                      <w:szCs w:val="21"/>
                      <w:highlight w:val="none"/>
                      <w:u w:val="none"/>
                    </w:rPr>
                  </w:pPr>
                </w:p>
              </w:tc>
              <w:tc>
                <w:tcPr>
                  <w:tcW w:w="1668" w:type="pct"/>
                  <w:gridSpan w:val="3"/>
                  <w:vMerge w:val="restart"/>
                  <w:noWrap w:val="0"/>
                  <w:vAlign w:val="center"/>
                </w:tcPr>
                <w:p w14:paraId="5CC243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《关于全省开展工业企业挥发性有</w:t>
                  </w:r>
                  <w:r>
                    <w:rPr>
                      <w:color w:val="auto"/>
                      <w:sz w:val="21"/>
                      <w:szCs w:val="21"/>
                      <w:highlight w:val="none"/>
                      <w:u w:val="none"/>
                    </w:rPr>
                    <w:cr/>
                  </w:r>
                  <w:r>
                    <w:rPr>
                      <w:color w:val="auto"/>
                      <w:sz w:val="21"/>
                      <w:szCs w:val="21"/>
                      <w:highlight w:val="none"/>
                      <w:u w:val="none"/>
                    </w:rPr>
                    <w:t>物专项治理工作中排放建议值的通知》（豫环攻坚办[2017]162号）中附件1中其他工业</w:t>
                  </w:r>
                </w:p>
              </w:tc>
              <w:tc>
                <w:tcPr>
                  <w:tcW w:w="737" w:type="pct"/>
                  <w:vMerge w:val="restart"/>
                  <w:noWrap w:val="0"/>
                  <w:vAlign w:val="center"/>
                </w:tcPr>
                <w:p w14:paraId="2D19C0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2"/>
                      <w:sz w:val="21"/>
                      <w:szCs w:val="21"/>
                      <w:highlight w:val="none"/>
                      <w:u w:val="none"/>
                    </w:rPr>
                  </w:pPr>
                  <w:r>
                    <w:rPr>
                      <w:color w:val="auto"/>
                      <w:sz w:val="21"/>
                      <w:szCs w:val="21"/>
                      <w:highlight w:val="none"/>
                      <w:u w:val="none"/>
                    </w:rPr>
                    <w:t>非甲烷总烃</w:t>
                  </w:r>
                </w:p>
              </w:tc>
              <w:tc>
                <w:tcPr>
                  <w:tcW w:w="2308" w:type="pct"/>
                  <w:gridSpan w:val="2"/>
                  <w:noWrap w:val="0"/>
                  <w:vAlign w:val="center"/>
                </w:tcPr>
                <w:p w14:paraId="29BDCAB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bCs/>
                      <w:color w:val="auto"/>
                      <w:sz w:val="21"/>
                      <w:szCs w:val="21"/>
                      <w:highlight w:val="none"/>
                      <w:u w:val="none"/>
                    </w:rPr>
                    <w:t>建议排放浓度80mg/m</w:t>
                  </w:r>
                  <w:r>
                    <w:rPr>
                      <w:bCs/>
                      <w:color w:val="auto"/>
                      <w:sz w:val="21"/>
                      <w:szCs w:val="21"/>
                      <w:highlight w:val="none"/>
                      <w:u w:val="none"/>
                      <w:vertAlign w:val="superscript"/>
                    </w:rPr>
                    <w:t>3</w:t>
                  </w:r>
                </w:p>
              </w:tc>
            </w:tr>
            <w:tr w14:paraId="5AAAE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08C586C">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166875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737" w:type="pct"/>
                  <w:vMerge w:val="continue"/>
                  <w:noWrap w:val="0"/>
                  <w:vAlign w:val="center"/>
                </w:tcPr>
                <w:p w14:paraId="747119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2308" w:type="pct"/>
                  <w:gridSpan w:val="2"/>
                  <w:noWrap w:val="0"/>
                  <w:vAlign w:val="center"/>
                </w:tcPr>
                <w:p w14:paraId="3B0390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bCs/>
                      <w:color w:val="auto"/>
                      <w:sz w:val="21"/>
                      <w:szCs w:val="21"/>
                      <w:highlight w:val="none"/>
                      <w:u w:val="none"/>
                    </w:rPr>
                    <w:t>工业企业边界排放建议值为2.0mg/m</w:t>
                  </w:r>
                  <w:r>
                    <w:rPr>
                      <w:bCs/>
                      <w:color w:val="auto"/>
                      <w:sz w:val="21"/>
                      <w:szCs w:val="21"/>
                      <w:highlight w:val="none"/>
                      <w:u w:val="none"/>
                      <w:vertAlign w:val="superscript"/>
                    </w:rPr>
                    <w:t>3</w:t>
                  </w:r>
                </w:p>
              </w:tc>
            </w:tr>
            <w:tr w14:paraId="3D10C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3FA59503">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noWrap w:val="0"/>
                  <w:vAlign w:val="center"/>
                </w:tcPr>
                <w:p w14:paraId="74FEEE9A">
                  <w:pPr>
                    <w:keepNext w:val="0"/>
                    <w:keepLines w:val="0"/>
                    <w:pageBreakBefore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color w:val="auto"/>
                      <w:sz w:val="21"/>
                      <w:szCs w:val="21"/>
                      <w:highlight w:val="none"/>
                      <w:u w:val="none"/>
                    </w:rPr>
                  </w:pPr>
                  <w:r>
                    <w:rPr>
                      <w:rFonts w:hint="default" w:ascii="Times New Roman" w:hAnsi="Times New Roman" w:cs="Times New Roman" w:eastAsiaTheme="minorEastAsia"/>
                      <w:sz w:val="21"/>
                      <w:szCs w:val="21"/>
                      <w:u w:val="none"/>
                      <w:lang w:val="en-US" w:eastAsia="zh-CN"/>
                    </w:rPr>
                    <w:t>《重污染天气重点行业绩效分级及减排措施》（生态环境部）中铸件企业绩效分级指标A级企业</w:t>
                  </w:r>
                </w:p>
              </w:tc>
              <w:tc>
                <w:tcPr>
                  <w:tcW w:w="737" w:type="pct"/>
                  <w:noWrap w:val="0"/>
                  <w:vAlign w:val="center"/>
                </w:tcPr>
                <w:p w14:paraId="7463143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eastAsia" w:cs="Times New Roman"/>
                      <w:sz w:val="21"/>
                      <w:szCs w:val="21"/>
                      <w:u w:val="none"/>
                      <w:lang w:val="en-US" w:eastAsia="zh-CN"/>
                    </w:rPr>
                    <w:t>颗粒物</w:t>
                  </w:r>
                </w:p>
              </w:tc>
              <w:tc>
                <w:tcPr>
                  <w:tcW w:w="2308" w:type="pct"/>
                  <w:gridSpan w:val="2"/>
                  <w:noWrap w:val="0"/>
                  <w:vAlign w:val="center"/>
                </w:tcPr>
                <w:p w14:paraId="12E604A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eastAsia" w:cs="Times New Roman"/>
                      <w:b w:val="0"/>
                      <w:bCs/>
                      <w:color w:val="auto"/>
                      <w:sz w:val="21"/>
                      <w:szCs w:val="21"/>
                      <w:u w:val="none"/>
                      <w:lang w:val="en-US" w:eastAsia="zh-CN"/>
                    </w:rPr>
                    <w:t>15</w:t>
                  </w:r>
                  <w:r>
                    <w:rPr>
                      <w:rFonts w:hint="default" w:ascii="Times New Roman" w:hAnsi="Times New Roman" w:cs="Times New Roman" w:eastAsiaTheme="minorEastAsia"/>
                      <w:bCs/>
                      <w:kern w:val="2"/>
                      <w:sz w:val="21"/>
                      <w:szCs w:val="21"/>
                      <w:u w:val="none"/>
                      <w:lang w:val="en-US" w:eastAsia="zh-CN" w:bidi="ar-SA"/>
                    </w:rPr>
                    <w:t>mg/m</w:t>
                  </w:r>
                  <w:r>
                    <w:rPr>
                      <w:rFonts w:hint="eastAsia" w:ascii="Times New Roman" w:hAnsi="Times New Roman" w:cs="Times New Roman"/>
                      <w:bCs/>
                      <w:kern w:val="2"/>
                      <w:sz w:val="21"/>
                      <w:szCs w:val="21"/>
                      <w:u w:val="none"/>
                      <w:vertAlign w:val="superscript"/>
                      <w:lang w:val="en-US" w:eastAsia="zh-CN" w:bidi="ar-SA"/>
                    </w:rPr>
                    <w:t>3</w:t>
                  </w:r>
                </w:p>
              </w:tc>
            </w:tr>
            <w:tr w14:paraId="492B2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4582BE3A">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restart"/>
                  <w:noWrap w:val="0"/>
                  <w:vAlign w:val="center"/>
                </w:tcPr>
                <w:p w14:paraId="4C5C48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rFonts w:hint="eastAsia"/>
                      <w:color w:val="auto"/>
                      <w:sz w:val="21"/>
                      <w:szCs w:val="21"/>
                      <w:highlight w:val="none"/>
                      <w:u w:val="none"/>
                    </w:rPr>
                    <w:t>本项目最终执行标准</w:t>
                  </w:r>
                </w:p>
              </w:tc>
              <w:tc>
                <w:tcPr>
                  <w:tcW w:w="314" w:type="pct"/>
                  <w:vMerge w:val="restart"/>
                  <w:noWrap w:val="0"/>
                  <w:vAlign w:val="center"/>
                </w:tcPr>
                <w:p w14:paraId="30D0E4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有组织</w:t>
                  </w:r>
                </w:p>
              </w:tc>
              <w:tc>
                <w:tcPr>
                  <w:tcW w:w="640" w:type="pct"/>
                  <w:noWrap w:val="0"/>
                  <w:vAlign w:val="center"/>
                </w:tcPr>
                <w:p w14:paraId="6651A6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DA001</w:t>
                  </w:r>
                </w:p>
              </w:tc>
              <w:tc>
                <w:tcPr>
                  <w:tcW w:w="737" w:type="pct"/>
                  <w:shd w:val="clear" w:color="auto" w:fill="auto"/>
                  <w:noWrap w:val="0"/>
                  <w:vAlign w:val="center"/>
                </w:tcPr>
                <w:p w14:paraId="05600763">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bCs/>
                      <w:color w:val="auto"/>
                      <w:sz w:val="21"/>
                      <w:szCs w:val="21"/>
                      <w:highlight w:val="none"/>
                      <w:u w:val="none"/>
                    </w:rPr>
                    <w:t>颗粒物</w:t>
                  </w:r>
                </w:p>
              </w:tc>
              <w:tc>
                <w:tcPr>
                  <w:tcW w:w="2308" w:type="pct"/>
                  <w:gridSpan w:val="2"/>
                  <w:noWrap w:val="0"/>
                  <w:vAlign w:val="center"/>
                </w:tcPr>
                <w:p w14:paraId="1D18292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5"/>
                      <w:sz w:val="21"/>
                      <w:szCs w:val="21"/>
                      <w:highlight w:val="none"/>
                      <w:u w:val="none"/>
                    </w:rPr>
                  </w:pPr>
                  <w:r>
                    <w:rPr>
                      <w:color w:val="auto"/>
                      <w:spacing w:val="5"/>
                      <w:sz w:val="21"/>
                      <w:szCs w:val="21"/>
                      <w:highlight w:val="none"/>
                      <w:u w:val="none"/>
                    </w:rPr>
                    <w:t>10mg/m</w:t>
                  </w:r>
                  <w:r>
                    <w:rPr>
                      <w:color w:val="auto"/>
                      <w:spacing w:val="5"/>
                      <w:sz w:val="21"/>
                      <w:szCs w:val="21"/>
                      <w:highlight w:val="none"/>
                      <w:u w:val="none"/>
                      <w:vertAlign w:val="superscript"/>
                    </w:rPr>
                    <w:t>3</w:t>
                  </w:r>
                </w:p>
              </w:tc>
            </w:tr>
            <w:tr w14:paraId="4B736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D2755D4">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06EE9E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46AE2D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highlight w:val="none"/>
                      <w:u w:val="none"/>
                      <w:lang w:val="en-US" w:eastAsia="zh-CN"/>
                    </w:rPr>
                  </w:pPr>
                </w:p>
              </w:tc>
              <w:tc>
                <w:tcPr>
                  <w:tcW w:w="640" w:type="pct"/>
                  <w:vMerge w:val="restart"/>
                  <w:noWrap w:val="0"/>
                  <w:vAlign w:val="center"/>
                </w:tcPr>
                <w:p w14:paraId="553C2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u w:val="none"/>
                      <w:lang w:val="en-US"/>
                    </w:rPr>
                  </w:pPr>
                  <w:r>
                    <w:rPr>
                      <w:rFonts w:hint="eastAsia"/>
                      <w:color w:val="auto"/>
                      <w:sz w:val="21"/>
                      <w:szCs w:val="21"/>
                      <w:highlight w:val="none"/>
                      <w:u w:val="none"/>
                      <w:lang w:val="en-US" w:eastAsia="zh-CN"/>
                    </w:rPr>
                    <w:t>DA002</w:t>
                  </w:r>
                </w:p>
              </w:tc>
              <w:tc>
                <w:tcPr>
                  <w:tcW w:w="737" w:type="pct"/>
                  <w:shd w:val="clear" w:color="auto" w:fill="auto"/>
                  <w:noWrap w:val="0"/>
                  <w:vAlign w:val="center"/>
                </w:tcPr>
                <w:p w14:paraId="1DA30633">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r>
                    <w:rPr>
                      <w:bCs/>
                      <w:color w:val="auto"/>
                      <w:sz w:val="21"/>
                      <w:szCs w:val="21"/>
                      <w:highlight w:val="none"/>
                      <w:u w:val="none"/>
                    </w:rPr>
                    <w:t>颗粒物</w:t>
                  </w:r>
                </w:p>
              </w:tc>
              <w:tc>
                <w:tcPr>
                  <w:tcW w:w="2308" w:type="pct"/>
                  <w:gridSpan w:val="2"/>
                  <w:noWrap w:val="0"/>
                  <w:vAlign w:val="center"/>
                </w:tcPr>
                <w:p w14:paraId="59DA49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pacing w:val="5"/>
                      <w:sz w:val="21"/>
                      <w:szCs w:val="21"/>
                      <w:highlight w:val="none"/>
                      <w:u w:val="none"/>
                    </w:rPr>
                    <w:t>10mg/m</w:t>
                  </w:r>
                  <w:r>
                    <w:rPr>
                      <w:color w:val="auto"/>
                      <w:spacing w:val="5"/>
                      <w:sz w:val="21"/>
                      <w:szCs w:val="21"/>
                      <w:highlight w:val="none"/>
                      <w:u w:val="none"/>
                      <w:vertAlign w:val="superscript"/>
                    </w:rPr>
                    <w:t>3</w:t>
                  </w:r>
                </w:p>
              </w:tc>
            </w:tr>
            <w:tr w14:paraId="14AAE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2899267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7086B4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rPr>
                  </w:pPr>
                </w:p>
              </w:tc>
              <w:tc>
                <w:tcPr>
                  <w:tcW w:w="314" w:type="pct"/>
                  <w:vMerge w:val="continue"/>
                  <w:noWrap w:val="0"/>
                  <w:vAlign w:val="center"/>
                </w:tcPr>
                <w:p w14:paraId="63E98E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640" w:type="pct"/>
                  <w:vMerge w:val="continue"/>
                  <w:noWrap w:val="0"/>
                  <w:vAlign w:val="center"/>
                </w:tcPr>
                <w:p w14:paraId="5192C1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noWrap w:val="0"/>
                  <w:vAlign w:val="center"/>
                </w:tcPr>
                <w:p w14:paraId="7D8C01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非甲烷总烃</w:t>
                  </w:r>
                </w:p>
              </w:tc>
              <w:tc>
                <w:tcPr>
                  <w:tcW w:w="2308" w:type="pct"/>
                  <w:gridSpan w:val="2"/>
                  <w:noWrap w:val="0"/>
                  <w:vAlign w:val="center"/>
                </w:tcPr>
                <w:p w14:paraId="437F7C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bCs/>
                      <w:color w:val="auto"/>
                      <w:sz w:val="21"/>
                      <w:szCs w:val="21"/>
                      <w:highlight w:val="none"/>
                      <w:u w:val="none"/>
                    </w:rPr>
                    <w:t>80mg/m</w:t>
                  </w:r>
                  <w:r>
                    <w:rPr>
                      <w:bCs/>
                      <w:color w:val="auto"/>
                      <w:sz w:val="21"/>
                      <w:szCs w:val="21"/>
                      <w:highlight w:val="none"/>
                      <w:u w:val="none"/>
                      <w:vertAlign w:val="superscript"/>
                    </w:rPr>
                    <w:t>3</w:t>
                  </w:r>
                </w:p>
              </w:tc>
            </w:tr>
            <w:tr w14:paraId="75B32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7AFC8050">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3C1FE2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rPr>
                  </w:pPr>
                </w:p>
              </w:tc>
              <w:tc>
                <w:tcPr>
                  <w:tcW w:w="314" w:type="pct"/>
                  <w:vMerge w:val="continue"/>
                  <w:noWrap w:val="0"/>
                  <w:vAlign w:val="center"/>
                </w:tcPr>
                <w:p w14:paraId="18552A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640" w:type="pct"/>
                  <w:vMerge w:val="continue"/>
                  <w:noWrap w:val="0"/>
                  <w:vAlign w:val="center"/>
                </w:tcPr>
                <w:p w14:paraId="28C239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shd w:val="clear" w:color="auto" w:fill="auto"/>
                  <w:noWrap w:val="0"/>
                  <w:vAlign w:val="center"/>
                </w:tcPr>
                <w:p w14:paraId="665EC5DF">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auto"/>
                      <w:sz w:val="21"/>
                      <w:szCs w:val="21"/>
                      <w:highlight w:val="none"/>
                      <w:u w:val="none"/>
                    </w:rPr>
                    <w:t>甲醛</w:t>
                  </w:r>
                </w:p>
              </w:tc>
              <w:tc>
                <w:tcPr>
                  <w:tcW w:w="2308" w:type="pct"/>
                  <w:gridSpan w:val="2"/>
                  <w:noWrap w:val="0"/>
                  <w:vAlign w:val="center"/>
                </w:tcPr>
                <w:p w14:paraId="41C36F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rFonts w:hint="eastAsia"/>
                      <w:color w:val="auto"/>
                      <w:sz w:val="21"/>
                      <w:szCs w:val="21"/>
                      <w:highlight w:val="none"/>
                      <w:u w:val="none"/>
                    </w:rPr>
                    <w:t>5</w:t>
                  </w:r>
                  <w:r>
                    <w:rPr>
                      <w:color w:val="auto"/>
                      <w:sz w:val="21"/>
                      <w:szCs w:val="21"/>
                      <w:highlight w:val="none"/>
                      <w:u w:val="none"/>
                    </w:rPr>
                    <w:t>mg/m</w:t>
                  </w:r>
                  <w:r>
                    <w:rPr>
                      <w:color w:val="auto"/>
                      <w:sz w:val="21"/>
                      <w:szCs w:val="21"/>
                      <w:highlight w:val="none"/>
                      <w:u w:val="none"/>
                      <w:vertAlign w:val="superscript"/>
                    </w:rPr>
                    <w:t>3</w:t>
                  </w:r>
                  <w:r>
                    <w:rPr>
                      <w:rFonts w:hint="eastAsia"/>
                      <w:color w:val="auto"/>
                      <w:sz w:val="21"/>
                      <w:szCs w:val="21"/>
                      <w:highlight w:val="none"/>
                      <w:u w:val="none"/>
                      <w:lang w:eastAsia="zh-CN"/>
                    </w:rPr>
                    <w:t>；</w:t>
                  </w:r>
                  <w:r>
                    <w:rPr>
                      <w:rFonts w:hint="eastAsia"/>
                      <w:color w:val="auto"/>
                      <w:sz w:val="21"/>
                      <w:szCs w:val="21"/>
                      <w:highlight w:val="none"/>
                      <w:u w:val="none"/>
                    </w:rPr>
                    <w:t>0.26</w:t>
                  </w:r>
                  <w:r>
                    <w:rPr>
                      <w:color w:val="auto"/>
                      <w:sz w:val="21"/>
                      <w:szCs w:val="21"/>
                      <w:highlight w:val="none"/>
                      <w:u w:val="none"/>
                    </w:rPr>
                    <w:t>kg/h</w:t>
                  </w:r>
                </w:p>
              </w:tc>
            </w:tr>
            <w:tr w14:paraId="0C3C0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E38F40D">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4C8B91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rPr>
                  </w:pPr>
                </w:p>
              </w:tc>
              <w:tc>
                <w:tcPr>
                  <w:tcW w:w="314" w:type="pct"/>
                  <w:vMerge w:val="continue"/>
                  <w:noWrap w:val="0"/>
                  <w:vAlign w:val="center"/>
                </w:tcPr>
                <w:p w14:paraId="34C32C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640" w:type="pct"/>
                  <w:noWrap w:val="0"/>
                  <w:vAlign w:val="center"/>
                </w:tcPr>
                <w:p w14:paraId="1B84EC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DA003</w:t>
                  </w:r>
                </w:p>
              </w:tc>
              <w:tc>
                <w:tcPr>
                  <w:tcW w:w="737" w:type="pct"/>
                  <w:shd w:val="clear" w:color="auto" w:fill="auto"/>
                  <w:noWrap w:val="0"/>
                  <w:vAlign w:val="center"/>
                </w:tcPr>
                <w:p w14:paraId="15BF1BDB">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bCs/>
                      <w:color w:val="auto"/>
                      <w:sz w:val="21"/>
                      <w:szCs w:val="21"/>
                      <w:highlight w:val="none"/>
                      <w:u w:val="none"/>
                    </w:rPr>
                    <w:t>颗粒物</w:t>
                  </w:r>
                </w:p>
              </w:tc>
              <w:tc>
                <w:tcPr>
                  <w:tcW w:w="2308" w:type="pct"/>
                  <w:gridSpan w:val="2"/>
                  <w:shd w:val="clear" w:color="auto" w:fill="auto"/>
                  <w:noWrap w:val="0"/>
                  <w:vAlign w:val="center"/>
                </w:tcPr>
                <w:p w14:paraId="366633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pacing w:val="5"/>
                      <w:sz w:val="21"/>
                      <w:szCs w:val="21"/>
                      <w:highlight w:val="none"/>
                      <w:u w:val="none"/>
                    </w:rPr>
                  </w:pPr>
                  <w:r>
                    <w:rPr>
                      <w:color w:val="auto"/>
                      <w:spacing w:val="5"/>
                      <w:sz w:val="21"/>
                      <w:szCs w:val="21"/>
                      <w:highlight w:val="none"/>
                      <w:u w:val="none"/>
                    </w:rPr>
                    <w:t>10mg/m</w:t>
                  </w:r>
                  <w:r>
                    <w:rPr>
                      <w:color w:val="auto"/>
                      <w:spacing w:val="5"/>
                      <w:sz w:val="21"/>
                      <w:szCs w:val="21"/>
                      <w:highlight w:val="none"/>
                      <w:u w:val="none"/>
                      <w:vertAlign w:val="superscript"/>
                    </w:rPr>
                    <w:t>3</w:t>
                  </w:r>
                </w:p>
              </w:tc>
            </w:tr>
            <w:tr w14:paraId="665AD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33599FD">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3226C1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rPr>
                  </w:pPr>
                </w:p>
              </w:tc>
              <w:tc>
                <w:tcPr>
                  <w:tcW w:w="314" w:type="pct"/>
                  <w:vMerge w:val="continue"/>
                  <w:noWrap w:val="0"/>
                  <w:vAlign w:val="center"/>
                </w:tcPr>
                <w:p w14:paraId="5C4F52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640" w:type="pct"/>
                  <w:noWrap w:val="0"/>
                  <w:vAlign w:val="center"/>
                </w:tcPr>
                <w:p w14:paraId="29747D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u w:val="none"/>
                      <w:lang w:val="en-US"/>
                    </w:rPr>
                  </w:pPr>
                  <w:r>
                    <w:rPr>
                      <w:rFonts w:hint="eastAsia"/>
                      <w:color w:val="auto"/>
                      <w:sz w:val="21"/>
                      <w:szCs w:val="21"/>
                      <w:highlight w:val="none"/>
                      <w:u w:val="none"/>
                      <w:lang w:val="en-US" w:eastAsia="zh-CN"/>
                    </w:rPr>
                    <w:t>DA004</w:t>
                  </w:r>
                </w:p>
              </w:tc>
              <w:tc>
                <w:tcPr>
                  <w:tcW w:w="737" w:type="pct"/>
                  <w:shd w:val="clear" w:color="auto" w:fill="auto"/>
                  <w:noWrap w:val="0"/>
                  <w:vAlign w:val="center"/>
                </w:tcPr>
                <w:p w14:paraId="3A87D381">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bCs/>
                      <w:color w:val="auto"/>
                      <w:sz w:val="21"/>
                      <w:szCs w:val="21"/>
                      <w:highlight w:val="none"/>
                      <w:u w:val="none"/>
                    </w:rPr>
                    <w:t>颗粒物</w:t>
                  </w:r>
                </w:p>
              </w:tc>
              <w:tc>
                <w:tcPr>
                  <w:tcW w:w="2308" w:type="pct"/>
                  <w:gridSpan w:val="2"/>
                  <w:shd w:val="clear" w:color="auto" w:fill="auto"/>
                  <w:noWrap w:val="0"/>
                  <w:vAlign w:val="center"/>
                </w:tcPr>
                <w:p w14:paraId="54CFC28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bCs/>
                      <w:color w:val="auto"/>
                      <w:kern w:val="2"/>
                      <w:sz w:val="21"/>
                      <w:szCs w:val="21"/>
                      <w:highlight w:val="none"/>
                      <w:u w:val="none"/>
                      <w:lang w:val="en-US" w:eastAsia="zh-CN" w:bidi="ar-SA"/>
                    </w:rPr>
                  </w:pPr>
                  <w:r>
                    <w:rPr>
                      <w:color w:val="auto"/>
                      <w:spacing w:val="5"/>
                      <w:sz w:val="21"/>
                      <w:szCs w:val="21"/>
                      <w:highlight w:val="none"/>
                      <w:u w:val="none"/>
                    </w:rPr>
                    <w:t>10mg/m</w:t>
                  </w:r>
                  <w:r>
                    <w:rPr>
                      <w:color w:val="auto"/>
                      <w:spacing w:val="5"/>
                      <w:sz w:val="21"/>
                      <w:szCs w:val="21"/>
                      <w:highlight w:val="none"/>
                      <w:u w:val="none"/>
                      <w:vertAlign w:val="superscript"/>
                    </w:rPr>
                    <w:t>3</w:t>
                  </w:r>
                </w:p>
              </w:tc>
            </w:tr>
            <w:tr w14:paraId="12429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153E281C">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31508C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restart"/>
                  <w:noWrap w:val="0"/>
                  <w:vAlign w:val="center"/>
                </w:tcPr>
                <w:p w14:paraId="3B2C9B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color w:val="auto"/>
                      <w:spacing w:val="7"/>
                      <w:sz w:val="21"/>
                      <w:szCs w:val="21"/>
                      <w:highlight w:val="none"/>
                      <w:u w:val="none"/>
                    </w:rPr>
                    <w:t>无组织</w:t>
                  </w:r>
                </w:p>
              </w:tc>
              <w:tc>
                <w:tcPr>
                  <w:tcW w:w="640" w:type="pct"/>
                  <w:vMerge w:val="restart"/>
                  <w:noWrap w:val="0"/>
                  <w:vAlign w:val="center"/>
                </w:tcPr>
                <w:p w14:paraId="52B691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rFonts w:hint="eastAsia"/>
                      <w:color w:val="auto"/>
                      <w:sz w:val="21"/>
                      <w:szCs w:val="21"/>
                      <w:highlight w:val="none"/>
                      <w:u w:val="none"/>
                      <w:lang w:val="en-US" w:eastAsia="zh-CN"/>
                    </w:rPr>
                    <w:t>厂区内无组织排放监控点</w:t>
                  </w:r>
                </w:p>
              </w:tc>
              <w:tc>
                <w:tcPr>
                  <w:tcW w:w="737" w:type="pct"/>
                  <w:noWrap w:val="0"/>
                  <w:vAlign w:val="center"/>
                </w:tcPr>
                <w:p w14:paraId="4BE76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bCs/>
                      <w:color w:val="auto"/>
                      <w:sz w:val="21"/>
                      <w:szCs w:val="21"/>
                      <w:highlight w:val="none"/>
                      <w:u w:val="none"/>
                    </w:rPr>
                    <w:t>颗粒物</w:t>
                  </w:r>
                </w:p>
              </w:tc>
              <w:tc>
                <w:tcPr>
                  <w:tcW w:w="2308" w:type="pct"/>
                  <w:gridSpan w:val="2"/>
                  <w:noWrap w:val="0"/>
                  <w:vAlign w:val="center"/>
                </w:tcPr>
                <w:p w14:paraId="0762E2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rFonts w:hint="eastAsia"/>
                      <w:bCs/>
                      <w:color w:val="auto"/>
                      <w:sz w:val="21"/>
                      <w:szCs w:val="21"/>
                      <w:highlight w:val="none"/>
                      <w:u w:val="none"/>
                      <w:lang w:val="en-US" w:eastAsia="zh-CN"/>
                    </w:rPr>
                    <w:t>监控点处1小时平均浓度</w:t>
                  </w:r>
                  <w:r>
                    <w:rPr>
                      <w:rFonts w:hint="eastAsia"/>
                      <w:color w:val="auto"/>
                      <w:sz w:val="21"/>
                      <w:szCs w:val="21"/>
                      <w:highlight w:val="none"/>
                      <w:u w:val="none"/>
                    </w:rPr>
                    <w:t>5</w:t>
                  </w:r>
                  <w:r>
                    <w:rPr>
                      <w:color w:val="auto"/>
                      <w:sz w:val="21"/>
                      <w:szCs w:val="21"/>
                      <w:highlight w:val="none"/>
                      <w:u w:val="none"/>
                    </w:rPr>
                    <w:t>mg/m</w:t>
                  </w:r>
                  <w:r>
                    <w:rPr>
                      <w:color w:val="auto"/>
                      <w:sz w:val="21"/>
                      <w:szCs w:val="21"/>
                      <w:highlight w:val="none"/>
                      <w:u w:val="none"/>
                      <w:vertAlign w:val="superscript"/>
                    </w:rPr>
                    <w:t>3</w:t>
                  </w:r>
                </w:p>
              </w:tc>
            </w:tr>
            <w:tr w14:paraId="7BF23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EDC3BBE">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608CA2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65F4CD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7"/>
                      <w:sz w:val="21"/>
                      <w:szCs w:val="21"/>
                      <w:highlight w:val="none"/>
                      <w:u w:val="none"/>
                    </w:rPr>
                  </w:pPr>
                </w:p>
              </w:tc>
              <w:tc>
                <w:tcPr>
                  <w:tcW w:w="640" w:type="pct"/>
                  <w:vMerge w:val="continue"/>
                  <w:noWrap w:val="0"/>
                  <w:vAlign w:val="center"/>
                </w:tcPr>
                <w:p w14:paraId="24D6E8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vMerge w:val="restart"/>
                  <w:noWrap w:val="0"/>
                  <w:vAlign w:val="center"/>
                </w:tcPr>
                <w:p w14:paraId="766C84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非甲烷总烃</w:t>
                  </w:r>
                </w:p>
              </w:tc>
              <w:tc>
                <w:tcPr>
                  <w:tcW w:w="2308" w:type="pct"/>
                  <w:gridSpan w:val="2"/>
                  <w:shd w:val="clear" w:color="auto" w:fill="auto"/>
                  <w:noWrap w:val="0"/>
                  <w:vAlign w:val="center"/>
                </w:tcPr>
                <w:p w14:paraId="28920C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u w:val="none"/>
                      <w:lang w:val="en-US" w:eastAsia="zh-CN" w:bidi="ar-SA"/>
                    </w:rPr>
                  </w:pPr>
                  <w:r>
                    <w:rPr>
                      <w:rFonts w:hint="eastAsia"/>
                      <w:bCs/>
                      <w:color w:val="auto"/>
                      <w:sz w:val="21"/>
                      <w:szCs w:val="21"/>
                      <w:highlight w:val="none"/>
                      <w:u w:val="none"/>
                      <w:lang w:val="en-US" w:eastAsia="zh-CN"/>
                    </w:rPr>
                    <w:t>监控点处1小时平均浓度</w:t>
                  </w:r>
                  <w:r>
                    <w:rPr>
                      <w:rFonts w:hint="eastAsia"/>
                      <w:color w:val="auto"/>
                      <w:sz w:val="21"/>
                      <w:szCs w:val="21"/>
                      <w:highlight w:val="none"/>
                      <w:u w:val="none"/>
                      <w:lang w:val="en-US" w:eastAsia="zh-CN"/>
                    </w:rPr>
                    <w:t>10</w:t>
                  </w:r>
                  <w:r>
                    <w:rPr>
                      <w:color w:val="auto"/>
                      <w:sz w:val="21"/>
                      <w:szCs w:val="21"/>
                      <w:highlight w:val="none"/>
                      <w:u w:val="none"/>
                    </w:rPr>
                    <w:t>mg/m</w:t>
                  </w:r>
                  <w:r>
                    <w:rPr>
                      <w:color w:val="auto"/>
                      <w:sz w:val="21"/>
                      <w:szCs w:val="21"/>
                      <w:highlight w:val="none"/>
                      <w:u w:val="none"/>
                      <w:vertAlign w:val="superscript"/>
                    </w:rPr>
                    <w:t>3</w:t>
                  </w:r>
                </w:p>
              </w:tc>
            </w:tr>
            <w:tr w14:paraId="5A18F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8C8CC3E">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0FD491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2D6E72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7"/>
                      <w:sz w:val="21"/>
                      <w:szCs w:val="21"/>
                      <w:highlight w:val="none"/>
                      <w:u w:val="none"/>
                    </w:rPr>
                  </w:pPr>
                </w:p>
              </w:tc>
              <w:tc>
                <w:tcPr>
                  <w:tcW w:w="640" w:type="pct"/>
                  <w:vMerge w:val="continue"/>
                  <w:noWrap w:val="0"/>
                  <w:vAlign w:val="center"/>
                </w:tcPr>
                <w:p w14:paraId="53997F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vMerge w:val="continue"/>
                  <w:noWrap w:val="0"/>
                  <w:vAlign w:val="center"/>
                </w:tcPr>
                <w:p w14:paraId="40710E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2308" w:type="pct"/>
                  <w:gridSpan w:val="2"/>
                  <w:shd w:val="clear" w:color="auto" w:fill="auto"/>
                  <w:noWrap w:val="0"/>
                  <w:vAlign w:val="center"/>
                </w:tcPr>
                <w:p w14:paraId="6FDF5D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bCs/>
                      <w:color w:val="auto"/>
                      <w:kern w:val="2"/>
                      <w:sz w:val="21"/>
                      <w:szCs w:val="21"/>
                      <w:highlight w:val="none"/>
                      <w:u w:val="none"/>
                      <w:lang w:val="en-US" w:eastAsia="zh-CN" w:bidi="ar-SA"/>
                    </w:rPr>
                  </w:pPr>
                  <w:r>
                    <w:rPr>
                      <w:rFonts w:hint="eastAsia"/>
                      <w:bCs/>
                      <w:color w:val="auto"/>
                      <w:sz w:val="21"/>
                      <w:szCs w:val="21"/>
                      <w:highlight w:val="none"/>
                      <w:u w:val="none"/>
                      <w:lang w:val="en-US" w:eastAsia="zh-CN"/>
                    </w:rPr>
                    <w:t>监控点处任意一次浓度值</w:t>
                  </w:r>
                  <w:r>
                    <w:rPr>
                      <w:color w:val="auto"/>
                      <w:spacing w:val="8"/>
                      <w:position w:val="3"/>
                      <w:sz w:val="21"/>
                      <w:szCs w:val="21"/>
                      <w:highlight w:val="none"/>
                      <w:u w:val="none"/>
                    </w:rPr>
                    <w:t>3</w:t>
                  </w:r>
                  <w:r>
                    <w:rPr>
                      <w:color w:val="auto"/>
                      <w:spacing w:val="7"/>
                      <w:position w:val="3"/>
                      <w:sz w:val="21"/>
                      <w:szCs w:val="21"/>
                      <w:highlight w:val="none"/>
                      <w:u w:val="none"/>
                    </w:rPr>
                    <w:t>0</w:t>
                  </w:r>
                  <w:r>
                    <w:rPr>
                      <w:color w:val="auto"/>
                      <w:position w:val="3"/>
                      <w:sz w:val="21"/>
                      <w:szCs w:val="21"/>
                      <w:highlight w:val="none"/>
                      <w:u w:val="none"/>
                    </w:rPr>
                    <w:t>mg</w:t>
                  </w:r>
                  <w:r>
                    <w:rPr>
                      <w:color w:val="auto"/>
                      <w:spacing w:val="7"/>
                      <w:position w:val="3"/>
                      <w:sz w:val="21"/>
                      <w:szCs w:val="21"/>
                      <w:highlight w:val="none"/>
                      <w:u w:val="none"/>
                    </w:rPr>
                    <w:t>/</w:t>
                  </w:r>
                  <w:r>
                    <w:rPr>
                      <w:color w:val="auto"/>
                      <w:position w:val="3"/>
                      <w:sz w:val="21"/>
                      <w:szCs w:val="21"/>
                      <w:highlight w:val="none"/>
                      <w:u w:val="none"/>
                    </w:rPr>
                    <w:t>m</w:t>
                  </w:r>
                  <w:r>
                    <w:rPr>
                      <w:color w:val="auto"/>
                      <w:position w:val="3"/>
                      <w:sz w:val="21"/>
                      <w:szCs w:val="21"/>
                      <w:highlight w:val="none"/>
                      <w:u w:val="none"/>
                      <w:vertAlign w:val="superscript"/>
                    </w:rPr>
                    <w:t>3</w:t>
                  </w:r>
                </w:p>
              </w:tc>
            </w:tr>
            <w:tr w14:paraId="62224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4C45494D">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150C87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5C60ED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7"/>
                      <w:sz w:val="21"/>
                      <w:szCs w:val="21"/>
                      <w:highlight w:val="none"/>
                      <w:u w:val="none"/>
                    </w:rPr>
                  </w:pPr>
                </w:p>
              </w:tc>
              <w:tc>
                <w:tcPr>
                  <w:tcW w:w="640" w:type="pct"/>
                  <w:vMerge w:val="restart"/>
                  <w:noWrap w:val="0"/>
                  <w:vAlign w:val="center"/>
                </w:tcPr>
                <w:p w14:paraId="1E17C5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r>
                    <w:rPr>
                      <w:rFonts w:hint="eastAsia"/>
                      <w:color w:val="auto"/>
                      <w:sz w:val="21"/>
                      <w:szCs w:val="21"/>
                      <w:highlight w:val="none"/>
                      <w:u w:val="none"/>
                      <w:lang w:val="en-US" w:eastAsia="zh-CN"/>
                    </w:rPr>
                    <w:t>厂界</w:t>
                  </w:r>
                </w:p>
              </w:tc>
              <w:tc>
                <w:tcPr>
                  <w:tcW w:w="737" w:type="pct"/>
                  <w:shd w:val="clear" w:color="auto" w:fill="auto"/>
                  <w:noWrap w:val="0"/>
                  <w:vAlign w:val="center"/>
                </w:tcPr>
                <w:p w14:paraId="384EB1BC">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r>
                    <w:rPr>
                      <w:bCs/>
                      <w:color w:val="auto"/>
                      <w:sz w:val="21"/>
                      <w:szCs w:val="21"/>
                      <w:highlight w:val="none"/>
                      <w:u w:val="none"/>
                    </w:rPr>
                    <w:t>颗粒物</w:t>
                  </w:r>
                </w:p>
              </w:tc>
              <w:tc>
                <w:tcPr>
                  <w:tcW w:w="2308" w:type="pct"/>
                  <w:gridSpan w:val="2"/>
                  <w:noWrap w:val="0"/>
                  <w:vAlign w:val="center"/>
                </w:tcPr>
                <w:p w14:paraId="0AF552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pacing w:val="6"/>
                      <w:position w:val="1"/>
                      <w:sz w:val="21"/>
                      <w:szCs w:val="21"/>
                      <w:highlight w:val="none"/>
                      <w:u w:val="none"/>
                    </w:rPr>
                    <w:t>0.5</w:t>
                  </w:r>
                  <w:r>
                    <w:rPr>
                      <w:color w:val="auto"/>
                      <w:position w:val="1"/>
                      <w:sz w:val="21"/>
                      <w:szCs w:val="21"/>
                      <w:highlight w:val="none"/>
                      <w:u w:val="none"/>
                    </w:rPr>
                    <w:t>mg</w:t>
                  </w:r>
                  <w:r>
                    <w:rPr>
                      <w:color w:val="auto"/>
                      <w:spacing w:val="6"/>
                      <w:position w:val="1"/>
                      <w:sz w:val="21"/>
                      <w:szCs w:val="21"/>
                      <w:highlight w:val="none"/>
                      <w:u w:val="none"/>
                    </w:rPr>
                    <w:t>/</w:t>
                  </w:r>
                  <w:r>
                    <w:rPr>
                      <w:color w:val="auto"/>
                      <w:position w:val="1"/>
                      <w:sz w:val="21"/>
                      <w:szCs w:val="21"/>
                      <w:highlight w:val="none"/>
                      <w:u w:val="none"/>
                    </w:rPr>
                    <w:t>m</w:t>
                  </w:r>
                  <w:r>
                    <w:rPr>
                      <w:color w:val="auto"/>
                      <w:position w:val="1"/>
                      <w:sz w:val="21"/>
                      <w:szCs w:val="21"/>
                      <w:highlight w:val="none"/>
                      <w:u w:val="none"/>
                      <w:vertAlign w:val="superscript"/>
                    </w:rPr>
                    <w:t>3</w:t>
                  </w:r>
                </w:p>
              </w:tc>
            </w:tr>
            <w:tr w14:paraId="42265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C18E1A5">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3C7F3D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1D546D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7"/>
                      <w:sz w:val="21"/>
                      <w:szCs w:val="21"/>
                      <w:highlight w:val="none"/>
                      <w:u w:val="none"/>
                    </w:rPr>
                  </w:pPr>
                </w:p>
              </w:tc>
              <w:tc>
                <w:tcPr>
                  <w:tcW w:w="640" w:type="pct"/>
                  <w:vMerge w:val="continue"/>
                  <w:noWrap w:val="0"/>
                  <w:vAlign w:val="center"/>
                </w:tcPr>
                <w:p w14:paraId="4B83F7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shd w:val="clear" w:color="auto" w:fill="auto"/>
                  <w:noWrap w:val="0"/>
                  <w:vAlign w:val="center"/>
                </w:tcPr>
                <w:p w14:paraId="5611A3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r>
                    <w:rPr>
                      <w:color w:val="auto"/>
                      <w:sz w:val="21"/>
                      <w:szCs w:val="21"/>
                      <w:highlight w:val="none"/>
                      <w:u w:val="none"/>
                    </w:rPr>
                    <w:t>非甲烷总烃</w:t>
                  </w:r>
                </w:p>
              </w:tc>
              <w:tc>
                <w:tcPr>
                  <w:tcW w:w="2308" w:type="pct"/>
                  <w:gridSpan w:val="2"/>
                  <w:noWrap w:val="0"/>
                  <w:vAlign w:val="center"/>
                </w:tcPr>
                <w:p w14:paraId="254421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bCs/>
                      <w:color w:val="auto"/>
                      <w:sz w:val="21"/>
                      <w:szCs w:val="21"/>
                      <w:highlight w:val="none"/>
                      <w:u w:val="none"/>
                    </w:rPr>
                    <w:t>2.0mg/m</w:t>
                  </w:r>
                  <w:r>
                    <w:rPr>
                      <w:bCs/>
                      <w:color w:val="auto"/>
                      <w:sz w:val="21"/>
                      <w:szCs w:val="21"/>
                      <w:highlight w:val="none"/>
                      <w:u w:val="none"/>
                      <w:vertAlign w:val="superscript"/>
                    </w:rPr>
                    <w:t>3</w:t>
                  </w:r>
                </w:p>
              </w:tc>
            </w:tr>
            <w:tr w14:paraId="4B3B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2332C1C4">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1069D0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highlight w:val="none"/>
                      <w:u w:val="none"/>
                    </w:rPr>
                  </w:pPr>
                </w:p>
              </w:tc>
              <w:tc>
                <w:tcPr>
                  <w:tcW w:w="314" w:type="pct"/>
                  <w:vMerge w:val="continue"/>
                  <w:noWrap w:val="0"/>
                  <w:vAlign w:val="center"/>
                </w:tcPr>
                <w:p w14:paraId="54D7A1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7"/>
                      <w:sz w:val="21"/>
                      <w:szCs w:val="21"/>
                      <w:highlight w:val="none"/>
                      <w:u w:val="none"/>
                    </w:rPr>
                  </w:pPr>
                </w:p>
              </w:tc>
              <w:tc>
                <w:tcPr>
                  <w:tcW w:w="640" w:type="pct"/>
                  <w:vMerge w:val="continue"/>
                  <w:noWrap w:val="0"/>
                  <w:vAlign w:val="center"/>
                </w:tcPr>
                <w:p w14:paraId="53783E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u w:val="none"/>
                      <w:lang w:val="en-US" w:eastAsia="zh-CN"/>
                    </w:rPr>
                  </w:pPr>
                </w:p>
              </w:tc>
              <w:tc>
                <w:tcPr>
                  <w:tcW w:w="737" w:type="pct"/>
                  <w:shd w:val="clear" w:color="auto" w:fill="auto"/>
                  <w:noWrap w:val="0"/>
                  <w:vAlign w:val="center"/>
                </w:tcPr>
                <w:p w14:paraId="693CFD5A">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auto"/>
                      <w:sz w:val="21"/>
                      <w:szCs w:val="21"/>
                      <w:highlight w:val="none"/>
                      <w:u w:val="none"/>
                    </w:rPr>
                    <w:t>甲醛</w:t>
                  </w:r>
                </w:p>
              </w:tc>
              <w:tc>
                <w:tcPr>
                  <w:tcW w:w="2308" w:type="pct"/>
                  <w:gridSpan w:val="2"/>
                  <w:noWrap w:val="0"/>
                  <w:vAlign w:val="center"/>
                </w:tcPr>
                <w:p w14:paraId="42EA2A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z w:val="21"/>
                      <w:szCs w:val="21"/>
                      <w:highlight w:val="none"/>
                      <w:u w:val="none"/>
                    </w:rPr>
                    <w:t>周界外浓度最高点</w:t>
                  </w:r>
                  <w:r>
                    <w:rPr>
                      <w:rFonts w:hint="eastAsia"/>
                      <w:color w:val="auto"/>
                      <w:sz w:val="21"/>
                      <w:szCs w:val="21"/>
                      <w:highlight w:val="none"/>
                      <w:u w:val="none"/>
                    </w:rPr>
                    <w:t>0.2</w:t>
                  </w:r>
                  <w:r>
                    <w:rPr>
                      <w:color w:val="auto"/>
                      <w:sz w:val="21"/>
                      <w:szCs w:val="21"/>
                      <w:highlight w:val="none"/>
                      <w:u w:val="none"/>
                    </w:rPr>
                    <w:t>mg/m</w:t>
                  </w:r>
                  <w:r>
                    <w:rPr>
                      <w:color w:val="auto"/>
                      <w:sz w:val="21"/>
                      <w:szCs w:val="21"/>
                      <w:highlight w:val="none"/>
                      <w:u w:val="none"/>
                      <w:vertAlign w:val="superscript"/>
                    </w:rPr>
                    <w:t>3</w:t>
                  </w:r>
                </w:p>
              </w:tc>
            </w:tr>
            <w:tr w14:paraId="43FFF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restart"/>
                  <w:noWrap w:val="0"/>
                  <w:vAlign w:val="center"/>
                </w:tcPr>
                <w:p w14:paraId="1F41034E">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eastAsia="宋体"/>
                      <w:color w:val="auto"/>
                      <w:sz w:val="21"/>
                      <w:szCs w:val="21"/>
                      <w:highlight w:val="none"/>
                      <w:u w:val="none"/>
                      <w:lang w:eastAsia="zh-CN"/>
                    </w:rPr>
                  </w:pPr>
                  <w:r>
                    <w:rPr>
                      <w:rFonts w:hint="eastAsia"/>
                      <w:color w:val="auto"/>
                      <w:sz w:val="21"/>
                      <w:szCs w:val="21"/>
                      <w:highlight w:val="none"/>
                      <w:u w:val="none"/>
                      <w:lang w:val="en-US" w:eastAsia="zh-CN"/>
                    </w:rPr>
                    <w:t>废水</w:t>
                  </w:r>
                </w:p>
              </w:tc>
              <w:tc>
                <w:tcPr>
                  <w:tcW w:w="1668" w:type="pct"/>
                  <w:gridSpan w:val="3"/>
                  <w:vMerge w:val="restart"/>
                  <w:noWrap w:val="0"/>
                  <w:vAlign w:val="center"/>
                </w:tcPr>
                <w:p w14:paraId="1C47916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r>
                    <w:rPr>
                      <w:color w:val="000000"/>
                      <w:sz w:val="21"/>
                      <w:szCs w:val="21"/>
                      <w:u w:val="none"/>
                    </w:rPr>
                    <w:t>《污水综合排放标准》</w:t>
                  </w:r>
                  <w:r>
                    <w:rPr>
                      <w:rFonts w:hint="eastAsia"/>
                      <w:color w:val="000000"/>
                      <w:sz w:val="21"/>
                      <w:szCs w:val="21"/>
                      <w:u w:val="none"/>
                      <w:lang w:eastAsia="zh-CN"/>
                    </w:rPr>
                    <w:t>（</w:t>
                  </w:r>
                  <w:r>
                    <w:rPr>
                      <w:color w:val="000000"/>
                      <w:sz w:val="21"/>
                      <w:szCs w:val="21"/>
                      <w:u w:val="none"/>
                    </w:rPr>
                    <w:t>GB8978-1996）表4</w:t>
                  </w:r>
                  <w:r>
                    <w:rPr>
                      <w:rFonts w:hint="eastAsia"/>
                      <w:color w:val="000000"/>
                      <w:sz w:val="21"/>
                      <w:szCs w:val="21"/>
                      <w:u w:val="none"/>
                      <w:lang w:val="en-US" w:eastAsia="zh-CN"/>
                    </w:rPr>
                    <w:t>三</w:t>
                  </w:r>
                  <w:r>
                    <w:rPr>
                      <w:color w:val="000000"/>
                      <w:sz w:val="21"/>
                      <w:szCs w:val="21"/>
                      <w:u w:val="none"/>
                    </w:rPr>
                    <w:t>级标准</w:t>
                  </w:r>
                </w:p>
              </w:tc>
              <w:tc>
                <w:tcPr>
                  <w:tcW w:w="737" w:type="pct"/>
                  <w:noWrap w:val="0"/>
                  <w:vAlign w:val="center"/>
                </w:tcPr>
                <w:p w14:paraId="11FAC1E4">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default"/>
                      <w:color w:val="000000"/>
                      <w:sz w:val="21"/>
                      <w:szCs w:val="21"/>
                      <w:u w:val="none"/>
                    </w:rPr>
                    <w:t>pH</w:t>
                  </w:r>
                </w:p>
              </w:tc>
              <w:tc>
                <w:tcPr>
                  <w:tcW w:w="2308" w:type="pct"/>
                  <w:gridSpan w:val="2"/>
                  <w:noWrap w:val="0"/>
                  <w:vAlign w:val="center"/>
                </w:tcPr>
                <w:p w14:paraId="2B1A7EBF">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default"/>
                      <w:color w:val="000000"/>
                      <w:sz w:val="21"/>
                      <w:szCs w:val="21"/>
                      <w:u w:val="none"/>
                    </w:rPr>
                    <w:t>6-9</w:t>
                  </w:r>
                </w:p>
              </w:tc>
            </w:tr>
            <w:tr w14:paraId="13E6C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42D7F885">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5B80695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p>
              </w:tc>
              <w:tc>
                <w:tcPr>
                  <w:tcW w:w="737" w:type="pct"/>
                  <w:noWrap w:val="0"/>
                  <w:vAlign w:val="center"/>
                </w:tcPr>
                <w:p w14:paraId="125FDE37">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default"/>
                      <w:color w:val="000000"/>
                      <w:sz w:val="21"/>
                      <w:szCs w:val="21"/>
                      <w:u w:val="none"/>
                    </w:rPr>
                    <w:t>COD</w:t>
                  </w:r>
                </w:p>
              </w:tc>
              <w:tc>
                <w:tcPr>
                  <w:tcW w:w="2308" w:type="pct"/>
                  <w:gridSpan w:val="2"/>
                  <w:noWrap w:val="0"/>
                  <w:vAlign w:val="center"/>
                </w:tcPr>
                <w:p w14:paraId="6360ED6E">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default"/>
                      <w:color w:val="000000"/>
                      <w:sz w:val="21"/>
                      <w:szCs w:val="21"/>
                      <w:u w:val="none"/>
                    </w:rPr>
                    <w:t>500mg/L</w:t>
                  </w:r>
                </w:p>
              </w:tc>
            </w:tr>
            <w:tr w14:paraId="07D93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B89931E">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1F0DFC9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p>
              </w:tc>
              <w:tc>
                <w:tcPr>
                  <w:tcW w:w="737" w:type="pct"/>
                  <w:noWrap w:val="0"/>
                  <w:vAlign w:val="center"/>
                </w:tcPr>
                <w:p w14:paraId="31692937">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default"/>
                      <w:color w:val="000000"/>
                      <w:sz w:val="21"/>
                      <w:szCs w:val="21"/>
                      <w:u w:val="none"/>
                    </w:rPr>
                    <w:t>SS</w:t>
                  </w:r>
                </w:p>
              </w:tc>
              <w:tc>
                <w:tcPr>
                  <w:tcW w:w="2308" w:type="pct"/>
                  <w:gridSpan w:val="2"/>
                  <w:noWrap w:val="0"/>
                  <w:vAlign w:val="center"/>
                </w:tcPr>
                <w:p w14:paraId="6C74DEFD">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default"/>
                      <w:color w:val="000000"/>
                      <w:sz w:val="21"/>
                      <w:szCs w:val="21"/>
                      <w:u w:val="none"/>
                    </w:rPr>
                    <w:t>400mg/L</w:t>
                  </w:r>
                </w:p>
              </w:tc>
            </w:tr>
            <w:tr w14:paraId="0CA24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A52F504">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2CEF747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p>
              </w:tc>
              <w:tc>
                <w:tcPr>
                  <w:tcW w:w="737" w:type="pct"/>
                  <w:noWrap w:val="0"/>
                  <w:vAlign w:val="center"/>
                </w:tcPr>
                <w:p w14:paraId="075748A1">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default"/>
                      <w:color w:val="000000"/>
                      <w:sz w:val="21"/>
                      <w:szCs w:val="21"/>
                      <w:u w:val="none"/>
                    </w:rPr>
                    <w:t>BOD</w:t>
                  </w:r>
                  <w:r>
                    <w:rPr>
                      <w:rFonts w:hint="default"/>
                      <w:color w:val="000000"/>
                      <w:sz w:val="21"/>
                      <w:szCs w:val="21"/>
                      <w:u w:val="none"/>
                      <w:vertAlign w:val="subscript"/>
                    </w:rPr>
                    <w:t>5</w:t>
                  </w:r>
                </w:p>
              </w:tc>
              <w:tc>
                <w:tcPr>
                  <w:tcW w:w="2308" w:type="pct"/>
                  <w:gridSpan w:val="2"/>
                  <w:noWrap w:val="0"/>
                  <w:vAlign w:val="center"/>
                </w:tcPr>
                <w:p w14:paraId="4044FECC">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default"/>
                      <w:color w:val="000000"/>
                      <w:sz w:val="21"/>
                      <w:szCs w:val="21"/>
                      <w:u w:val="none"/>
                    </w:rPr>
                    <w:t>300mg/L</w:t>
                  </w:r>
                </w:p>
              </w:tc>
            </w:tr>
            <w:tr w14:paraId="4BC7A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1086CD1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restart"/>
                  <w:noWrap w:val="0"/>
                  <w:vAlign w:val="center"/>
                </w:tcPr>
                <w:p w14:paraId="00367FD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1"/>
                      <w:highlight w:val="none"/>
                      <w:u w:val="none"/>
                      <w:lang w:val="en-US" w:eastAsia="zh-CN" w:bidi="ar-SA"/>
                    </w:rPr>
                  </w:pPr>
                  <w:r>
                    <w:rPr>
                      <w:rFonts w:hint="eastAsia" w:cs="Times New Roman"/>
                      <w:sz w:val="21"/>
                      <w:szCs w:val="21"/>
                      <w:u w:val="none"/>
                      <w:lang w:val="en-US" w:eastAsia="zh-CN"/>
                    </w:rPr>
                    <w:t>镇平</w:t>
                  </w:r>
                  <w:r>
                    <w:rPr>
                      <w:rFonts w:hint="eastAsia" w:ascii="Times New Roman" w:hAnsi="Times New Roman" w:cs="Times New Roman"/>
                      <w:sz w:val="21"/>
                      <w:szCs w:val="21"/>
                      <w:u w:val="none"/>
                      <w:lang w:eastAsia="zh-CN"/>
                    </w:rPr>
                    <w:t>县第</w:t>
                  </w:r>
                  <w:r>
                    <w:rPr>
                      <w:rFonts w:hint="eastAsia" w:cs="Times New Roman"/>
                      <w:sz w:val="21"/>
                      <w:szCs w:val="21"/>
                      <w:u w:val="none"/>
                      <w:lang w:val="en-US" w:eastAsia="zh-CN"/>
                    </w:rPr>
                    <w:t>二</w:t>
                  </w:r>
                  <w:r>
                    <w:rPr>
                      <w:rFonts w:hint="eastAsia" w:ascii="Times New Roman" w:hAnsi="Times New Roman" w:cs="Times New Roman"/>
                      <w:sz w:val="21"/>
                      <w:szCs w:val="21"/>
                      <w:u w:val="none"/>
                      <w:lang w:eastAsia="zh-CN"/>
                    </w:rPr>
                    <w:t>污水处理厂</w:t>
                  </w:r>
                  <w:r>
                    <w:rPr>
                      <w:rFonts w:hint="eastAsia" w:cs="Times New Roman"/>
                      <w:sz w:val="21"/>
                      <w:szCs w:val="21"/>
                      <w:u w:val="none"/>
                      <w:lang w:val="en-US" w:eastAsia="zh-CN"/>
                    </w:rPr>
                    <w:t>收水指标</w:t>
                  </w:r>
                </w:p>
              </w:tc>
              <w:tc>
                <w:tcPr>
                  <w:tcW w:w="737" w:type="pct"/>
                  <w:noWrap w:val="0"/>
                  <w:vAlign w:val="center"/>
                </w:tcPr>
                <w:p w14:paraId="5BE34F50">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default"/>
                      <w:color w:val="000000"/>
                      <w:sz w:val="21"/>
                      <w:szCs w:val="21"/>
                      <w:u w:val="none"/>
                    </w:rPr>
                    <w:t>pH</w:t>
                  </w:r>
                </w:p>
              </w:tc>
              <w:tc>
                <w:tcPr>
                  <w:tcW w:w="2308" w:type="pct"/>
                  <w:gridSpan w:val="2"/>
                  <w:noWrap w:val="0"/>
                  <w:vAlign w:val="center"/>
                </w:tcPr>
                <w:p w14:paraId="6CF38749">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default"/>
                      <w:color w:val="000000"/>
                      <w:sz w:val="21"/>
                      <w:szCs w:val="21"/>
                      <w:u w:val="none"/>
                    </w:rPr>
                    <w:t>6-9</w:t>
                  </w:r>
                </w:p>
              </w:tc>
            </w:tr>
            <w:tr w14:paraId="3CB84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442B636F">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38AF9E7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p>
              </w:tc>
              <w:tc>
                <w:tcPr>
                  <w:tcW w:w="737" w:type="pct"/>
                  <w:noWrap w:val="0"/>
                  <w:vAlign w:val="center"/>
                </w:tcPr>
                <w:p w14:paraId="24F1D07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rFonts w:hint="eastAsia" w:ascii="Times New Roman" w:hAnsi="Times New Roman" w:cs="Times New Roman"/>
                      <w:sz w:val="21"/>
                      <w:szCs w:val="21"/>
                      <w:u w:val="none"/>
                      <w:lang w:val="en-US" w:eastAsia="zh-CN"/>
                    </w:rPr>
                    <w:t>COD</w:t>
                  </w:r>
                </w:p>
              </w:tc>
              <w:tc>
                <w:tcPr>
                  <w:tcW w:w="2308" w:type="pct"/>
                  <w:gridSpan w:val="2"/>
                  <w:noWrap w:val="0"/>
                  <w:vAlign w:val="center"/>
                </w:tcPr>
                <w:p w14:paraId="60E79BC0">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eastAsia"/>
                      <w:color w:val="000000"/>
                      <w:sz w:val="21"/>
                      <w:szCs w:val="21"/>
                      <w:u w:val="none"/>
                      <w:lang w:val="en-US" w:eastAsia="zh-CN"/>
                    </w:rPr>
                    <w:t>400</w:t>
                  </w:r>
                  <w:r>
                    <w:rPr>
                      <w:rFonts w:hint="default"/>
                      <w:color w:val="000000"/>
                      <w:sz w:val="21"/>
                      <w:szCs w:val="21"/>
                      <w:u w:val="none"/>
                    </w:rPr>
                    <w:t>mg/L</w:t>
                  </w:r>
                </w:p>
              </w:tc>
            </w:tr>
            <w:tr w14:paraId="77556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07EA4A97">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3EE1F38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p>
              </w:tc>
              <w:tc>
                <w:tcPr>
                  <w:tcW w:w="737" w:type="pct"/>
                  <w:noWrap w:val="0"/>
                  <w:vAlign w:val="center"/>
                </w:tcPr>
                <w:p w14:paraId="0098B01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kern w:val="0"/>
                      <w:sz w:val="21"/>
                      <w:szCs w:val="21"/>
                    </w:rPr>
                    <w:t>BOD</w:t>
                  </w:r>
                  <w:r>
                    <w:rPr>
                      <w:kern w:val="0"/>
                      <w:sz w:val="21"/>
                      <w:szCs w:val="21"/>
                      <w:vertAlign w:val="subscript"/>
                    </w:rPr>
                    <w:t>5</w:t>
                  </w:r>
                </w:p>
              </w:tc>
              <w:tc>
                <w:tcPr>
                  <w:tcW w:w="2308" w:type="pct"/>
                  <w:gridSpan w:val="2"/>
                  <w:noWrap w:val="0"/>
                  <w:vAlign w:val="center"/>
                </w:tcPr>
                <w:p w14:paraId="32553DA8">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eastAsia"/>
                      <w:color w:val="000000"/>
                      <w:sz w:val="21"/>
                      <w:szCs w:val="21"/>
                      <w:u w:val="none"/>
                      <w:lang w:val="en-US" w:eastAsia="zh-CN"/>
                    </w:rPr>
                    <w:t>150</w:t>
                  </w:r>
                  <w:r>
                    <w:rPr>
                      <w:rFonts w:hint="default"/>
                      <w:color w:val="000000"/>
                      <w:sz w:val="21"/>
                      <w:szCs w:val="21"/>
                      <w:u w:val="none"/>
                    </w:rPr>
                    <w:t>mg/L</w:t>
                  </w:r>
                </w:p>
              </w:tc>
            </w:tr>
            <w:tr w14:paraId="7C32A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1AE810B">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674317C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p>
              </w:tc>
              <w:tc>
                <w:tcPr>
                  <w:tcW w:w="737" w:type="pct"/>
                  <w:noWrap w:val="0"/>
                  <w:vAlign w:val="center"/>
                </w:tcPr>
                <w:p w14:paraId="17110D2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r>
                    <w:rPr>
                      <w:kern w:val="0"/>
                      <w:sz w:val="21"/>
                      <w:szCs w:val="21"/>
                    </w:rPr>
                    <w:t>SS</w:t>
                  </w:r>
                </w:p>
              </w:tc>
              <w:tc>
                <w:tcPr>
                  <w:tcW w:w="2308" w:type="pct"/>
                  <w:gridSpan w:val="2"/>
                  <w:noWrap w:val="0"/>
                  <w:vAlign w:val="center"/>
                </w:tcPr>
                <w:p w14:paraId="1E40EA5C">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u w:val="none"/>
                    </w:rPr>
                  </w:pPr>
                  <w:r>
                    <w:rPr>
                      <w:rFonts w:hint="eastAsia"/>
                      <w:color w:val="000000"/>
                      <w:sz w:val="21"/>
                      <w:szCs w:val="21"/>
                      <w:u w:val="none"/>
                      <w:lang w:val="en-US" w:eastAsia="zh-CN"/>
                    </w:rPr>
                    <w:t>300</w:t>
                  </w:r>
                  <w:r>
                    <w:rPr>
                      <w:rFonts w:hint="default"/>
                      <w:color w:val="000000"/>
                      <w:sz w:val="21"/>
                      <w:szCs w:val="21"/>
                      <w:u w:val="none"/>
                    </w:rPr>
                    <w:t>mg/L</w:t>
                  </w:r>
                </w:p>
              </w:tc>
            </w:tr>
            <w:tr w14:paraId="0BD7F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6DA404FF">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1668" w:type="pct"/>
                  <w:gridSpan w:val="3"/>
                  <w:vMerge w:val="continue"/>
                  <w:noWrap w:val="0"/>
                  <w:vAlign w:val="center"/>
                </w:tcPr>
                <w:p w14:paraId="4A8E543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z w:val="21"/>
                      <w:szCs w:val="21"/>
                      <w:highlight w:val="none"/>
                      <w:u w:val="none"/>
                    </w:rPr>
                  </w:pPr>
                </w:p>
              </w:tc>
              <w:tc>
                <w:tcPr>
                  <w:tcW w:w="737" w:type="pct"/>
                  <w:noWrap w:val="0"/>
                  <w:vAlign w:val="center"/>
                </w:tcPr>
                <w:p w14:paraId="3D3F34D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kern w:val="0"/>
                      <w:sz w:val="21"/>
                      <w:szCs w:val="21"/>
                    </w:rPr>
                  </w:pPr>
                  <w:r>
                    <w:rPr>
                      <w:kern w:val="0"/>
                      <w:sz w:val="21"/>
                      <w:szCs w:val="21"/>
                    </w:rPr>
                    <w:t>NH</w:t>
                  </w:r>
                  <w:r>
                    <w:rPr>
                      <w:kern w:val="0"/>
                      <w:sz w:val="21"/>
                      <w:szCs w:val="21"/>
                      <w:vertAlign w:val="subscript"/>
                    </w:rPr>
                    <w:t>3</w:t>
                  </w:r>
                  <w:r>
                    <w:rPr>
                      <w:kern w:val="0"/>
                      <w:sz w:val="21"/>
                      <w:szCs w:val="21"/>
                    </w:rPr>
                    <w:t>-N</w:t>
                  </w:r>
                </w:p>
              </w:tc>
              <w:tc>
                <w:tcPr>
                  <w:tcW w:w="2308" w:type="pct"/>
                  <w:gridSpan w:val="2"/>
                  <w:noWrap w:val="0"/>
                  <w:vAlign w:val="center"/>
                </w:tcPr>
                <w:p w14:paraId="17B0A30C">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sz w:val="21"/>
                      <w:szCs w:val="21"/>
                      <w:u w:val="none"/>
                      <w:lang w:val="en-US" w:eastAsia="zh-CN"/>
                    </w:rPr>
                  </w:pPr>
                  <w:r>
                    <w:rPr>
                      <w:rFonts w:hint="eastAsia"/>
                      <w:color w:val="000000"/>
                      <w:sz w:val="21"/>
                      <w:szCs w:val="21"/>
                      <w:u w:val="none"/>
                      <w:lang w:val="en-US" w:eastAsia="zh-CN"/>
                    </w:rPr>
                    <w:t>40</w:t>
                  </w:r>
                  <w:r>
                    <w:rPr>
                      <w:rFonts w:hint="default"/>
                      <w:color w:val="000000"/>
                      <w:sz w:val="21"/>
                      <w:szCs w:val="21"/>
                      <w:u w:val="none"/>
                    </w:rPr>
                    <w:t>mg/L</w:t>
                  </w:r>
                </w:p>
              </w:tc>
            </w:tr>
            <w:tr w14:paraId="51A93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FE76B10">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restart"/>
                  <w:noWrap w:val="0"/>
                  <w:vAlign w:val="center"/>
                </w:tcPr>
                <w:p w14:paraId="421668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rFonts w:hint="eastAsia"/>
                      <w:color w:val="000000" w:themeColor="text1"/>
                      <w:sz w:val="21"/>
                      <w:szCs w:val="21"/>
                      <w:lang w:val="en-US" w:eastAsia="zh-CN"/>
                      <w14:textFill>
                        <w14:solidFill>
                          <w14:schemeClr w14:val="tx1"/>
                        </w14:solidFill>
                      </w14:textFill>
                    </w:rPr>
                    <w:t>厂区总排口最终执行</w:t>
                  </w:r>
                </w:p>
              </w:tc>
              <w:tc>
                <w:tcPr>
                  <w:tcW w:w="955" w:type="pct"/>
                  <w:gridSpan w:val="2"/>
                  <w:vMerge w:val="restart"/>
                  <w:shd w:val="clear" w:color="auto" w:fill="auto"/>
                  <w:noWrap w:val="0"/>
                  <w:vAlign w:val="center"/>
                </w:tcPr>
                <w:p w14:paraId="4C5356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themeColor="text1"/>
                      <w:sz w:val="21"/>
                      <w:szCs w:val="21"/>
                      <w:highlight w:val="none"/>
                      <w:u w:val="none"/>
                      <w:lang w:val="en-US" w:eastAsia="zh-CN"/>
                      <w14:textFill>
                        <w14:solidFill>
                          <w14:schemeClr w14:val="tx1"/>
                        </w14:solidFill>
                      </w14:textFill>
                    </w:rPr>
                  </w:pPr>
                  <w:r>
                    <w:rPr>
                      <w:rFonts w:hint="eastAsia"/>
                      <w:color w:val="000000" w:themeColor="text1"/>
                      <w:sz w:val="21"/>
                      <w:szCs w:val="21"/>
                      <w:highlight w:val="none"/>
                      <w:u w:val="none"/>
                      <w:lang w:val="en-US" w:eastAsia="zh-CN"/>
                      <w14:textFill>
                        <w14:solidFill>
                          <w14:schemeClr w14:val="tx1"/>
                        </w14:solidFill>
                      </w14:textFill>
                    </w:rPr>
                    <w:t>DW001</w:t>
                  </w:r>
                </w:p>
              </w:tc>
              <w:tc>
                <w:tcPr>
                  <w:tcW w:w="737" w:type="pct"/>
                  <w:shd w:val="clear" w:color="auto" w:fill="auto"/>
                  <w:noWrap w:val="0"/>
                  <w:vAlign w:val="center"/>
                </w:tcPr>
                <w:p w14:paraId="1ACBDEC9">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000000" w:themeColor="text1"/>
                      <w:sz w:val="21"/>
                      <w:szCs w:val="21"/>
                      <w:highlight w:val="none"/>
                      <w:u w:val="none"/>
                      <w14:textFill>
                        <w14:solidFill>
                          <w14:schemeClr w14:val="tx1"/>
                        </w14:solidFill>
                      </w14:textFill>
                    </w:rPr>
                  </w:pPr>
                  <w:r>
                    <w:rPr>
                      <w:rFonts w:hint="default"/>
                      <w:color w:val="000000"/>
                      <w:sz w:val="21"/>
                      <w:szCs w:val="21"/>
                      <w:u w:val="none"/>
                    </w:rPr>
                    <w:t>pH</w:t>
                  </w:r>
                </w:p>
              </w:tc>
              <w:tc>
                <w:tcPr>
                  <w:tcW w:w="2308" w:type="pct"/>
                  <w:gridSpan w:val="2"/>
                  <w:shd w:val="clear" w:color="auto" w:fill="auto"/>
                  <w:noWrap w:val="0"/>
                  <w:vAlign w:val="center"/>
                </w:tcPr>
                <w:p w14:paraId="43A93DC6">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sz w:val="21"/>
                      <w:szCs w:val="21"/>
                    </w:rPr>
                  </w:pPr>
                  <w:r>
                    <w:rPr>
                      <w:rFonts w:hint="default"/>
                      <w:color w:val="000000"/>
                      <w:sz w:val="21"/>
                      <w:szCs w:val="21"/>
                      <w:u w:val="none"/>
                    </w:rPr>
                    <w:t>6-9</w:t>
                  </w:r>
                </w:p>
              </w:tc>
            </w:tr>
            <w:tr w14:paraId="1C957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7209BFEA">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326788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955" w:type="pct"/>
                  <w:gridSpan w:val="2"/>
                  <w:vMerge w:val="continue"/>
                  <w:shd w:val="clear" w:color="auto" w:fill="auto"/>
                  <w:noWrap w:val="0"/>
                  <w:vAlign w:val="center"/>
                </w:tcPr>
                <w:p w14:paraId="492D09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eastAsia="宋体"/>
                      <w:color w:val="000000" w:themeColor="text1"/>
                      <w:sz w:val="21"/>
                      <w:szCs w:val="21"/>
                      <w:highlight w:val="none"/>
                      <w:u w:val="none"/>
                      <w:lang w:val="en-US" w:eastAsia="zh-CN"/>
                      <w14:textFill>
                        <w14:solidFill>
                          <w14:schemeClr w14:val="tx1"/>
                        </w14:solidFill>
                      </w14:textFill>
                    </w:rPr>
                  </w:pPr>
                </w:p>
              </w:tc>
              <w:tc>
                <w:tcPr>
                  <w:tcW w:w="737" w:type="pct"/>
                  <w:shd w:val="clear" w:color="auto" w:fill="auto"/>
                  <w:noWrap w:val="0"/>
                  <w:vAlign w:val="center"/>
                </w:tcPr>
                <w:p w14:paraId="61BD7A9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cs="Times New Roman"/>
                      <w:sz w:val="21"/>
                      <w:szCs w:val="21"/>
                      <w:u w:val="none"/>
                      <w:lang w:val="en-US" w:eastAsia="zh-CN"/>
                    </w:rPr>
                    <w:t>COD</w:t>
                  </w:r>
                </w:p>
              </w:tc>
              <w:tc>
                <w:tcPr>
                  <w:tcW w:w="2308" w:type="pct"/>
                  <w:gridSpan w:val="2"/>
                  <w:shd w:val="clear" w:color="auto" w:fill="auto"/>
                  <w:noWrap w:val="0"/>
                  <w:vAlign w:val="center"/>
                </w:tcPr>
                <w:p w14:paraId="76499178">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Cs/>
                      <w:color w:val="auto"/>
                      <w:kern w:val="2"/>
                      <w:sz w:val="21"/>
                      <w:szCs w:val="21"/>
                      <w:highlight w:val="none"/>
                      <w:u w:val="none"/>
                      <w:lang w:val="en-US" w:eastAsia="zh-CN" w:bidi="ar-SA"/>
                    </w:rPr>
                  </w:pPr>
                  <w:r>
                    <w:rPr>
                      <w:rFonts w:hint="eastAsia"/>
                      <w:color w:val="000000"/>
                      <w:sz w:val="21"/>
                      <w:szCs w:val="21"/>
                      <w:u w:val="none"/>
                      <w:lang w:val="en-US" w:eastAsia="zh-CN"/>
                    </w:rPr>
                    <w:t>400</w:t>
                  </w:r>
                  <w:r>
                    <w:rPr>
                      <w:rFonts w:hint="default"/>
                      <w:color w:val="000000"/>
                      <w:sz w:val="21"/>
                      <w:szCs w:val="21"/>
                      <w:u w:val="none"/>
                    </w:rPr>
                    <w:t>mg/L</w:t>
                  </w:r>
                </w:p>
              </w:tc>
            </w:tr>
            <w:tr w14:paraId="7AFE3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4181A7F2">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08B0D7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955" w:type="pct"/>
                  <w:gridSpan w:val="2"/>
                  <w:vMerge w:val="continue"/>
                  <w:noWrap w:val="0"/>
                  <w:vAlign w:val="center"/>
                </w:tcPr>
                <w:p w14:paraId="03EC48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themeColor="text1"/>
                      <w:sz w:val="21"/>
                      <w:szCs w:val="21"/>
                      <w:highlight w:val="none"/>
                      <w:u w:val="none"/>
                      <w14:textFill>
                        <w14:solidFill>
                          <w14:schemeClr w14:val="tx1"/>
                        </w14:solidFill>
                      </w14:textFill>
                    </w:rPr>
                  </w:pPr>
                </w:p>
              </w:tc>
              <w:tc>
                <w:tcPr>
                  <w:tcW w:w="737" w:type="pct"/>
                  <w:shd w:val="clear" w:color="auto" w:fill="auto"/>
                  <w:noWrap w:val="0"/>
                  <w:vAlign w:val="center"/>
                </w:tcPr>
                <w:p w14:paraId="5A2D282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kern w:val="0"/>
                      <w:sz w:val="21"/>
                      <w:szCs w:val="21"/>
                    </w:rPr>
                    <w:t>BOD</w:t>
                  </w:r>
                  <w:r>
                    <w:rPr>
                      <w:kern w:val="0"/>
                      <w:sz w:val="21"/>
                      <w:szCs w:val="21"/>
                      <w:vertAlign w:val="subscript"/>
                    </w:rPr>
                    <w:t>5</w:t>
                  </w:r>
                </w:p>
              </w:tc>
              <w:tc>
                <w:tcPr>
                  <w:tcW w:w="2308" w:type="pct"/>
                  <w:gridSpan w:val="2"/>
                  <w:shd w:val="clear" w:color="auto" w:fill="auto"/>
                  <w:noWrap w:val="0"/>
                  <w:vAlign w:val="center"/>
                </w:tcPr>
                <w:p w14:paraId="38114BD1">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Cs/>
                      <w:color w:val="auto"/>
                      <w:kern w:val="2"/>
                      <w:sz w:val="21"/>
                      <w:szCs w:val="21"/>
                      <w:highlight w:val="none"/>
                      <w:u w:val="none"/>
                      <w:lang w:val="en-US" w:eastAsia="zh-CN" w:bidi="ar-SA"/>
                    </w:rPr>
                  </w:pPr>
                  <w:r>
                    <w:rPr>
                      <w:rFonts w:hint="eastAsia"/>
                      <w:color w:val="000000"/>
                      <w:sz w:val="21"/>
                      <w:szCs w:val="21"/>
                      <w:u w:val="none"/>
                      <w:lang w:val="en-US" w:eastAsia="zh-CN"/>
                    </w:rPr>
                    <w:t>150</w:t>
                  </w:r>
                  <w:r>
                    <w:rPr>
                      <w:rFonts w:hint="default"/>
                      <w:color w:val="000000"/>
                      <w:sz w:val="21"/>
                      <w:szCs w:val="21"/>
                      <w:u w:val="none"/>
                    </w:rPr>
                    <w:t>mg/L</w:t>
                  </w:r>
                </w:p>
              </w:tc>
            </w:tr>
            <w:tr w14:paraId="5EB86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78DDB06">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01FDA9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955" w:type="pct"/>
                  <w:gridSpan w:val="2"/>
                  <w:vMerge w:val="continue"/>
                  <w:noWrap w:val="0"/>
                  <w:vAlign w:val="center"/>
                </w:tcPr>
                <w:p w14:paraId="10AF68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themeColor="text1"/>
                      <w:sz w:val="21"/>
                      <w:szCs w:val="21"/>
                      <w:highlight w:val="none"/>
                      <w:u w:val="none"/>
                      <w14:textFill>
                        <w14:solidFill>
                          <w14:schemeClr w14:val="tx1"/>
                        </w14:solidFill>
                      </w14:textFill>
                    </w:rPr>
                  </w:pPr>
                </w:p>
              </w:tc>
              <w:tc>
                <w:tcPr>
                  <w:tcW w:w="737" w:type="pct"/>
                  <w:shd w:val="clear" w:color="auto" w:fill="auto"/>
                  <w:noWrap w:val="0"/>
                  <w:vAlign w:val="center"/>
                </w:tcPr>
                <w:p w14:paraId="0C7439A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kern w:val="0"/>
                      <w:sz w:val="21"/>
                      <w:szCs w:val="21"/>
                    </w:rPr>
                    <w:t>SS</w:t>
                  </w:r>
                </w:p>
              </w:tc>
              <w:tc>
                <w:tcPr>
                  <w:tcW w:w="2308" w:type="pct"/>
                  <w:gridSpan w:val="2"/>
                  <w:shd w:val="clear" w:color="auto" w:fill="auto"/>
                  <w:noWrap w:val="0"/>
                  <w:vAlign w:val="center"/>
                </w:tcPr>
                <w:p w14:paraId="1A16807A">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Cs/>
                      <w:color w:val="auto"/>
                      <w:kern w:val="2"/>
                      <w:sz w:val="21"/>
                      <w:szCs w:val="21"/>
                      <w:highlight w:val="none"/>
                      <w:u w:val="none"/>
                      <w:lang w:val="en-US" w:eastAsia="zh-CN" w:bidi="ar-SA"/>
                    </w:rPr>
                  </w:pPr>
                  <w:r>
                    <w:rPr>
                      <w:rFonts w:hint="eastAsia"/>
                      <w:color w:val="000000"/>
                      <w:sz w:val="21"/>
                      <w:szCs w:val="21"/>
                      <w:u w:val="none"/>
                      <w:lang w:val="en-US" w:eastAsia="zh-CN"/>
                    </w:rPr>
                    <w:t>300</w:t>
                  </w:r>
                  <w:r>
                    <w:rPr>
                      <w:rFonts w:hint="default"/>
                      <w:color w:val="000000"/>
                      <w:sz w:val="21"/>
                      <w:szCs w:val="21"/>
                      <w:u w:val="none"/>
                    </w:rPr>
                    <w:t>mg/L</w:t>
                  </w:r>
                </w:p>
              </w:tc>
            </w:tr>
            <w:tr w14:paraId="1C881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vMerge w:val="continue"/>
                  <w:noWrap w:val="0"/>
                  <w:vAlign w:val="center"/>
                </w:tcPr>
                <w:p w14:paraId="5A1009CB">
                  <w:pPr>
                    <w:pStyle w:val="18"/>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713" w:type="pct"/>
                  <w:vMerge w:val="continue"/>
                  <w:noWrap w:val="0"/>
                  <w:vAlign w:val="center"/>
                </w:tcPr>
                <w:p w14:paraId="68524C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955" w:type="pct"/>
                  <w:gridSpan w:val="2"/>
                  <w:vMerge w:val="continue"/>
                  <w:noWrap w:val="0"/>
                  <w:vAlign w:val="center"/>
                </w:tcPr>
                <w:p w14:paraId="523D9A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themeColor="text1"/>
                      <w:sz w:val="21"/>
                      <w:szCs w:val="21"/>
                      <w:highlight w:val="none"/>
                      <w:u w:val="none"/>
                      <w14:textFill>
                        <w14:solidFill>
                          <w14:schemeClr w14:val="tx1"/>
                        </w14:solidFill>
                      </w14:textFill>
                    </w:rPr>
                  </w:pPr>
                </w:p>
              </w:tc>
              <w:tc>
                <w:tcPr>
                  <w:tcW w:w="737" w:type="pct"/>
                  <w:shd w:val="clear" w:color="auto" w:fill="auto"/>
                  <w:noWrap w:val="0"/>
                  <w:vAlign w:val="center"/>
                </w:tcPr>
                <w:p w14:paraId="0488A6B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kern w:val="0"/>
                      <w:sz w:val="21"/>
                      <w:szCs w:val="21"/>
                    </w:rPr>
                    <w:t>NH</w:t>
                  </w:r>
                  <w:r>
                    <w:rPr>
                      <w:kern w:val="0"/>
                      <w:sz w:val="21"/>
                      <w:szCs w:val="21"/>
                      <w:vertAlign w:val="subscript"/>
                    </w:rPr>
                    <w:t>3</w:t>
                  </w:r>
                  <w:r>
                    <w:rPr>
                      <w:kern w:val="0"/>
                      <w:sz w:val="21"/>
                      <w:szCs w:val="21"/>
                    </w:rPr>
                    <w:t>-N</w:t>
                  </w:r>
                </w:p>
              </w:tc>
              <w:tc>
                <w:tcPr>
                  <w:tcW w:w="2308" w:type="pct"/>
                  <w:gridSpan w:val="2"/>
                  <w:shd w:val="clear" w:color="auto" w:fill="auto"/>
                  <w:noWrap w:val="0"/>
                  <w:vAlign w:val="center"/>
                </w:tcPr>
                <w:p w14:paraId="3546435F">
                  <w:pPr>
                    <w:pStyle w:val="46"/>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bCs/>
                      <w:color w:val="auto"/>
                      <w:kern w:val="2"/>
                      <w:sz w:val="21"/>
                      <w:szCs w:val="21"/>
                      <w:highlight w:val="none"/>
                      <w:u w:val="none"/>
                      <w:lang w:val="en-US" w:eastAsia="zh-CN" w:bidi="ar-SA"/>
                    </w:rPr>
                  </w:pPr>
                  <w:r>
                    <w:rPr>
                      <w:rFonts w:hint="eastAsia"/>
                      <w:color w:val="000000"/>
                      <w:sz w:val="21"/>
                      <w:szCs w:val="21"/>
                      <w:u w:val="none"/>
                      <w:lang w:val="en-US" w:eastAsia="zh-CN"/>
                    </w:rPr>
                    <w:t>40</w:t>
                  </w:r>
                  <w:r>
                    <w:rPr>
                      <w:rFonts w:hint="default"/>
                      <w:color w:val="000000"/>
                      <w:sz w:val="21"/>
                      <w:szCs w:val="21"/>
                      <w:u w:val="none"/>
                    </w:rPr>
                    <w:t>mg/L</w:t>
                  </w:r>
                </w:p>
              </w:tc>
            </w:tr>
            <w:tr w14:paraId="54DF4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pct"/>
                  <w:gridSpan w:val="4"/>
                  <w:vMerge w:val="restart"/>
                  <w:noWrap w:val="0"/>
                  <w:vAlign w:val="center"/>
                </w:tcPr>
                <w:p w14:paraId="2DCD5B9F">
                  <w:pPr>
                    <w:pStyle w:val="9"/>
                    <w:keepNext w:val="0"/>
                    <w:keepLines w:val="0"/>
                    <w:pageBreakBefore w:val="0"/>
                    <w:widowControl w:val="0"/>
                    <w:kinsoku/>
                    <w:wordWrap/>
                    <w:overflowPunct/>
                    <w:topLinePunct w:val="0"/>
                    <w:autoSpaceDE/>
                    <w:autoSpaceDN/>
                    <w:bidi w:val="0"/>
                    <w:spacing w:before="0" w:after="0" w:line="240" w:lineRule="auto"/>
                    <w:ind w:right="0" w:firstLine="0" w:firstLineChars="0"/>
                    <w:jc w:val="center"/>
                    <w:textAlignment w:val="auto"/>
                    <w:rPr>
                      <w:color w:val="auto"/>
                      <w:sz w:val="21"/>
                      <w:szCs w:val="21"/>
                      <w:highlight w:val="none"/>
                      <w:u w:val="none"/>
                    </w:rPr>
                  </w:pPr>
                  <w:r>
                    <w:rPr>
                      <w:bCs/>
                      <w:color w:val="auto"/>
                      <w:sz w:val="21"/>
                      <w:szCs w:val="21"/>
                      <w:highlight w:val="none"/>
                      <w:u w:val="none"/>
                    </w:rPr>
                    <w:t>《工业企业厂界环境噪声排放标准》(GB12348-2008)中标准</w:t>
                  </w:r>
                </w:p>
              </w:tc>
              <w:tc>
                <w:tcPr>
                  <w:tcW w:w="737" w:type="pct"/>
                  <w:vMerge w:val="restart"/>
                  <w:noWrap w:val="0"/>
                  <w:vAlign w:val="center"/>
                </w:tcPr>
                <w:p w14:paraId="2041C460">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2类</w:t>
                  </w:r>
                </w:p>
              </w:tc>
              <w:tc>
                <w:tcPr>
                  <w:tcW w:w="532" w:type="pct"/>
                  <w:noWrap w:val="0"/>
                  <w:vAlign w:val="center"/>
                </w:tcPr>
                <w:p w14:paraId="6BEEB4F7">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昼间</w:t>
                  </w:r>
                </w:p>
              </w:tc>
              <w:tc>
                <w:tcPr>
                  <w:tcW w:w="1776" w:type="pct"/>
                  <w:noWrap w:val="0"/>
                  <w:vAlign w:val="center"/>
                </w:tcPr>
                <w:p w14:paraId="61460AFF">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60dB(A)</w:t>
                  </w:r>
                </w:p>
              </w:tc>
            </w:tr>
            <w:tr w14:paraId="56AAC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3" w:type="pct"/>
                  <w:gridSpan w:val="4"/>
                  <w:vMerge w:val="continue"/>
                  <w:noWrap w:val="0"/>
                  <w:vAlign w:val="center"/>
                </w:tcPr>
                <w:p w14:paraId="52557426">
                  <w:pPr>
                    <w:pStyle w:val="9"/>
                    <w:keepNext w:val="0"/>
                    <w:keepLines w:val="0"/>
                    <w:pageBreakBefore w:val="0"/>
                    <w:widowControl w:val="0"/>
                    <w:kinsoku/>
                    <w:wordWrap/>
                    <w:overflowPunct/>
                    <w:topLinePunct w:val="0"/>
                    <w:autoSpaceDE/>
                    <w:autoSpaceDN/>
                    <w:bidi w:val="0"/>
                    <w:spacing w:before="0" w:after="0" w:line="240" w:lineRule="auto"/>
                    <w:ind w:right="0" w:firstLine="0" w:firstLineChars="0"/>
                    <w:jc w:val="center"/>
                    <w:textAlignment w:val="auto"/>
                    <w:rPr>
                      <w:bCs/>
                      <w:color w:val="auto"/>
                      <w:sz w:val="21"/>
                      <w:szCs w:val="21"/>
                      <w:highlight w:val="none"/>
                      <w:u w:val="none"/>
                    </w:rPr>
                  </w:pPr>
                </w:p>
              </w:tc>
              <w:tc>
                <w:tcPr>
                  <w:tcW w:w="737" w:type="pct"/>
                  <w:vMerge w:val="continue"/>
                  <w:noWrap w:val="0"/>
                  <w:vAlign w:val="center"/>
                </w:tcPr>
                <w:p w14:paraId="23CFD90D">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p>
              </w:tc>
              <w:tc>
                <w:tcPr>
                  <w:tcW w:w="532" w:type="pct"/>
                  <w:noWrap w:val="0"/>
                  <w:vAlign w:val="center"/>
                </w:tcPr>
                <w:p w14:paraId="497385CE">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夜间</w:t>
                  </w:r>
                </w:p>
              </w:tc>
              <w:tc>
                <w:tcPr>
                  <w:tcW w:w="1776" w:type="pct"/>
                  <w:noWrap w:val="0"/>
                  <w:vAlign w:val="center"/>
                </w:tcPr>
                <w:p w14:paraId="36CB7829">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sz w:val="21"/>
                      <w:szCs w:val="21"/>
                      <w:highlight w:val="none"/>
                      <w:u w:val="none"/>
                    </w:rPr>
                  </w:pPr>
                  <w:r>
                    <w:rPr>
                      <w:color w:val="auto"/>
                      <w:sz w:val="21"/>
                      <w:szCs w:val="21"/>
                      <w:highlight w:val="none"/>
                      <w:u w:val="none"/>
                    </w:rPr>
                    <w:t>50dB(A)</w:t>
                  </w:r>
                </w:p>
              </w:tc>
            </w:tr>
            <w:tr w14:paraId="77737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noWrap w:val="0"/>
                  <w:vAlign w:val="center"/>
                </w:tcPr>
                <w:p w14:paraId="4A081A9F">
                  <w:pPr>
                    <w:pStyle w:val="6"/>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Cs/>
                      <w:color w:val="auto"/>
                      <w:sz w:val="21"/>
                      <w:szCs w:val="21"/>
                      <w:highlight w:val="none"/>
                      <w:u w:val="none"/>
                    </w:rPr>
                  </w:pPr>
                  <w:r>
                    <w:rPr>
                      <w:color w:val="auto"/>
                      <w:sz w:val="21"/>
                      <w:szCs w:val="21"/>
                      <w:highlight w:val="none"/>
                      <w:u w:val="none"/>
                    </w:rPr>
                    <w:t>一般工业固体废物执行《一般工业固体废物贮存和填埋污染控制标准》（GB18599-2020）的要求；危险废物执行《危险废物贮存污染控制标准》（GB18597-2023）</w:t>
                  </w:r>
                </w:p>
              </w:tc>
            </w:tr>
          </w:tbl>
          <w:p w14:paraId="6BAA50AF">
            <w:pPr>
              <w:spacing w:line="360" w:lineRule="auto"/>
              <w:ind w:left="0" w:leftChars="0" w:firstLine="0" w:firstLineChars="0"/>
              <w:rPr>
                <w:rFonts w:hint="eastAsia" w:eastAsia="宋体" w:cs="Times New Roman"/>
                <w:kern w:val="0"/>
                <w:szCs w:val="24"/>
              </w:rPr>
            </w:pPr>
            <w:r>
              <w:rPr>
                <w:rFonts w:hint="eastAsia" w:eastAsia="宋体" w:cs="Times New Roman"/>
                <w:kern w:val="0"/>
                <w:szCs w:val="24"/>
                <w:lang w:val="en-US" w:eastAsia="zh-CN"/>
              </w:rPr>
              <w:t xml:space="preserve"> </w:t>
            </w:r>
          </w:p>
        </w:tc>
      </w:tr>
      <w:tr w14:paraId="32DF3205">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36844EF8">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总量控制指标</w:t>
            </w:r>
          </w:p>
        </w:tc>
        <w:tc>
          <w:tcPr>
            <w:tcW w:w="4754" w:type="pct"/>
            <w:vAlign w:val="top"/>
          </w:tcPr>
          <w:p w14:paraId="5D472B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val="0"/>
                <w:bCs w:val="0"/>
                <w:color w:val="000000"/>
                <w:sz w:val="24"/>
                <w:u w:val="none"/>
                <w:lang w:val="en-US" w:eastAsia="zh-CN"/>
              </w:rPr>
            </w:pPr>
            <w:r>
              <w:rPr>
                <w:rFonts w:hint="eastAsia"/>
                <w:b w:val="0"/>
                <w:bCs w:val="0"/>
                <w:color w:val="000000"/>
                <w:sz w:val="24"/>
                <w:u w:val="none"/>
                <w:lang w:val="en-US" w:eastAsia="zh-CN"/>
              </w:rPr>
              <w:t>根据生态环境部办公厅《“十五五”污染减排工作方案编制技术指南》（环办综合函〔2025〕184号），“十五五”时期，国家明确列入总量减排的主要污染物为：化学需氧量、总磷、氮氧化物、挥发性有机物四项。</w:t>
            </w:r>
          </w:p>
          <w:p w14:paraId="63EB85E0">
            <w:pPr>
              <w:ind w:firstLine="480"/>
              <w:rPr>
                <w:color w:val="000000" w:themeColor="text1"/>
                <w:u w:val="none"/>
                <w14:textFill>
                  <w14:solidFill>
                    <w14:schemeClr w14:val="tx1"/>
                  </w14:solidFill>
                </w14:textFill>
              </w:rPr>
            </w:pPr>
            <w:r>
              <w:rPr>
                <w:rFonts w:hint="eastAsia"/>
                <w:color w:val="000000" w:themeColor="text1"/>
                <w:u w:val="none"/>
                <w14:textFill>
                  <w14:solidFill>
                    <w14:schemeClr w14:val="tx1"/>
                  </w14:solidFill>
                </w14:textFill>
              </w:rPr>
              <w:t>（1）废气总量控制指标</w:t>
            </w:r>
          </w:p>
          <w:p w14:paraId="6B63135B">
            <w:pPr>
              <w:ind w:firstLine="480"/>
              <w:rPr>
                <w:color w:val="000000" w:themeColor="text1"/>
                <w:u w:val="none"/>
                <w14:textFill>
                  <w14:solidFill>
                    <w14:schemeClr w14:val="tx1"/>
                  </w14:solidFill>
                </w14:textFill>
              </w:rPr>
            </w:pPr>
            <w:r>
              <w:rPr>
                <w:rFonts w:hint="eastAsia"/>
                <w:color w:val="000000" w:themeColor="text1"/>
                <w:kern w:val="0"/>
                <w:u w:val="none"/>
                <w:lang w:bidi="ar"/>
                <w14:textFill>
                  <w14:solidFill>
                    <w14:schemeClr w14:val="tx1"/>
                  </w14:solidFill>
                </w14:textFill>
              </w:rPr>
              <w:t>本项目营运期废气主要为污染物为颗粒物</w:t>
            </w:r>
            <w:r>
              <w:rPr>
                <w:rFonts w:hint="eastAsia"/>
                <w:color w:val="000000" w:themeColor="text1"/>
                <w:kern w:val="0"/>
                <w:u w:val="none"/>
                <w:lang w:eastAsia="zh-CN" w:bidi="ar"/>
                <w14:textFill>
                  <w14:solidFill>
                    <w14:schemeClr w14:val="tx1"/>
                  </w14:solidFill>
                </w14:textFill>
              </w:rPr>
              <w:t>、</w:t>
            </w:r>
            <w:r>
              <w:rPr>
                <w:rFonts w:hint="eastAsia"/>
                <w:color w:val="000000" w:themeColor="text1"/>
                <w:kern w:val="0"/>
                <w:u w:val="none"/>
                <w:lang w:val="en-US" w:eastAsia="zh-CN" w:bidi="ar"/>
                <w14:textFill>
                  <w14:solidFill>
                    <w14:schemeClr w14:val="tx1"/>
                  </w14:solidFill>
                </w14:textFill>
              </w:rPr>
              <w:t>挥发性有机物</w:t>
            </w:r>
            <w:r>
              <w:rPr>
                <w:rFonts w:hint="eastAsia"/>
                <w:color w:val="000000" w:themeColor="text1"/>
                <w:kern w:val="0"/>
                <w:u w:val="none"/>
                <w:lang w:bidi="ar"/>
                <w14:textFill>
                  <w14:solidFill>
                    <w14:schemeClr w14:val="tx1"/>
                  </w14:solidFill>
                </w14:textFill>
              </w:rPr>
              <w:t>，项目废气总量控制指标为颗粒物：</w:t>
            </w:r>
            <w:r>
              <w:rPr>
                <w:rFonts w:hint="eastAsia"/>
                <w:color w:val="000000" w:themeColor="text1"/>
                <w:kern w:val="0"/>
                <w:u w:val="none"/>
                <w:lang w:val="en-US" w:eastAsia="zh-CN" w:bidi="ar"/>
                <w14:textFill>
                  <w14:solidFill>
                    <w14:schemeClr w14:val="tx1"/>
                  </w14:solidFill>
                </w14:textFill>
              </w:rPr>
              <w:t>1.74</w:t>
            </w:r>
            <w:r>
              <w:rPr>
                <w:color w:val="000000" w:themeColor="text1"/>
                <w:u w:val="none"/>
                <w14:textFill>
                  <w14:solidFill>
                    <w14:schemeClr w14:val="tx1"/>
                  </w14:solidFill>
                </w14:textFill>
              </w:rPr>
              <w:t>t/a</w:t>
            </w:r>
            <w:r>
              <w:rPr>
                <w:rFonts w:hint="eastAsia"/>
                <w:color w:val="000000" w:themeColor="text1"/>
                <w:u w:val="none"/>
                <w:lang w:eastAsia="zh-CN"/>
                <w14:textFill>
                  <w14:solidFill>
                    <w14:schemeClr w14:val="tx1"/>
                  </w14:solidFill>
                </w14:textFill>
              </w:rPr>
              <w:t>；</w:t>
            </w:r>
            <w:r>
              <w:rPr>
                <w:rFonts w:hint="eastAsia"/>
                <w:color w:val="000000" w:themeColor="text1"/>
                <w:u w:val="none"/>
                <w:lang w:val="en-US" w:eastAsia="zh-CN"/>
                <w14:textFill>
                  <w14:solidFill>
                    <w14:schemeClr w14:val="tx1"/>
                  </w14:solidFill>
                </w14:textFill>
              </w:rPr>
              <w:t>挥发性有机物：0.861</w:t>
            </w:r>
            <w:r>
              <w:rPr>
                <w:color w:val="000000" w:themeColor="text1"/>
                <w:u w:val="none"/>
                <w14:textFill>
                  <w14:solidFill>
                    <w14:schemeClr w14:val="tx1"/>
                  </w14:solidFill>
                </w14:textFill>
              </w:rPr>
              <w:t>t/a</w:t>
            </w:r>
            <w:r>
              <w:rPr>
                <w:rFonts w:hint="eastAsia"/>
                <w:color w:val="000000" w:themeColor="text1"/>
                <w:kern w:val="0"/>
                <w:u w:val="none"/>
                <w:lang w:bidi="ar"/>
                <w14:textFill>
                  <w14:solidFill>
                    <w14:schemeClr w14:val="tx1"/>
                  </w14:solidFill>
                </w14:textFill>
              </w:rPr>
              <w:t>。</w:t>
            </w:r>
          </w:p>
          <w:p w14:paraId="0E9B267F">
            <w:pPr>
              <w:ind w:firstLine="480"/>
              <w:rPr>
                <w:color w:val="000000" w:themeColor="text1"/>
                <w:u w:val="none"/>
                <w14:textFill>
                  <w14:solidFill>
                    <w14:schemeClr w14:val="tx1"/>
                  </w14:solidFill>
                </w14:textFill>
              </w:rPr>
            </w:pPr>
            <w:r>
              <w:rPr>
                <w:rFonts w:hint="eastAsia"/>
                <w:color w:val="000000" w:themeColor="text1"/>
                <w:u w:val="none"/>
                <w14:textFill>
                  <w14:solidFill>
                    <w14:schemeClr w14:val="tx1"/>
                  </w14:solidFill>
                </w14:textFill>
              </w:rPr>
              <w:t>（2）废水总量控制指标</w:t>
            </w:r>
          </w:p>
          <w:p w14:paraId="31B587E4">
            <w:pPr>
              <w:ind w:firstLine="480"/>
              <w:rPr>
                <w:color w:val="000000" w:themeColor="text1"/>
                <w:kern w:val="0"/>
                <w:u w:val="none"/>
                <w14:textFill>
                  <w14:solidFill>
                    <w14:schemeClr w14:val="tx1"/>
                  </w14:solidFill>
                </w14:textFill>
              </w:rPr>
            </w:pPr>
            <w:r>
              <w:rPr>
                <w:color w:val="000000" w:themeColor="text1"/>
                <w:kern w:val="0"/>
                <w:u w:val="none"/>
                <w14:textFill>
                  <w14:solidFill>
                    <w14:schemeClr w14:val="tx1"/>
                  </w14:solidFill>
                </w14:textFill>
              </w:rPr>
              <w:t>本</w:t>
            </w:r>
            <w:r>
              <w:rPr>
                <w:rFonts w:eastAsiaTheme="minorEastAsia"/>
                <w:color w:val="000000" w:themeColor="text1"/>
                <w:kern w:val="21"/>
                <w:u w:val="none"/>
                <w14:textFill>
                  <w14:solidFill>
                    <w14:schemeClr w14:val="tx1"/>
                  </w14:solidFill>
                </w14:textFill>
              </w:rPr>
              <w:t>项目</w:t>
            </w:r>
            <w:r>
              <w:rPr>
                <w:rFonts w:hint="eastAsia"/>
                <w:color w:val="000000" w:themeColor="text1"/>
                <w:kern w:val="21"/>
                <w:u w:val="none"/>
                <w14:textFill>
                  <w14:solidFill>
                    <w14:schemeClr w14:val="tx1"/>
                  </w14:solidFill>
                </w14:textFill>
              </w:rPr>
              <w:t>外排废水为职工生活污水及生产废水，总排放</w:t>
            </w:r>
            <w:r>
              <w:rPr>
                <w:rFonts w:eastAsiaTheme="minorEastAsia"/>
                <w:color w:val="000000" w:themeColor="text1"/>
                <w:kern w:val="21"/>
                <w:u w:val="none"/>
                <w14:textFill>
                  <w14:solidFill>
                    <w14:schemeClr w14:val="tx1"/>
                  </w14:solidFill>
                </w14:textFill>
              </w:rPr>
              <w:t>量</w:t>
            </w:r>
            <w:r>
              <w:rPr>
                <w:rFonts w:hint="eastAsia"/>
                <w:color w:val="000000" w:themeColor="text1"/>
                <w:kern w:val="21"/>
                <w:u w:val="none"/>
                <w14:textFill>
                  <w14:solidFill>
                    <w14:schemeClr w14:val="tx1"/>
                  </w14:solidFill>
                </w14:textFill>
              </w:rPr>
              <w:t>为</w:t>
            </w:r>
            <w:r>
              <w:rPr>
                <w:rFonts w:hint="eastAsia"/>
                <w:color w:val="000000" w:themeColor="text1"/>
                <w:kern w:val="21"/>
                <w:u w:val="none"/>
                <w:lang w:val="en-US" w:eastAsia="zh-CN"/>
                <w14:textFill>
                  <w14:solidFill>
                    <w14:schemeClr w14:val="tx1"/>
                  </w14:solidFill>
                </w14:textFill>
              </w:rPr>
              <w:t>198</w:t>
            </w:r>
            <w:r>
              <w:rPr>
                <w:rFonts w:eastAsiaTheme="minorEastAsia"/>
                <w:color w:val="000000" w:themeColor="text1"/>
                <w:kern w:val="21"/>
                <w:u w:val="none"/>
                <w14:textFill>
                  <w14:solidFill>
                    <w14:schemeClr w14:val="tx1"/>
                  </w14:solidFill>
                </w14:textFill>
              </w:rPr>
              <w:t>m</w:t>
            </w:r>
            <w:r>
              <w:rPr>
                <w:rFonts w:eastAsiaTheme="minorEastAsia"/>
                <w:color w:val="000000" w:themeColor="text1"/>
                <w:kern w:val="21"/>
                <w:u w:val="none"/>
                <w:vertAlign w:val="superscript"/>
                <w14:textFill>
                  <w14:solidFill>
                    <w14:schemeClr w14:val="tx1"/>
                  </w14:solidFill>
                </w14:textFill>
              </w:rPr>
              <w:t>3</w:t>
            </w:r>
            <w:r>
              <w:rPr>
                <w:rFonts w:eastAsiaTheme="minorEastAsia"/>
                <w:color w:val="000000" w:themeColor="text1"/>
                <w:kern w:val="21"/>
                <w:u w:val="none"/>
                <w14:textFill>
                  <w14:solidFill>
                    <w14:schemeClr w14:val="tx1"/>
                  </w14:solidFill>
                </w14:textFill>
              </w:rPr>
              <w:t>/</w:t>
            </w:r>
            <w:r>
              <w:rPr>
                <w:rFonts w:hint="eastAsia"/>
                <w:color w:val="000000" w:themeColor="text1"/>
                <w:kern w:val="21"/>
                <w:u w:val="none"/>
                <w14:textFill>
                  <w14:solidFill>
                    <w14:schemeClr w14:val="tx1"/>
                  </w14:solidFill>
                </w14:textFill>
              </w:rPr>
              <w:t>a</w:t>
            </w:r>
            <w:r>
              <w:rPr>
                <w:rFonts w:eastAsiaTheme="minorEastAsia"/>
                <w:color w:val="000000" w:themeColor="text1"/>
                <w:kern w:val="21"/>
                <w:u w:val="none"/>
                <w14:textFill>
                  <w14:solidFill>
                    <w14:schemeClr w14:val="tx1"/>
                  </w14:solidFill>
                </w14:textFill>
              </w:rPr>
              <w:t>，</w:t>
            </w:r>
            <w:r>
              <w:rPr>
                <w:rFonts w:hint="eastAsia"/>
                <w:color w:val="000000" w:themeColor="text1"/>
                <w:kern w:val="21"/>
                <w:u w:val="none"/>
                <w14:textFill>
                  <w14:solidFill>
                    <w14:schemeClr w14:val="tx1"/>
                  </w14:solidFill>
                </w14:textFill>
              </w:rPr>
              <w:t>由厂区总排口排入市政污水管网，最终</w:t>
            </w:r>
            <w:r>
              <w:rPr>
                <w:rFonts w:hint="eastAsia"/>
                <w:color w:val="000000" w:themeColor="text1"/>
                <w:kern w:val="44"/>
                <w:u w:val="none"/>
                <w14:textFill>
                  <w14:solidFill>
                    <w14:schemeClr w14:val="tx1"/>
                  </w14:solidFill>
                </w14:textFill>
              </w:rPr>
              <w:t>进入</w:t>
            </w:r>
            <w:r>
              <w:rPr>
                <w:rFonts w:hint="eastAsia"/>
                <w:color w:val="000000" w:themeColor="text1"/>
                <w:kern w:val="44"/>
                <w:u w:val="none"/>
                <w:lang w:val="en-US" w:eastAsia="zh-CN"/>
                <w14:textFill>
                  <w14:solidFill>
                    <w14:schemeClr w14:val="tx1"/>
                  </w14:solidFill>
                </w14:textFill>
              </w:rPr>
              <w:t>镇平县第二污水处理厂</w:t>
            </w:r>
            <w:r>
              <w:rPr>
                <w:rFonts w:hint="eastAsia"/>
                <w:color w:val="000000" w:themeColor="text1"/>
                <w:kern w:val="44"/>
                <w:u w:val="none"/>
                <w14:textFill>
                  <w14:solidFill>
                    <w14:schemeClr w14:val="tx1"/>
                  </w14:solidFill>
                </w14:textFill>
              </w:rPr>
              <w:t>深度处理达到《城镇污水处理厂污染物排放标准》（</w:t>
            </w:r>
            <w:r>
              <w:rPr>
                <w:color w:val="000000" w:themeColor="text1"/>
                <w:kern w:val="44"/>
                <w:u w:val="none"/>
                <w14:textFill>
                  <w14:solidFill>
                    <w14:schemeClr w14:val="tx1"/>
                  </w14:solidFill>
                </w14:textFill>
              </w:rPr>
              <w:t>GB18918-2002</w:t>
            </w:r>
            <w:r>
              <w:rPr>
                <w:rFonts w:hint="eastAsia"/>
                <w:color w:val="000000" w:themeColor="text1"/>
                <w:kern w:val="44"/>
                <w:u w:val="none"/>
                <w14:textFill>
                  <w14:solidFill>
                    <w14:schemeClr w14:val="tx1"/>
                  </w14:solidFill>
                </w14:textFill>
              </w:rPr>
              <w:t>）表</w:t>
            </w:r>
            <w:r>
              <w:rPr>
                <w:color w:val="000000" w:themeColor="text1"/>
                <w:kern w:val="44"/>
                <w:u w:val="none"/>
                <w14:textFill>
                  <w14:solidFill>
                    <w14:schemeClr w14:val="tx1"/>
                  </w14:solidFill>
                </w14:textFill>
              </w:rPr>
              <w:t>1</w:t>
            </w:r>
            <w:r>
              <w:rPr>
                <w:rFonts w:hint="eastAsia"/>
                <w:color w:val="000000" w:themeColor="text1"/>
                <w:kern w:val="44"/>
                <w:u w:val="none"/>
                <w14:textFill>
                  <w14:solidFill>
                    <w14:schemeClr w14:val="tx1"/>
                  </w14:solidFill>
                </w14:textFill>
              </w:rPr>
              <w:t>一级</w:t>
            </w:r>
            <w:r>
              <w:rPr>
                <w:color w:val="000000" w:themeColor="text1"/>
                <w:kern w:val="44"/>
                <w:u w:val="none"/>
                <w14:textFill>
                  <w14:solidFill>
                    <w14:schemeClr w14:val="tx1"/>
                  </w14:solidFill>
                </w14:textFill>
              </w:rPr>
              <w:t>A</w:t>
            </w:r>
            <w:r>
              <w:rPr>
                <w:rFonts w:hint="eastAsia"/>
                <w:color w:val="000000" w:themeColor="text1"/>
                <w:kern w:val="44"/>
                <w:u w:val="none"/>
                <w14:textFill>
                  <w14:solidFill>
                    <w14:schemeClr w14:val="tx1"/>
                  </w14:solidFill>
                </w14:textFill>
              </w:rPr>
              <w:t>标准后，排入</w:t>
            </w:r>
            <w:r>
              <w:rPr>
                <w:rFonts w:hint="eastAsia"/>
                <w:color w:val="000000" w:themeColor="text1"/>
                <w:kern w:val="44"/>
                <w:u w:val="none"/>
                <w:lang w:val="en-US" w:eastAsia="zh-CN"/>
                <w14:textFill>
                  <w14:solidFill>
                    <w14:schemeClr w14:val="tx1"/>
                  </w14:solidFill>
                </w14:textFill>
              </w:rPr>
              <w:t>赵河</w:t>
            </w:r>
            <w:r>
              <w:rPr>
                <w:rFonts w:hint="eastAsia"/>
                <w:color w:val="000000" w:themeColor="text1"/>
                <w:u w:val="none"/>
                <w14:textFill>
                  <w14:solidFill>
                    <w14:schemeClr w14:val="tx1"/>
                  </w14:solidFill>
                </w14:textFill>
              </w:rPr>
              <w:t>。</w:t>
            </w:r>
          </w:p>
          <w:p w14:paraId="5E7CF3DE">
            <w:pPr>
              <w:ind w:firstLine="480"/>
              <w:rPr>
                <w:color w:val="000000" w:themeColor="text1"/>
                <w:kern w:val="0"/>
                <w:u w:val="none"/>
                <w14:textFill>
                  <w14:solidFill>
                    <w14:schemeClr w14:val="tx1"/>
                  </w14:solidFill>
                </w14:textFill>
              </w:rPr>
            </w:pPr>
            <w:r>
              <w:rPr>
                <w:color w:val="000000" w:themeColor="text1"/>
                <w:kern w:val="0"/>
                <w:u w:val="none"/>
                <w14:textFill>
                  <w14:solidFill>
                    <w14:schemeClr w14:val="tx1"/>
                  </w14:solidFill>
                </w14:textFill>
              </w:rPr>
              <w:t>水污染物排放总量=年排水量×允许排放浓度</w:t>
            </w:r>
          </w:p>
          <w:p w14:paraId="4ECBCA83">
            <w:pPr>
              <w:ind w:firstLine="480"/>
              <w:rPr>
                <w:rFonts w:hint="eastAsia"/>
                <w:color w:val="000000" w:themeColor="text1"/>
                <w:kern w:val="0"/>
                <w:u w:val="none"/>
                <w:lang w:val="en-US" w:eastAsia="zh-CN"/>
                <w14:textFill>
                  <w14:solidFill>
                    <w14:schemeClr w14:val="tx1"/>
                  </w14:solidFill>
                </w14:textFill>
              </w:rPr>
            </w:pPr>
            <w:r>
              <w:rPr>
                <w:rFonts w:hint="eastAsia"/>
                <w:color w:val="000000" w:themeColor="text1"/>
                <w:kern w:val="0"/>
                <w:u w:val="none"/>
                <w:lang w:val="en-US" w:eastAsia="zh-CN"/>
                <w14:textFill>
                  <w14:solidFill>
                    <w14:schemeClr w14:val="tx1"/>
                  </w14:solidFill>
                </w14:textFill>
              </w:rPr>
              <w:t>本项目厂区污水总排口污染物排放总量：</w:t>
            </w:r>
          </w:p>
          <w:p w14:paraId="5EACF440">
            <w:pPr>
              <w:ind w:firstLine="480"/>
              <w:rPr>
                <w:color w:val="000000" w:themeColor="text1"/>
                <w:kern w:val="0"/>
                <w:u w:val="none"/>
                <w14:textFill>
                  <w14:solidFill>
                    <w14:schemeClr w14:val="tx1"/>
                  </w14:solidFill>
                </w14:textFill>
              </w:rPr>
            </w:pPr>
            <w:r>
              <w:rPr>
                <w:color w:val="000000" w:themeColor="text1"/>
                <w:kern w:val="0"/>
                <w:u w:val="none"/>
                <w14:textFill>
                  <w14:solidFill>
                    <w14:schemeClr w14:val="tx1"/>
                  </w14:solidFill>
                </w14:textFill>
              </w:rPr>
              <w:t>COD=</w:t>
            </w:r>
            <w:r>
              <w:rPr>
                <w:rFonts w:hint="eastAsia"/>
                <w:color w:val="000000" w:themeColor="text1"/>
                <w:kern w:val="0"/>
                <w:u w:val="none"/>
                <w14:textFill>
                  <w14:solidFill>
                    <w14:schemeClr w14:val="tx1"/>
                  </w14:solidFill>
                </w14:textFill>
              </w:rPr>
              <w:t>198</w:t>
            </w:r>
            <w:r>
              <w:rPr>
                <w:color w:val="000000" w:themeColor="text1"/>
                <w:kern w:val="0"/>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280</w:t>
            </w:r>
            <w:r>
              <w:rPr>
                <w:color w:val="000000" w:themeColor="text1"/>
                <w:kern w:val="0"/>
                <w:u w:val="none"/>
                <w14:textFill>
                  <w14:solidFill>
                    <w14:schemeClr w14:val="tx1"/>
                  </w14:solidFill>
                </w14:textFill>
              </w:rPr>
              <w:t>×10</w:t>
            </w:r>
            <w:r>
              <w:rPr>
                <w:color w:val="000000" w:themeColor="text1"/>
                <w:kern w:val="0"/>
                <w:u w:val="none"/>
                <w:vertAlign w:val="superscript"/>
                <w14:textFill>
                  <w14:solidFill>
                    <w14:schemeClr w14:val="tx1"/>
                  </w14:solidFill>
                </w14:textFill>
              </w:rPr>
              <w:t>-6</w:t>
            </w:r>
            <w:r>
              <w:rPr>
                <w:color w:val="000000" w:themeColor="text1"/>
                <w:kern w:val="0"/>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0.055</w:t>
            </w:r>
            <w:r>
              <w:rPr>
                <w:color w:val="000000" w:themeColor="text1"/>
                <w:kern w:val="0"/>
                <w:u w:val="none"/>
                <w14:textFill>
                  <w14:solidFill>
                    <w14:schemeClr w14:val="tx1"/>
                  </w14:solidFill>
                </w14:textFill>
              </w:rPr>
              <w:t>t/a</w:t>
            </w:r>
          </w:p>
          <w:p w14:paraId="58A0848E">
            <w:pPr>
              <w:ind w:firstLine="480"/>
              <w:rPr>
                <w:rFonts w:hint="eastAsia" w:eastAsia="宋体"/>
                <w:color w:val="000000" w:themeColor="text1"/>
                <w:kern w:val="0"/>
                <w:u w:val="none"/>
                <w:lang w:eastAsia="zh-CN"/>
                <w14:textFill>
                  <w14:solidFill>
                    <w14:schemeClr w14:val="tx1"/>
                  </w14:solidFill>
                </w14:textFill>
              </w:rPr>
            </w:pPr>
            <w:r>
              <w:rPr>
                <w:rFonts w:hint="eastAsia"/>
                <w:color w:val="000000" w:themeColor="text1"/>
                <w:kern w:val="0"/>
                <w:u w:val="none"/>
                <w:lang w:val="en-US" w:eastAsia="zh-CN"/>
                <w14:textFill>
                  <w14:solidFill>
                    <w14:schemeClr w14:val="tx1"/>
                  </w14:solidFill>
                </w14:textFill>
              </w:rPr>
              <w:t>TP</w:t>
            </w:r>
            <w:r>
              <w:rPr>
                <w:color w:val="000000" w:themeColor="text1"/>
                <w:kern w:val="0"/>
                <w:u w:val="none"/>
                <w14:textFill>
                  <w14:solidFill>
                    <w14:schemeClr w14:val="tx1"/>
                  </w14:solidFill>
                </w14:textFill>
              </w:rPr>
              <w:t>=</w:t>
            </w:r>
            <w:r>
              <w:rPr>
                <w:rFonts w:hint="eastAsia"/>
                <w:color w:val="000000" w:themeColor="text1"/>
                <w:kern w:val="0"/>
                <w:u w:val="none"/>
                <w14:textFill>
                  <w14:solidFill>
                    <w14:schemeClr w14:val="tx1"/>
                  </w14:solidFill>
                </w14:textFill>
              </w:rPr>
              <w:t>198</w:t>
            </w:r>
            <w:r>
              <w:rPr>
                <w:color w:val="000000" w:themeColor="text1"/>
                <w:kern w:val="0"/>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0</w:t>
            </w:r>
            <w:r>
              <w:rPr>
                <w:color w:val="000000" w:themeColor="text1"/>
                <w:kern w:val="0"/>
                <w:u w:val="none"/>
                <w14:textFill>
                  <w14:solidFill>
                    <w14:schemeClr w14:val="tx1"/>
                  </w14:solidFill>
                </w14:textFill>
              </w:rPr>
              <w:t>×10</w:t>
            </w:r>
            <w:r>
              <w:rPr>
                <w:color w:val="000000" w:themeColor="text1"/>
                <w:kern w:val="0"/>
                <w:u w:val="none"/>
                <w:vertAlign w:val="superscript"/>
                <w14:textFill>
                  <w14:solidFill>
                    <w14:schemeClr w14:val="tx1"/>
                  </w14:solidFill>
                </w14:textFill>
              </w:rPr>
              <w:t>-6</w:t>
            </w:r>
            <w:r>
              <w:rPr>
                <w:color w:val="000000" w:themeColor="text1"/>
                <w:kern w:val="0"/>
                <w:u w:val="none"/>
                <w14:textFill>
                  <w14:solidFill>
                    <w14:schemeClr w14:val="tx1"/>
                  </w14:solidFill>
                </w14:textFill>
              </w:rPr>
              <w:t>=</w:t>
            </w:r>
            <w:r>
              <w:rPr>
                <w:rFonts w:hint="default"/>
                <w:color w:val="000000" w:themeColor="text1"/>
                <w:kern w:val="0"/>
                <w:u w:val="none"/>
                <w:lang w:val="en-US" w:eastAsia="zh-CN"/>
                <w14:textFill>
                  <w14:solidFill>
                    <w14:schemeClr w14:val="tx1"/>
                  </w14:solidFill>
                </w14:textFill>
              </w:rPr>
              <w:t>0</w:t>
            </w:r>
            <w:r>
              <w:rPr>
                <w:color w:val="000000" w:themeColor="text1"/>
                <w:kern w:val="0"/>
                <w:u w:val="none"/>
                <w14:textFill>
                  <w14:solidFill>
                    <w14:schemeClr w14:val="tx1"/>
                  </w14:solidFill>
                </w14:textFill>
              </w:rPr>
              <w:t>t/a</w:t>
            </w:r>
          </w:p>
          <w:p w14:paraId="66665AD9">
            <w:pPr>
              <w:ind w:firstLine="480"/>
              <w:rPr>
                <w:color w:val="000000" w:themeColor="text1"/>
                <w:kern w:val="0"/>
                <w:u w:val="none"/>
                <w14:textFill>
                  <w14:solidFill>
                    <w14:schemeClr w14:val="tx1"/>
                  </w14:solidFill>
                </w14:textFill>
              </w:rPr>
            </w:pPr>
            <w:r>
              <w:rPr>
                <w:rFonts w:hint="eastAsia"/>
                <w:color w:val="000000" w:themeColor="text1"/>
                <w:kern w:val="0"/>
                <w:u w:val="none"/>
                <w:lang w:val="en-US" w:eastAsia="zh-CN"/>
                <w14:textFill>
                  <w14:solidFill>
                    <w14:schemeClr w14:val="tx1"/>
                  </w14:solidFill>
                </w14:textFill>
              </w:rPr>
              <w:t>经</w:t>
            </w:r>
            <w:r>
              <w:rPr>
                <w:rFonts w:hint="eastAsia"/>
                <w:color w:val="000000" w:themeColor="text1"/>
                <w:kern w:val="44"/>
                <w:u w:val="none"/>
                <w:lang w:val="en-US" w:eastAsia="zh-CN"/>
                <w14:textFill>
                  <w14:solidFill>
                    <w14:schemeClr w14:val="tx1"/>
                  </w14:solidFill>
                </w14:textFill>
              </w:rPr>
              <w:t>镇平县第二污水处理厂</w:t>
            </w:r>
            <w:r>
              <w:rPr>
                <w:rFonts w:hint="eastAsia"/>
                <w:color w:val="000000" w:themeColor="text1"/>
                <w:kern w:val="0"/>
                <w:u w:val="none"/>
                <w:lang w:val="en-US" w:eastAsia="zh-CN"/>
                <w14:textFill>
                  <w14:solidFill>
                    <w14:schemeClr w14:val="tx1"/>
                  </w14:solidFill>
                </w14:textFill>
              </w:rPr>
              <w:t>处理后污染物排放量</w:t>
            </w:r>
          </w:p>
          <w:p w14:paraId="3E26EA77">
            <w:pPr>
              <w:ind w:firstLine="480"/>
              <w:rPr>
                <w:color w:val="000000" w:themeColor="text1"/>
                <w:kern w:val="0"/>
                <w:u w:val="none"/>
                <w14:textFill>
                  <w14:solidFill>
                    <w14:schemeClr w14:val="tx1"/>
                  </w14:solidFill>
                </w14:textFill>
              </w:rPr>
            </w:pPr>
            <w:r>
              <w:rPr>
                <w:color w:val="000000" w:themeColor="text1"/>
                <w:kern w:val="0"/>
                <w:u w:val="none"/>
                <w14:textFill>
                  <w14:solidFill>
                    <w14:schemeClr w14:val="tx1"/>
                  </w14:solidFill>
                </w14:textFill>
              </w:rPr>
              <w:t>COD=</w:t>
            </w:r>
            <w:r>
              <w:rPr>
                <w:rFonts w:hint="eastAsia"/>
                <w:color w:val="000000" w:themeColor="text1"/>
                <w:kern w:val="0"/>
                <w:u w:val="none"/>
                <w14:textFill>
                  <w14:solidFill>
                    <w14:schemeClr w14:val="tx1"/>
                  </w14:solidFill>
                </w14:textFill>
              </w:rPr>
              <w:t>198</w:t>
            </w:r>
            <w:r>
              <w:rPr>
                <w:color w:val="000000" w:themeColor="text1"/>
                <w:kern w:val="0"/>
                <w:u w:val="none"/>
                <w14:textFill>
                  <w14:solidFill>
                    <w14:schemeClr w14:val="tx1"/>
                  </w14:solidFill>
                </w14:textFill>
              </w:rPr>
              <w:t>×</w:t>
            </w:r>
            <w:r>
              <w:rPr>
                <w:rFonts w:hint="eastAsia"/>
                <w:color w:val="000000" w:themeColor="text1"/>
                <w:kern w:val="0"/>
                <w:u w:val="none"/>
                <w14:textFill>
                  <w14:solidFill>
                    <w14:schemeClr w14:val="tx1"/>
                  </w14:solidFill>
                </w14:textFill>
              </w:rPr>
              <w:t>50</w:t>
            </w:r>
            <w:r>
              <w:rPr>
                <w:color w:val="000000" w:themeColor="text1"/>
                <w:kern w:val="0"/>
                <w:u w:val="none"/>
                <w14:textFill>
                  <w14:solidFill>
                    <w14:schemeClr w14:val="tx1"/>
                  </w14:solidFill>
                </w14:textFill>
              </w:rPr>
              <w:t>×10</w:t>
            </w:r>
            <w:r>
              <w:rPr>
                <w:color w:val="000000" w:themeColor="text1"/>
                <w:kern w:val="0"/>
                <w:u w:val="none"/>
                <w:vertAlign w:val="superscript"/>
                <w14:textFill>
                  <w14:solidFill>
                    <w14:schemeClr w14:val="tx1"/>
                  </w14:solidFill>
                </w14:textFill>
              </w:rPr>
              <w:t>-6</w:t>
            </w:r>
            <w:r>
              <w:rPr>
                <w:color w:val="000000" w:themeColor="text1"/>
                <w:kern w:val="0"/>
                <w:u w:val="none"/>
                <w14:textFill>
                  <w14:solidFill>
                    <w14:schemeClr w14:val="tx1"/>
                  </w14:solidFill>
                </w14:textFill>
              </w:rPr>
              <w:t>=0.</w:t>
            </w:r>
            <w:r>
              <w:rPr>
                <w:rFonts w:hint="eastAsia"/>
                <w:color w:val="000000" w:themeColor="text1"/>
                <w:kern w:val="0"/>
                <w:u w:val="none"/>
                <w14:textFill>
                  <w14:solidFill>
                    <w14:schemeClr w14:val="tx1"/>
                  </w14:solidFill>
                </w14:textFill>
              </w:rPr>
              <w:t>0</w:t>
            </w:r>
            <w:r>
              <w:rPr>
                <w:rFonts w:hint="eastAsia"/>
                <w:color w:val="000000" w:themeColor="text1"/>
                <w:kern w:val="0"/>
                <w:u w:val="none"/>
                <w:lang w:val="en-US" w:eastAsia="zh-CN"/>
                <w14:textFill>
                  <w14:solidFill>
                    <w14:schemeClr w14:val="tx1"/>
                  </w14:solidFill>
                </w14:textFill>
              </w:rPr>
              <w:t>10</w:t>
            </w:r>
            <w:r>
              <w:rPr>
                <w:color w:val="000000" w:themeColor="text1"/>
                <w:kern w:val="0"/>
                <w:u w:val="none"/>
                <w14:textFill>
                  <w14:solidFill>
                    <w14:schemeClr w14:val="tx1"/>
                  </w14:solidFill>
                </w14:textFill>
              </w:rPr>
              <w:t>t/a</w:t>
            </w:r>
          </w:p>
          <w:p w14:paraId="009709E4">
            <w:pPr>
              <w:ind w:firstLine="480"/>
              <w:rPr>
                <w:color w:val="000000" w:themeColor="text1"/>
                <w:kern w:val="0"/>
                <w:u w:val="none"/>
                <w14:textFill>
                  <w14:solidFill>
                    <w14:schemeClr w14:val="tx1"/>
                  </w14:solidFill>
                </w14:textFill>
              </w:rPr>
            </w:pPr>
            <w:r>
              <w:rPr>
                <w:rFonts w:hint="eastAsia"/>
                <w:color w:val="000000" w:themeColor="text1"/>
                <w:kern w:val="0"/>
                <w:u w:val="none"/>
                <w:lang w:val="en-US" w:eastAsia="zh-CN"/>
                <w14:textFill>
                  <w14:solidFill>
                    <w14:schemeClr w14:val="tx1"/>
                  </w14:solidFill>
                </w14:textFill>
              </w:rPr>
              <w:t>TP</w:t>
            </w:r>
            <w:r>
              <w:rPr>
                <w:color w:val="000000" w:themeColor="text1"/>
                <w:kern w:val="0"/>
                <w:u w:val="none"/>
                <w14:textFill>
                  <w14:solidFill>
                    <w14:schemeClr w14:val="tx1"/>
                  </w14:solidFill>
                </w14:textFill>
              </w:rPr>
              <w:t>=</w:t>
            </w:r>
            <w:r>
              <w:rPr>
                <w:rFonts w:hint="eastAsia"/>
                <w:color w:val="000000" w:themeColor="text1"/>
                <w:kern w:val="0"/>
                <w:u w:val="none"/>
                <w14:textFill>
                  <w14:solidFill>
                    <w14:schemeClr w14:val="tx1"/>
                  </w14:solidFill>
                </w14:textFill>
              </w:rPr>
              <w:t>198</w:t>
            </w:r>
            <w:r>
              <w:rPr>
                <w:color w:val="000000" w:themeColor="text1"/>
                <w:kern w:val="0"/>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0</w:t>
            </w:r>
            <w:r>
              <w:rPr>
                <w:color w:val="000000" w:themeColor="text1"/>
                <w:kern w:val="0"/>
                <w:u w:val="none"/>
                <w14:textFill>
                  <w14:solidFill>
                    <w14:schemeClr w14:val="tx1"/>
                  </w14:solidFill>
                </w14:textFill>
              </w:rPr>
              <w:t>×10</w:t>
            </w:r>
            <w:r>
              <w:rPr>
                <w:color w:val="000000" w:themeColor="text1"/>
                <w:kern w:val="0"/>
                <w:u w:val="none"/>
                <w:vertAlign w:val="superscript"/>
                <w14:textFill>
                  <w14:solidFill>
                    <w14:schemeClr w14:val="tx1"/>
                  </w14:solidFill>
                </w14:textFill>
              </w:rPr>
              <w:t>-6</w:t>
            </w:r>
            <w:r>
              <w:rPr>
                <w:color w:val="000000" w:themeColor="text1"/>
                <w:kern w:val="0"/>
                <w:u w:val="none"/>
                <w14:textFill>
                  <w14:solidFill>
                    <w14:schemeClr w14:val="tx1"/>
                  </w14:solidFill>
                </w14:textFill>
              </w:rPr>
              <w:t>=</w:t>
            </w:r>
            <w:r>
              <w:rPr>
                <w:rFonts w:hint="default"/>
                <w:color w:val="000000" w:themeColor="text1"/>
                <w:kern w:val="0"/>
                <w:u w:val="none"/>
                <w:lang w:val="en-US" w:eastAsia="zh-CN"/>
                <w14:textFill>
                  <w14:solidFill>
                    <w14:schemeClr w14:val="tx1"/>
                  </w14:solidFill>
                </w14:textFill>
              </w:rPr>
              <w:t>0</w:t>
            </w:r>
            <w:r>
              <w:rPr>
                <w:color w:val="000000" w:themeColor="text1"/>
                <w:kern w:val="0"/>
                <w:u w:val="none"/>
                <w14:textFill>
                  <w14:solidFill>
                    <w14:schemeClr w14:val="tx1"/>
                  </w14:solidFill>
                </w14:textFill>
              </w:rPr>
              <w:t>t/a</w:t>
            </w:r>
          </w:p>
          <w:p w14:paraId="498771BC">
            <w:pPr>
              <w:ind w:firstLine="480"/>
              <w:rPr>
                <w:rFonts w:hint="eastAsia"/>
                <w:color w:val="000000" w:themeColor="text1"/>
                <w:u w:val="none"/>
                <w14:textFill>
                  <w14:solidFill>
                    <w14:schemeClr w14:val="tx1"/>
                  </w14:solidFill>
                </w14:textFill>
              </w:rPr>
            </w:pPr>
            <w:r>
              <w:rPr>
                <w:rFonts w:hint="eastAsia"/>
                <w:color w:val="000000" w:themeColor="text1"/>
                <w:u w:val="none"/>
                <w14:textFill>
                  <w14:solidFill>
                    <w14:schemeClr w14:val="tx1"/>
                  </w14:solidFill>
                </w14:textFill>
              </w:rPr>
              <w:t>经计算，本项目水污染物总量控制指标为COD</w:t>
            </w:r>
            <w:r>
              <w:rPr>
                <w:color w:val="000000" w:themeColor="text1"/>
                <w:kern w:val="0"/>
                <w:u w:val="none"/>
                <w14:textFill>
                  <w14:solidFill>
                    <w14:schemeClr w14:val="tx1"/>
                  </w14:solidFill>
                </w14:textFill>
              </w:rPr>
              <w:t>0.</w:t>
            </w:r>
            <w:r>
              <w:rPr>
                <w:rFonts w:hint="eastAsia"/>
                <w:color w:val="000000" w:themeColor="text1"/>
                <w:kern w:val="0"/>
                <w:u w:val="none"/>
                <w14:textFill>
                  <w14:solidFill>
                    <w14:schemeClr w14:val="tx1"/>
                  </w14:solidFill>
                </w14:textFill>
              </w:rPr>
              <w:t>0</w:t>
            </w:r>
            <w:r>
              <w:rPr>
                <w:rFonts w:hint="eastAsia"/>
                <w:color w:val="000000" w:themeColor="text1"/>
                <w:kern w:val="0"/>
                <w:u w:val="none"/>
                <w:lang w:val="en-US" w:eastAsia="zh-CN"/>
                <w14:textFill>
                  <w14:solidFill>
                    <w14:schemeClr w14:val="tx1"/>
                  </w14:solidFill>
                </w14:textFill>
              </w:rPr>
              <w:t>10</w:t>
            </w:r>
            <w:r>
              <w:rPr>
                <w:color w:val="000000" w:themeColor="text1"/>
                <w:kern w:val="0"/>
                <w:u w:val="none"/>
                <w14:textFill>
                  <w14:solidFill>
                    <w14:schemeClr w14:val="tx1"/>
                  </w14:solidFill>
                </w14:textFill>
              </w:rPr>
              <w:t>t/a</w:t>
            </w:r>
            <w:r>
              <w:rPr>
                <w:rFonts w:hint="eastAsia"/>
                <w:color w:val="000000" w:themeColor="text1"/>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TP0</w:t>
            </w:r>
            <w:r>
              <w:rPr>
                <w:color w:val="000000" w:themeColor="text1"/>
                <w:kern w:val="0"/>
                <w:u w:val="none"/>
                <w14:textFill>
                  <w14:solidFill>
                    <w14:schemeClr w14:val="tx1"/>
                  </w14:solidFill>
                </w14:textFill>
              </w:rPr>
              <w:t>t/a</w:t>
            </w:r>
            <w:r>
              <w:rPr>
                <w:rFonts w:hint="eastAsia"/>
                <w:color w:val="000000" w:themeColor="text1"/>
                <w:u w:val="none"/>
                <w14:textFill>
                  <w14:solidFill>
                    <w14:schemeClr w14:val="tx1"/>
                  </w14:solidFill>
                </w14:textFill>
              </w:rPr>
              <w:t>。</w:t>
            </w:r>
          </w:p>
          <w:p w14:paraId="41A1A16D">
            <w:pPr>
              <w:widowControl/>
              <w:ind w:firstLine="480"/>
              <w:rPr>
                <w:b w:val="0"/>
                <w:bCs w:val="0"/>
                <w:color w:val="000000" w:themeColor="text1"/>
                <w:u w:val="none"/>
                <w14:textFill>
                  <w14:solidFill>
                    <w14:schemeClr w14:val="tx1"/>
                  </w14:solidFill>
                </w14:textFill>
              </w:rPr>
            </w:pPr>
            <w:r>
              <w:rPr>
                <w:rFonts w:hint="eastAsia"/>
                <w:b w:val="0"/>
                <w:bCs w:val="0"/>
                <w:color w:val="000000" w:themeColor="text1"/>
                <w:u w:val="none"/>
                <w14:textFill>
                  <w14:solidFill>
                    <w14:schemeClr w14:val="tx1"/>
                  </w14:solidFill>
                </w14:textFill>
              </w:rPr>
              <w:t>（3）</w:t>
            </w:r>
            <w:r>
              <w:rPr>
                <w:b w:val="0"/>
                <w:bCs w:val="0"/>
                <w:color w:val="000000" w:themeColor="text1"/>
                <w:kern w:val="0"/>
                <w:u w:val="none"/>
                <w:lang w:bidi="ar"/>
                <w14:textFill>
                  <w14:solidFill>
                    <w14:schemeClr w14:val="tx1"/>
                  </w14:solidFill>
                </w14:textFill>
              </w:rPr>
              <w:t>总量替代方案</w:t>
            </w:r>
          </w:p>
          <w:p w14:paraId="08A86D44">
            <w:pPr>
              <w:spacing w:line="360" w:lineRule="auto"/>
              <w:ind w:firstLine="480" w:firstLineChars="200"/>
              <w:rPr>
                <w:rFonts w:hint="eastAsia" w:eastAsia="宋体" w:cs="Times New Roman"/>
                <w:kern w:val="0"/>
                <w:szCs w:val="24"/>
                <w:u w:val="none"/>
              </w:rPr>
            </w:pPr>
            <w:r>
              <w:rPr>
                <w:rFonts w:hint="default" w:ascii="Times New Roman" w:hAnsi="Times New Roman" w:cs="Times New Roman"/>
                <w:color w:val="000000" w:themeColor="text1"/>
                <w:sz w:val="24"/>
                <w:highlight w:val="none"/>
                <w:u w:val="none"/>
                <w14:textFill>
                  <w14:solidFill>
                    <w14:schemeClr w14:val="tx1"/>
                  </w14:solidFill>
                </w14:textFill>
              </w:rPr>
              <w:t>由于</w:t>
            </w:r>
            <w:r>
              <w:rPr>
                <w:rFonts w:hint="eastAsia" w:ascii="Times New Roman" w:hAnsi="Times New Roman" w:cs="Times New Roman"/>
                <w:color w:val="000000" w:themeColor="text1"/>
                <w:sz w:val="24"/>
                <w:highlight w:val="none"/>
                <w:u w:val="none"/>
                <w:lang w:val="en-US" w:eastAsia="zh-CN"/>
                <w14:textFill>
                  <w14:solidFill>
                    <w14:schemeClr w14:val="tx1"/>
                  </w14:solidFill>
                </w14:textFill>
              </w:rPr>
              <w:t>镇平</w:t>
            </w:r>
            <w:r>
              <w:rPr>
                <w:rFonts w:hint="default" w:ascii="Times New Roman" w:hAnsi="Times New Roman" w:cs="Times New Roman"/>
                <w:color w:val="000000" w:themeColor="text1"/>
                <w:sz w:val="24"/>
                <w:highlight w:val="none"/>
                <w:u w:val="none"/>
                <w14:textFill>
                  <w14:solidFill>
                    <w14:schemeClr w14:val="tx1"/>
                  </w14:solidFill>
                </w14:textFill>
              </w:rPr>
              <w:t>县</w:t>
            </w:r>
            <w:r>
              <w:rPr>
                <w:rFonts w:hint="eastAsia" w:ascii="Times New Roman" w:hAnsi="Times New Roman" w:cs="Times New Roman"/>
                <w:color w:val="000000" w:themeColor="text1"/>
                <w:sz w:val="24"/>
                <w:highlight w:val="none"/>
                <w:u w:val="none"/>
                <w:lang w:val="en-US" w:eastAsia="zh-CN"/>
                <w14:textFill>
                  <w14:solidFill>
                    <w14:schemeClr w14:val="tx1"/>
                  </w14:solidFill>
                </w14:textFill>
              </w:rPr>
              <w:t>2024年属于环境空气质量不达标区</w:t>
            </w:r>
            <w:r>
              <w:rPr>
                <w:rFonts w:hint="default" w:ascii="Times New Roman" w:hAnsi="Times New Roman" w:cs="Times New Roman"/>
                <w:color w:val="000000" w:themeColor="text1"/>
                <w:sz w:val="24"/>
                <w:highlight w:val="none"/>
                <w:u w:val="none"/>
                <w14:textFill>
                  <w14:solidFill>
                    <w14:schemeClr w14:val="tx1"/>
                  </w14:solidFill>
                </w14:textFill>
              </w:rPr>
              <w:t>，水环境质量良好，因此，大气总量指标实施双倍替代，替代量：</w:t>
            </w:r>
            <w:r>
              <w:rPr>
                <w:rFonts w:hint="default" w:ascii="Times New Roman" w:hAnsi="Times New Roman" w:cs="Times New Roman"/>
                <w:color w:val="000000" w:themeColor="text1"/>
                <w:kern w:val="0"/>
                <w:sz w:val="24"/>
                <w:highlight w:val="none"/>
                <w:u w:val="none"/>
                <w:lang w:val="en-US" w:eastAsia="zh-CN" w:bidi="ar"/>
                <w14:textFill>
                  <w14:solidFill>
                    <w14:schemeClr w14:val="tx1"/>
                  </w14:solidFill>
                </w14:textFill>
              </w:rPr>
              <w:t>颗粒物</w:t>
            </w:r>
            <w:r>
              <w:rPr>
                <w:rFonts w:hint="eastAsia" w:cs="Times New Roman"/>
                <w:color w:val="000000" w:themeColor="text1"/>
                <w:kern w:val="0"/>
                <w:sz w:val="24"/>
                <w:highlight w:val="none"/>
                <w:u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4"/>
                <w:highlight w:val="none"/>
                <w:u w:val="none"/>
                <w:lang w:val="en-US" w:eastAsia="zh-CN" w:bidi="ar"/>
                <w14:textFill>
                  <w14:solidFill>
                    <w14:schemeClr w14:val="tx1"/>
                  </w14:solidFill>
                </w14:textFill>
              </w:rPr>
              <w:t>1.48</w:t>
            </w:r>
            <w:r>
              <w:rPr>
                <w:rFonts w:hint="default" w:ascii="Times New Roman" w:hAnsi="Times New Roman" w:cs="Times New Roman"/>
                <w:color w:val="000000" w:themeColor="text1"/>
                <w:kern w:val="0"/>
                <w:sz w:val="24"/>
                <w:highlight w:val="none"/>
                <w:u w:val="none"/>
                <w:lang w:val="en-US" w:eastAsia="zh-CN" w:bidi="ar"/>
                <w14:textFill>
                  <w14:solidFill>
                    <w14:schemeClr w14:val="tx1"/>
                  </w14:solidFill>
                </w14:textFill>
              </w:rPr>
              <w:t>t/a</w:t>
            </w:r>
            <w:r>
              <w:rPr>
                <w:rFonts w:hint="default" w:ascii="Times New Roman" w:hAnsi="Times New Roman" w:cs="Times New Roman"/>
                <w:color w:val="000000" w:themeColor="text1"/>
                <w:kern w:val="0"/>
                <w:sz w:val="24"/>
                <w:highlight w:val="none"/>
                <w:u w:val="none"/>
                <w:lang w:bidi="ar"/>
                <w14:textFill>
                  <w14:solidFill>
                    <w14:schemeClr w14:val="tx1"/>
                  </w14:solidFill>
                </w14:textFill>
              </w:rPr>
              <w:t>，</w:t>
            </w:r>
            <w:r>
              <w:rPr>
                <w:rFonts w:hint="eastAsia"/>
                <w:color w:val="000000" w:themeColor="text1"/>
                <w:u w:val="none"/>
                <w:lang w:val="en-US" w:eastAsia="zh-CN"/>
                <w14:textFill>
                  <w14:solidFill>
                    <w14:schemeClr w14:val="tx1"/>
                  </w14:solidFill>
                </w14:textFill>
              </w:rPr>
              <w:t>挥发性有机物：1.722</w:t>
            </w:r>
            <w:r>
              <w:rPr>
                <w:color w:val="000000" w:themeColor="text1"/>
                <w:u w:val="none"/>
                <w14:textFill>
                  <w14:solidFill>
                    <w14:schemeClr w14:val="tx1"/>
                  </w14:solidFill>
                </w14:textFill>
              </w:rPr>
              <w:t>t/a</w:t>
            </w:r>
            <w:r>
              <w:rPr>
                <w:rFonts w:hint="eastAsia"/>
                <w:color w:val="000000" w:themeColor="text1"/>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废水总量控制指标采用等量替代，替代量：</w:t>
            </w:r>
            <w:r>
              <w:rPr>
                <w:rFonts w:hint="eastAsia"/>
                <w:color w:val="000000" w:themeColor="text1"/>
                <w:u w:val="none"/>
                <w14:textFill>
                  <w14:solidFill>
                    <w14:schemeClr w14:val="tx1"/>
                  </w14:solidFill>
                </w14:textFill>
              </w:rPr>
              <w:t>COD</w:t>
            </w:r>
            <w:r>
              <w:rPr>
                <w:rFonts w:hint="eastAsia"/>
                <w:color w:val="000000" w:themeColor="text1"/>
                <w:u w:val="none"/>
                <w:lang w:val="en-US" w:eastAsia="zh-CN"/>
                <w14:textFill>
                  <w14:solidFill>
                    <w14:schemeClr w14:val="tx1"/>
                  </w14:solidFill>
                </w14:textFill>
              </w:rPr>
              <w:t>：</w:t>
            </w:r>
            <w:r>
              <w:rPr>
                <w:color w:val="000000" w:themeColor="text1"/>
                <w:kern w:val="0"/>
                <w:u w:val="none"/>
                <w14:textFill>
                  <w14:solidFill>
                    <w14:schemeClr w14:val="tx1"/>
                  </w14:solidFill>
                </w14:textFill>
              </w:rPr>
              <w:t>0.</w:t>
            </w:r>
            <w:r>
              <w:rPr>
                <w:rFonts w:hint="eastAsia"/>
                <w:color w:val="000000" w:themeColor="text1"/>
                <w:kern w:val="0"/>
                <w:u w:val="none"/>
                <w14:textFill>
                  <w14:solidFill>
                    <w14:schemeClr w14:val="tx1"/>
                  </w14:solidFill>
                </w14:textFill>
              </w:rPr>
              <w:t>0</w:t>
            </w:r>
            <w:r>
              <w:rPr>
                <w:rFonts w:hint="eastAsia"/>
                <w:color w:val="000000" w:themeColor="text1"/>
                <w:kern w:val="0"/>
                <w:u w:val="none"/>
                <w:lang w:val="en-US" w:eastAsia="zh-CN"/>
                <w14:textFill>
                  <w14:solidFill>
                    <w14:schemeClr w14:val="tx1"/>
                  </w14:solidFill>
                </w14:textFill>
              </w:rPr>
              <w:t>10</w:t>
            </w:r>
            <w:r>
              <w:rPr>
                <w:color w:val="000000" w:themeColor="text1"/>
                <w:kern w:val="0"/>
                <w:u w:val="none"/>
                <w14:textFill>
                  <w14:solidFill>
                    <w14:schemeClr w14:val="tx1"/>
                  </w14:solidFill>
                </w14:textFill>
              </w:rPr>
              <w:t>t/a</w:t>
            </w:r>
            <w:r>
              <w:rPr>
                <w:rFonts w:hint="eastAsia"/>
                <w:color w:val="000000" w:themeColor="text1"/>
                <w:u w:val="none"/>
                <w14:textFill>
                  <w14:solidFill>
                    <w14:schemeClr w14:val="tx1"/>
                  </w14:solidFill>
                </w14:textFill>
              </w:rPr>
              <w:t>、</w:t>
            </w:r>
            <w:r>
              <w:rPr>
                <w:rFonts w:hint="eastAsia"/>
                <w:color w:val="000000" w:themeColor="text1"/>
                <w:kern w:val="0"/>
                <w:u w:val="none"/>
                <w:lang w:val="en-US" w:eastAsia="zh-CN"/>
                <w14:textFill>
                  <w14:solidFill>
                    <w14:schemeClr w14:val="tx1"/>
                  </w14:solidFill>
                </w14:textFill>
              </w:rPr>
              <w:t>TP：0</w:t>
            </w:r>
            <w:r>
              <w:rPr>
                <w:color w:val="000000" w:themeColor="text1"/>
                <w:kern w:val="0"/>
                <w:u w:val="none"/>
                <w14:textFill>
                  <w14:solidFill>
                    <w14:schemeClr w14:val="tx1"/>
                  </w14:solidFill>
                </w14:textFill>
              </w:rPr>
              <w:t>t/a</w:t>
            </w:r>
            <w:r>
              <w:rPr>
                <w:rFonts w:hint="default" w:ascii="Times New Roman" w:hAnsi="Times New Roman" w:cs="Times New Roman"/>
                <w:color w:val="000000" w:themeColor="text1"/>
                <w:sz w:val="24"/>
                <w:highlight w:val="none"/>
                <w:u w:val="none"/>
                <w14:textFill>
                  <w14:solidFill>
                    <w14:schemeClr w14:val="tx1"/>
                  </w14:solidFill>
                </w14:textFill>
              </w:rPr>
              <w:t>。</w:t>
            </w:r>
          </w:p>
          <w:p w14:paraId="2B258BFC">
            <w:pPr>
              <w:spacing w:line="360" w:lineRule="auto"/>
              <w:ind w:firstLine="480" w:firstLineChars="200"/>
              <w:rPr>
                <w:rFonts w:hint="eastAsia" w:eastAsia="宋体" w:cs="Times New Roman"/>
                <w:kern w:val="0"/>
                <w:szCs w:val="24"/>
              </w:rPr>
            </w:pPr>
          </w:p>
          <w:p w14:paraId="2FBE59A2">
            <w:pPr>
              <w:spacing w:line="360" w:lineRule="auto"/>
              <w:ind w:firstLine="480" w:firstLineChars="200"/>
              <w:rPr>
                <w:rFonts w:hint="eastAsia" w:eastAsia="宋体" w:cs="Times New Roman"/>
                <w:kern w:val="0"/>
                <w:szCs w:val="24"/>
              </w:rPr>
            </w:pPr>
          </w:p>
        </w:tc>
      </w:tr>
    </w:tbl>
    <w:p w14:paraId="7B31151B">
      <w:pPr>
        <w:ind w:left="0" w:leftChars="0" w:firstLine="0" w:firstLineChars="0"/>
        <w:jc w:val="both"/>
        <w:sectPr>
          <w:pgSz w:w="11906" w:h="16838"/>
          <w:pgMar w:top="1440" w:right="1440" w:bottom="1440" w:left="1440" w:header="851" w:footer="992" w:gutter="0"/>
          <w:cols w:space="0" w:num="1"/>
          <w:rtlGutter w:val="0"/>
          <w:docGrid w:type="lines" w:linePitch="312" w:charSpace="0"/>
        </w:sectPr>
      </w:pPr>
    </w:p>
    <w:p w14:paraId="4C274302">
      <w:pPr>
        <w:pStyle w:val="2"/>
        <w:spacing w:before="31" w:after="6"/>
        <w:jc w:val="center"/>
        <w:rPr>
          <w:color w:val="000000" w:themeColor="text1"/>
          <w14:textFill>
            <w14:solidFill>
              <w14:schemeClr w14:val="tx1"/>
            </w14:solidFill>
          </w14:textFill>
        </w:rPr>
      </w:pPr>
      <w:bookmarkStart w:id="21" w:name="_Toc8514"/>
      <w:bookmarkStart w:id="22" w:name="_Toc10431"/>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、主要环境影响和保护措施</w:t>
      </w:r>
      <w:bookmarkEnd w:id="21"/>
      <w:bookmarkEnd w:id="22"/>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456"/>
        <w:gridCol w:w="8786"/>
      </w:tblGrid>
      <w:tr w14:paraId="5CCFDF94">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6376097F">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施工期环境保护措施</w:t>
            </w:r>
          </w:p>
        </w:tc>
        <w:tc>
          <w:tcPr>
            <w:tcW w:w="4754" w:type="pct"/>
            <w:vAlign w:val="top"/>
          </w:tcPr>
          <w:p w14:paraId="3CF9F655">
            <w:pPr>
              <w:spacing w:line="360" w:lineRule="auto"/>
              <w:ind w:firstLine="480" w:firstLineChars="200"/>
              <w:rPr>
                <w:rFonts w:hint="eastAsia" w:hAnsi="宋体" w:eastAsia="宋体" w:cs="Times New Roman"/>
                <w:color w:val="000000"/>
                <w:sz w:val="24"/>
                <w:szCs w:val="24"/>
                <w:lang w:val="en-US" w:eastAsia="zh-CN"/>
              </w:rPr>
            </w:pPr>
            <w:r>
              <w:rPr>
                <w:rFonts w:hint="eastAsia" w:hAnsi="宋体" w:eastAsia="宋体" w:cs="Times New Roman"/>
                <w:color w:val="000000"/>
                <w:szCs w:val="24"/>
                <w:lang w:eastAsia="zh-CN"/>
              </w:rPr>
              <w:t>本</w:t>
            </w:r>
            <w:r>
              <w:rPr>
                <w:rFonts w:hAnsi="宋体" w:eastAsia="宋体" w:cs="Times New Roman"/>
                <w:color w:val="000000"/>
                <w:szCs w:val="24"/>
              </w:rPr>
              <w:t>项目</w:t>
            </w:r>
            <w:r>
              <w:rPr>
                <w:rFonts w:hint="eastAsia" w:hAnsi="宋体" w:eastAsia="宋体" w:cs="Times New Roman"/>
                <w:color w:val="000000"/>
                <w:szCs w:val="24"/>
                <w:lang w:eastAsia="zh-CN"/>
              </w:rPr>
              <w:t>租赁已建成厂房，</w:t>
            </w:r>
            <w:r>
              <w:rPr>
                <w:rFonts w:hAnsi="宋体" w:eastAsia="宋体" w:cs="Times New Roman"/>
                <w:color w:val="000000"/>
                <w:szCs w:val="24"/>
              </w:rPr>
              <w:t>施工内容主要</w:t>
            </w:r>
            <w:r>
              <w:rPr>
                <w:rFonts w:hint="eastAsia" w:hAnsi="宋体" w:eastAsia="宋体" w:cs="Times New Roman"/>
                <w:color w:val="000000"/>
                <w:szCs w:val="24"/>
                <w:lang w:eastAsia="zh-CN"/>
              </w:rPr>
              <w:t>为设备安装及调试，</w:t>
            </w:r>
            <w:r>
              <w:rPr>
                <w:rFonts w:hint="eastAsia" w:hAnsi="宋体" w:eastAsia="宋体" w:cs="Times New Roman"/>
                <w:color w:val="000000"/>
                <w:sz w:val="24"/>
                <w:szCs w:val="24"/>
                <w:lang w:eastAsia="zh-CN"/>
              </w:rPr>
              <w:t>主要环境影响为噪声污染。根据项目施工进度，</w:t>
            </w:r>
            <w:r>
              <w:rPr>
                <w:rFonts w:hint="eastAsia" w:hAnsi="宋体" w:eastAsia="宋体" w:cs="Times New Roman"/>
                <w:color w:val="000000"/>
                <w:sz w:val="24"/>
                <w:szCs w:val="24"/>
                <w:lang w:val="en-US" w:eastAsia="zh-CN"/>
              </w:rPr>
              <w:t>施工周期约为3个月，为减轻施工噪声对外界环境的影响，本评价建议采取如下措施：</w:t>
            </w:r>
          </w:p>
          <w:p w14:paraId="05BF0E54">
            <w:pPr>
              <w:spacing w:line="360" w:lineRule="auto"/>
              <w:ind w:firstLine="480" w:firstLineChars="200"/>
              <w:rPr>
                <w:rFonts w:ascii="Times New Roman" w:hAnsi="Times New Roman"/>
                <w:color w:val="000000"/>
                <w:sz w:val="24"/>
              </w:rPr>
            </w:pPr>
            <w:r>
              <w:rPr>
                <w:rFonts w:hint="eastAsia" w:ascii="宋体" w:hAnsi="宋体"/>
                <w:color w:val="000000"/>
                <w:sz w:val="24"/>
              </w:rPr>
              <w:t>①</w:t>
            </w:r>
            <w:r>
              <w:rPr>
                <w:rFonts w:ascii="Times New Roman" w:hAnsi="Times New Roman"/>
                <w:color w:val="000000"/>
                <w:sz w:val="24"/>
              </w:rPr>
              <w:t>在不影响施工的情况下，尽可能采用低噪声施工设备，降低噪声源强；</w:t>
            </w:r>
          </w:p>
          <w:p w14:paraId="2D4F54D1">
            <w:pPr>
              <w:spacing w:line="360" w:lineRule="auto"/>
              <w:ind w:firstLine="480" w:firstLineChars="200"/>
              <w:rPr>
                <w:rFonts w:ascii="Times New Roman" w:hAnsi="Times New Roman"/>
                <w:color w:val="000000"/>
                <w:sz w:val="24"/>
              </w:rPr>
            </w:pPr>
            <w:r>
              <w:rPr>
                <w:rFonts w:hint="eastAsia" w:ascii="宋体" w:hAnsi="宋体"/>
                <w:color w:val="000000"/>
                <w:sz w:val="24"/>
              </w:rPr>
              <w:t>②</w:t>
            </w:r>
            <w:r>
              <w:rPr>
                <w:rFonts w:ascii="Times New Roman" w:hAnsi="Times New Roman"/>
                <w:color w:val="000000"/>
                <w:sz w:val="24"/>
              </w:rPr>
              <w:t>优化施工时间，尽量避免夜间及午间休息时间施工，</w:t>
            </w:r>
            <w:r>
              <w:rPr>
                <w:rFonts w:ascii="Times New Roman" w:hAnsi="Times New Roman"/>
                <w:color w:val="000000"/>
                <w:sz w:val="24"/>
                <w:highlight w:val="none"/>
              </w:rPr>
              <w:t>易产生高噪声的作业</w:t>
            </w:r>
            <w:r>
              <w:rPr>
                <w:rFonts w:hint="eastAsia" w:ascii="Times New Roman" w:hAnsi="Times New Roman"/>
                <w:color w:val="000000"/>
                <w:sz w:val="24"/>
                <w:lang w:eastAsia="zh-CN"/>
              </w:rPr>
              <w:t>尽</w:t>
            </w:r>
            <w:r>
              <w:rPr>
                <w:rFonts w:ascii="Times New Roman" w:hAnsi="Times New Roman"/>
                <w:color w:val="000000"/>
                <w:sz w:val="24"/>
              </w:rPr>
              <w:t>可能安排在白天集中进行，缩短施工时间，并禁止夜间高噪声设备施工；</w:t>
            </w:r>
          </w:p>
          <w:p w14:paraId="327E9A73">
            <w:pPr>
              <w:spacing w:line="360" w:lineRule="auto"/>
              <w:ind w:firstLine="480" w:firstLineChars="200"/>
              <w:rPr>
                <w:rFonts w:hint="eastAsia" w:eastAsia="宋体" w:cs="Times New Roman"/>
                <w:kern w:val="0"/>
                <w:szCs w:val="24"/>
              </w:rPr>
            </w:pPr>
            <w:r>
              <w:rPr>
                <w:rFonts w:ascii="Times New Roman" w:hAnsi="Times New Roman"/>
                <w:color w:val="000000"/>
                <w:sz w:val="24"/>
              </w:rPr>
              <w:t>施工噪声持续时间短，施工结束影响即停止</w:t>
            </w:r>
            <w:r>
              <w:rPr>
                <w:rFonts w:hint="eastAsia" w:ascii="Times New Roman" w:hAnsi="Times New Roman"/>
                <w:color w:val="000000"/>
                <w:sz w:val="24"/>
                <w:lang w:eastAsia="zh-CN"/>
              </w:rPr>
              <w:t>，</w:t>
            </w:r>
            <w:r>
              <w:rPr>
                <w:rFonts w:ascii="Times New Roman" w:hAnsi="Times New Roman"/>
                <w:color w:val="000000"/>
                <w:sz w:val="24"/>
              </w:rPr>
              <w:t>在采取评价建议的降噪措施、做到文明施工后，施工噪声</w:t>
            </w:r>
            <w:r>
              <w:rPr>
                <w:rFonts w:hint="eastAsia" w:ascii="Times New Roman" w:hAnsi="Times New Roman"/>
                <w:color w:val="000000"/>
                <w:sz w:val="24"/>
                <w:lang w:eastAsia="zh-CN"/>
              </w:rPr>
              <w:t>对周围环境</w:t>
            </w:r>
            <w:r>
              <w:rPr>
                <w:rFonts w:ascii="Times New Roman" w:hAnsi="Times New Roman"/>
                <w:color w:val="000000"/>
                <w:sz w:val="24"/>
              </w:rPr>
              <w:t>影响</w:t>
            </w:r>
            <w:r>
              <w:rPr>
                <w:rFonts w:hint="eastAsia" w:ascii="Times New Roman" w:hAnsi="Times New Roman"/>
                <w:color w:val="000000"/>
                <w:sz w:val="24"/>
                <w:lang w:eastAsia="zh-CN"/>
              </w:rPr>
              <w:t>不大</w:t>
            </w:r>
            <w:r>
              <w:rPr>
                <w:rFonts w:ascii="Times New Roman" w:hAnsi="Times New Roman"/>
                <w:color w:val="000000"/>
                <w:sz w:val="24"/>
              </w:rPr>
              <w:t>。</w:t>
            </w:r>
          </w:p>
        </w:tc>
      </w:tr>
      <w:tr w14:paraId="33AE4A85">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4" w:hRule="atLeast"/>
        </w:trPr>
        <w:tc>
          <w:tcPr>
            <w:tcW w:w="245" w:type="pct"/>
            <w:vAlign w:val="center"/>
          </w:tcPr>
          <w:p w14:paraId="2F2B677F">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color w:val="000000" w:themeColor="text1"/>
                <w:sz w:val="24"/>
                <w:szCs w:val="32"/>
                <w14:textFill>
                  <w14:solidFill>
                    <w14:schemeClr w14:val="tx1"/>
                  </w14:solidFill>
                </w14:textFill>
              </w:rPr>
            </w:pPr>
            <w:r>
              <w:rPr>
                <w:rFonts w:hint="eastAsia" w:ascii="黑体" w:hAnsi="黑体" w:eastAsia="黑体" w:cs="黑体"/>
                <w:b w:val="0"/>
                <w:bCs/>
                <w:color w:val="000000" w:themeColor="text1"/>
                <w:sz w:val="24"/>
                <w:szCs w:val="32"/>
                <w14:textFill>
                  <w14:solidFill>
                    <w14:schemeClr w14:val="tx1"/>
                  </w14:solidFill>
                </w14:textFill>
              </w:rPr>
              <w:t>运营期环境影响和保护措施</w:t>
            </w:r>
          </w:p>
        </w:tc>
        <w:tc>
          <w:tcPr>
            <w:tcW w:w="4754" w:type="pct"/>
            <w:vAlign w:val="top"/>
          </w:tcPr>
          <w:p w14:paraId="7C635855">
            <w:pPr>
              <w:spacing w:line="360" w:lineRule="auto"/>
              <w:ind w:left="0" w:leftChars="0" w:firstLine="0" w:firstLineChars="0"/>
              <w:rPr>
                <w:rFonts w:hint="default" w:ascii="Times New Roman" w:hAnsi="Times New Roman" w:eastAsia="黑体" w:cs="Times New Roman"/>
                <w:color w:val="000000"/>
                <w:sz w:val="24"/>
              </w:rPr>
            </w:pPr>
            <w:r>
              <w:rPr>
                <w:rFonts w:hint="default" w:ascii="Times New Roman" w:hAnsi="Times New Roman" w:eastAsia="黑体" w:cs="Times New Roman"/>
                <w:color w:val="000000"/>
                <w:sz w:val="24"/>
              </w:rPr>
              <w:t>1、营运期大气环境影响和保护措施</w:t>
            </w:r>
          </w:p>
          <w:p w14:paraId="4E3D46BE">
            <w:pPr>
              <w:spacing w:line="360" w:lineRule="auto"/>
              <w:ind w:firstLine="480" w:firstLineChars="200"/>
              <w:rPr>
                <w:rFonts w:hint="eastAsia" w:ascii="Times New Roman" w:hAnsi="Times New Roman"/>
                <w:color w:val="000000"/>
                <w:sz w:val="24"/>
              </w:rPr>
            </w:pPr>
            <w:r>
              <w:rPr>
                <w:rFonts w:hint="eastAsia" w:ascii="Times New Roman" w:hAnsi="Times New Roman"/>
                <w:color w:val="000000"/>
                <w:sz w:val="24"/>
                <w:lang w:eastAsia="zh-CN"/>
              </w:rPr>
              <w:t>本章节只做总结性评价，</w:t>
            </w:r>
            <w:r>
              <w:rPr>
                <w:rFonts w:hint="eastAsia" w:ascii="Times New Roman" w:hAnsi="Times New Roman"/>
                <w:color w:val="000000"/>
                <w:sz w:val="24"/>
              </w:rPr>
              <w:t>具体产排污环节、污染物种类及排放量分析详见大气环境影响专项评价。</w:t>
            </w:r>
          </w:p>
          <w:p w14:paraId="5C0BF1FE">
            <w:pPr>
              <w:spacing w:line="360" w:lineRule="auto"/>
              <w:ind w:firstLine="480" w:firstLineChars="200"/>
              <w:rPr>
                <w:rFonts w:hint="default" w:ascii="Times New Roman" w:hAnsi="Times New Roman"/>
                <w:color w:val="000000"/>
                <w:sz w:val="24"/>
                <w:lang w:val="en-US" w:eastAsia="zh-CN"/>
              </w:rPr>
            </w:pPr>
            <w:r>
              <w:rPr>
                <w:rFonts w:hint="eastAsia" w:ascii="Times New Roman" w:hAnsi="Times New Roman"/>
                <w:color w:val="000000"/>
                <w:sz w:val="24"/>
                <w:lang w:val="en-US" w:eastAsia="zh-CN"/>
              </w:rPr>
              <w:t>本项目</w:t>
            </w:r>
            <w:r>
              <w:rPr>
                <w:rFonts w:hint="eastAsia" w:ascii="Times New Roman" w:hAnsi="Times New Roman"/>
                <w:color w:val="000000"/>
                <w:sz w:val="24"/>
                <w:lang w:val="en-GB" w:eastAsia="zh-CN"/>
              </w:rPr>
              <w:t>营运期废气</w:t>
            </w:r>
            <w:r>
              <w:rPr>
                <w:rFonts w:hint="eastAsia" w:ascii="Times New Roman" w:hAnsi="Times New Roman"/>
                <w:color w:val="000000"/>
                <w:sz w:val="24"/>
                <w:lang w:val="en-US" w:eastAsia="zh-CN"/>
              </w:rPr>
              <w:t>主要为</w:t>
            </w:r>
            <w:r>
              <w:rPr>
                <w:rFonts w:hint="eastAsia"/>
                <w:color w:val="000000"/>
                <w:sz w:val="24"/>
                <w:lang w:val="en-US" w:eastAsia="zh-CN"/>
              </w:rPr>
              <w:t>熔炼工序，</w:t>
            </w:r>
            <w:r>
              <w:rPr>
                <w:rFonts w:hint="default"/>
                <w:lang w:val="en-US" w:eastAsia="zh-CN"/>
              </w:rPr>
              <w:t>混砂、造型/浇注、工件清理和不合格品回用切割工序</w:t>
            </w:r>
            <w:r>
              <w:rPr>
                <w:rFonts w:hint="eastAsia"/>
                <w:lang w:val="en-US" w:eastAsia="zh-CN"/>
              </w:rPr>
              <w:t>，</w:t>
            </w:r>
            <w:r>
              <w:rPr>
                <w:rFonts w:hint="eastAsia"/>
                <w:u w:val="none"/>
                <w:lang w:val="en-US" w:eastAsia="zh-CN"/>
              </w:rPr>
              <w:t>落砂及砂处理工序</w:t>
            </w:r>
            <w:r>
              <w:rPr>
                <w:rFonts w:hint="eastAsia" w:ascii="Times New Roman" w:hAnsi="Times New Roman"/>
                <w:color w:val="000000"/>
                <w:sz w:val="24"/>
                <w:lang w:val="en-US" w:eastAsia="zh-CN"/>
              </w:rPr>
              <w:t>和抛丸工序产生的废气</w:t>
            </w:r>
            <w:r>
              <w:rPr>
                <w:rFonts w:hint="eastAsia" w:ascii="Times New Roman" w:hAnsi="Times New Roman"/>
                <w:color w:val="000000"/>
                <w:sz w:val="24"/>
                <w:lang w:val="en-GB" w:eastAsia="zh-CN"/>
              </w:rPr>
              <w:t>。</w:t>
            </w:r>
          </w:p>
          <w:p w14:paraId="111FEE9F">
            <w:pPr>
              <w:spacing w:line="360" w:lineRule="auto"/>
              <w:ind w:firstLine="480" w:firstLineChars="200"/>
              <w:rPr>
                <w:rFonts w:hint="default"/>
                <w:highlight w:val="none"/>
                <w:u w:val="none"/>
                <w:lang w:val="en-US" w:eastAsia="zh-CN"/>
              </w:rPr>
            </w:pPr>
            <w:r>
              <w:rPr>
                <w:rFonts w:hint="eastAsia"/>
                <w:highlight w:val="none"/>
                <w:u w:val="none"/>
                <w:lang w:val="en-US" w:eastAsia="zh-CN"/>
              </w:rPr>
              <w:t>1.1有组织废气防治措施</w:t>
            </w:r>
          </w:p>
          <w:p w14:paraId="41EF1237">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（1）项目</w:t>
            </w:r>
            <w:r>
              <w:rPr>
                <w:rFonts w:hint="eastAsia"/>
                <w:color w:val="000000"/>
                <w:sz w:val="24"/>
                <w:lang w:val="en-US" w:eastAsia="zh-CN"/>
              </w:rPr>
              <w:t>中频炉熔炼工序</w:t>
            </w:r>
            <w:r>
              <w:rPr>
                <w:rFonts w:hint="default" w:ascii="Times New Roman" w:hAnsi="Times New Roman" w:cs="Times New Roman"/>
                <w:color w:val="000000"/>
                <w:sz w:val="24"/>
              </w:rPr>
              <w:t>产生的</w:t>
            </w:r>
            <w:r>
              <w:rPr>
                <w:rFonts w:hint="default" w:ascii="Times New Roman" w:hAnsi="Times New Roman" w:cs="Times New Roman"/>
                <w:color w:val="000000"/>
                <w:sz w:val="24"/>
                <w:lang w:val="en-GB"/>
              </w:rPr>
              <w:t>废气</w:t>
            </w:r>
            <w:r>
              <w:rPr>
                <w:rFonts w:hint="default" w:ascii="Times New Roman" w:hAnsi="Times New Roman" w:cs="Times New Roman"/>
                <w:color w:val="000000"/>
                <w:sz w:val="24"/>
              </w:rPr>
              <w:t>经集气</w:t>
            </w:r>
            <w:r>
              <w:rPr>
                <w:rFonts w:hint="eastAsia" w:ascii="Times New Roman" w:hAnsi="Times New Roman" w:cs="Times New Roman"/>
                <w:color w:val="000000"/>
                <w:sz w:val="24"/>
                <w:lang w:val="en-US" w:eastAsia="zh-CN"/>
              </w:rPr>
              <w:t>罩</w:t>
            </w:r>
            <w:r>
              <w:rPr>
                <w:rFonts w:hint="default" w:ascii="Times New Roman" w:hAnsi="Times New Roman" w:cs="Times New Roman"/>
                <w:color w:val="000000"/>
                <w:sz w:val="24"/>
              </w:rPr>
              <w:t>收集</w:t>
            </w:r>
            <w:r>
              <w:rPr>
                <w:rFonts w:hint="default" w:ascii="Times New Roman" w:hAnsi="Times New Roman" w:cs="Times New Roman"/>
                <w:bCs/>
                <w:color w:val="000000"/>
                <w:spacing w:val="-10"/>
                <w:sz w:val="24"/>
              </w:rPr>
              <w:t>后引入1套耐高温袋式除尘</w:t>
            </w:r>
            <w:r>
              <w:rPr>
                <w:rFonts w:hint="eastAsia" w:ascii="Times New Roman" w:hAnsi="Times New Roman" w:cs="Times New Roman"/>
                <w:bCs/>
                <w:color w:val="000000"/>
                <w:spacing w:val="-10"/>
                <w:sz w:val="24"/>
                <w:lang w:val="en-US" w:eastAsia="zh-CN"/>
              </w:rPr>
              <w:t>器</w:t>
            </w:r>
            <w:r>
              <w:rPr>
                <w:rFonts w:hint="default" w:ascii="Times New Roman" w:hAnsi="Times New Roman" w:cs="Times New Roman"/>
                <w:bCs/>
                <w:color w:val="000000"/>
                <w:spacing w:val="-10"/>
                <w:sz w:val="24"/>
              </w:rPr>
              <w:t>（TA001）处理后经1根15m高排气筒（DA001）引至高空排放</w:t>
            </w:r>
            <w:r>
              <w:rPr>
                <w:rFonts w:hint="default" w:ascii="Times New Roman" w:hAnsi="Times New Roman" w:cs="Times New Roman"/>
                <w:color w:val="000000"/>
                <w:sz w:val="24"/>
                <w:lang w:val="en-GB"/>
              </w:rPr>
              <w:t>，</w:t>
            </w:r>
            <w:r>
              <w:rPr>
                <w:rFonts w:hint="default" w:ascii="Times New Roman" w:hAnsi="Times New Roman" w:cs="Times New Roman"/>
                <w:color w:val="000000"/>
                <w:sz w:val="24"/>
              </w:rPr>
              <w:t>排放浓度为</w:t>
            </w:r>
            <w:r>
              <w:rPr>
                <w:rFonts w:hint="default" w:ascii="Times New Roman" w:hAnsi="Times New Roman" w:cs="Times New Roman"/>
                <w:bCs/>
                <w:color w:val="000000"/>
                <w:spacing w:val="-10"/>
                <w:sz w:val="24"/>
              </w:rPr>
              <w:t>颗粒物</w:t>
            </w:r>
            <w:r>
              <w:rPr>
                <w:rFonts w:hint="default" w:ascii="Times New Roman" w:hAnsi="Times New Roman" w:cs="Times New Roman"/>
                <w:bCs/>
                <w:color w:val="000000"/>
                <w:spacing w:val="-10"/>
                <w:sz w:val="24"/>
                <w:lang w:val="en-US" w:eastAsia="zh-CN"/>
              </w:rPr>
              <w:t>2.449</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ascii="Times New Roman" w:hAnsi="Times New Roman" w:cs="Times New Roman"/>
                <w:bCs/>
                <w:color w:val="000000"/>
                <w:spacing w:val="-10"/>
                <w:sz w:val="24"/>
              </w:rPr>
              <w:t>，</w:t>
            </w:r>
            <w:r>
              <w:rPr>
                <w:rFonts w:hint="default" w:ascii="Times New Roman" w:hAnsi="Times New Roman" w:cs="Times New Roman"/>
                <w:color w:val="000000"/>
                <w:sz w:val="24"/>
              </w:rPr>
              <w:t>满足</w:t>
            </w:r>
            <w:r>
              <w:rPr>
                <w:color w:val="000000"/>
                <w:sz w:val="24"/>
              </w:rPr>
              <w:t>《工业炉窑大气污染物排放标准</w:t>
            </w:r>
            <w:r>
              <w:rPr>
                <w:rFonts w:hint="eastAsia"/>
                <w:color w:val="000000"/>
                <w:sz w:val="24"/>
              </w:rPr>
              <w:t>》</w:t>
            </w:r>
            <w:r>
              <w:rPr>
                <w:color w:val="000000"/>
                <w:sz w:val="24"/>
              </w:rPr>
              <w:t>（</w:t>
            </w:r>
            <w:r>
              <w:rPr>
                <w:rFonts w:hint="eastAsia"/>
                <w:color w:val="000000"/>
                <w:sz w:val="24"/>
                <w:lang w:eastAsia="zh-CN"/>
              </w:rPr>
              <w:t>DB41/1066-2020</w:t>
            </w:r>
            <w:r>
              <w:rPr>
                <w:color w:val="000000"/>
                <w:sz w:val="24"/>
              </w:rPr>
              <w:t>）</w:t>
            </w:r>
            <w:r>
              <w:rPr>
                <w:rFonts w:hint="eastAsia"/>
                <w:color w:val="000000"/>
                <w:sz w:val="24"/>
              </w:rPr>
              <w:t>、《河南省2019年铸造行业污染治理方案》</w:t>
            </w:r>
            <w:r>
              <w:rPr>
                <w:rFonts w:hint="eastAsia"/>
                <w:color w:val="000000"/>
                <w:sz w:val="24"/>
                <w:lang w:val="en-US" w:eastAsia="zh-CN"/>
              </w:rPr>
              <w:t>以及《重污染天气重点行业应急减排措施制定技术指南》（2020年修订版）中铸造企业绩效分级指标A级企业排放限值要求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ascii="Times New Roman" w:hAnsi="Times New Roman" w:cs="Times New Roman"/>
                <w:color w:val="000000"/>
                <w:sz w:val="24"/>
                <w:lang w:val="en-US" w:eastAsia="zh-CN"/>
              </w:rPr>
              <w:t>熔炼工序</w:t>
            </w:r>
            <w:r>
              <w:rPr>
                <w:rFonts w:hint="default" w:ascii="Times New Roman" w:hAnsi="Times New Roman" w:cs="Times New Roman"/>
                <w:color w:val="000000"/>
                <w:sz w:val="24"/>
              </w:rPr>
              <w:t>废气处理工艺为可行性技术。</w:t>
            </w:r>
          </w:p>
          <w:p w14:paraId="6EF6DE6A">
            <w:pPr>
              <w:bidi w:val="0"/>
              <w:rPr>
                <w:rFonts w:hint="default"/>
              </w:rPr>
            </w:pPr>
            <w:r>
              <w:rPr>
                <w:rFonts w:hint="default"/>
              </w:rPr>
              <w:t>（2）项目</w:t>
            </w:r>
            <w:r>
              <w:rPr>
                <w:rFonts w:hint="default"/>
                <w:lang w:val="en-US" w:eastAsia="zh-CN"/>
              </w:rPr>
              <w:t>混砂、造型/浇注、工件清理和不合格品回用切割工序</w:t>
            </w:r>
            <w:r>
              <w:rPr>
                <w:rFonts w:hint="default"/>
              </w:rPr>
              <w:t>产生的</w:t>
            </w:r>
            <w:r>
              <w:rPr>
                <w:rFonts w:hint="default"/>
                <w:lang w:val="en-GB"/>
              </w:rPr>
              <w:t>废气</w:t>
            </w:r>
            <w:r>
              <w:rPr>
                <w:rFonts w:hint="eastAsia"/>
                <w:lang w:val="en-US" w:eastAsia="zh-CN"/>
              </w:rPr>
              <w:t>经</w:t>
            </w:r>
            <w:r>
              <w:rPr>
                <w:rFonts w:hint="default"/>
              </w:rPr>
              <w:t>收集后引入1套</w:t>
            </w:r>
            <w:r>
              <w:rPr>
                <w:rFonts w:hint="default"/>
                <w:lang w:val="en-US" w:eastAsia="zh-CN"/>
              </w:rPr>
              <w:t>袋式除尘器+催化燃烧</w:t>
            </w:r>
            <w:r>
              <w:rPr>
                <w:rFonts w:hint="default"/>
              </w:rPr>
              <w:t>装置</w:t>
            </w:r>
            <w:r>
              <w:rPr>
                <w:rFonts w:hint="default"/>
                <w:lang w:val="en-US" w:eastAsia="zh-CN"/>
              </w:rPr>
              <w:t>（RCO）</w:t>
            </w:r>
            <w:r>
              <w:rPr>
                <w:rFonts w:hint="default"/>
              </w:rPr>
              <w:t>（TA002）处理后经1根15m高排气筒（DA002）引至高空排放，排放浓度为颗粒物</w:t>
            </w:r>
            <w:r>
              <w:rPr>
                <w:rFonts w:hint="default"/>
                <w:lang w:val="en-US" w:eastAsia="zh-CN"/>
              </w:rPr>
              <w:t>1.979</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，非甲烷总烃</w:t>
            </w:r>
            <w:r>
              <w:rPr>
                <w:rFonts w:hint="default"/>
                <w:lang w:val="en-US" w:eastAsia="zh-CN"/>
              </w:rPr>
              <w:t>2.377</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，甲醛</w:t>
            </w:r>
            <w:r>
              <w:rPr>
                <w:rFonts w:hint="default"/>
                <w:lang w:val="en-US" w:eastAsia="zh-CN"/>
              </w:rPr>
              <w:t>0.152</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，满足《铸造工业大气污染物排放标准》(GB39726-2020)、《大气污染物综合排放标准》（GB16297-1996）表2标准</w:t>
            </w:r>
            <w:r>
              <w:rPr>
                <w:rFonts w:hint="eastAsia"/>
                <w:color w:val="000000"/>
                <w:sz w:val="24"/>
              </w:rPr>
              <w:t>、《河南省2019年铸造行业污染治理方案》</w:t>
            </w:r>
            <w:r>
              <w:rPr>
                <w:rFonts w:hint="default"/>
              </w:rPr>
              <w:t>、《关于全省开展工业企业挥发性有机物专项治理工作中排放建议值的通知》（豫环攻坚办[2017]162号）中附件1中其他工业</w:t>
            </w:r>
            <w:r>
              <w:rPr>
                <w:rFonts w:hint="default"/>
                <w:lang w:val="en-US" w:eastAsia="zh-CN"/>
              </w:rPr>
              <w:t>以及《重污染天气重点行业应急减排措施制定技术指南》（2020年修订版）中铸造企业绩效分级指标A级企业排放限值要求</w:t>
            </w:r>
            <w:r>
              <w:rPr>
                <w:rFonts w:hint="default"/>
                <w:lang w:eastAsia="zh-CN"/>
              </w:rPr>
              <w:t>，</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lang w:val="en-US" w:eastAsia="zh-CN"/>
              </w:rPr>
              <w:t>混砂、造型/浇注、工件清理和不合格品回用切割工序</w:t>
            </w:r>
            <w:r>
              <w:rPr>
                <w:rFonts w:hint="default" w:ascii="Times New Roman" w:hAnsi="Times New Roman" w:cs="Times New Roman"/>
                <w:color w:val="000000"/>
                <w:sz w:val="24"/>
              </w:rPr>
              <w:t>废气处理工艺为可行性技术。</w:t>
            </w:r>
          </w:p>
          <w:p w14:paraId="25C7A2C1">
            <w:pPr>
              <w:bidi w:val="0"/>
              <w:rPr>
                <w:rFonts w:hint="default"/>
              </w:rPr>
            </w:pPr>
            <w:r>
              <w:rPr>
                <w:rFonts w:hint="default"/>
              </w:rPr>
              <w:t>（3）项目</w:t>
            </w:r>
            <w:r>
              <w:rPr>
                <w:rFonts w:hint="default"/>
                <w:lang w:val="en-US" w:eastAsia="zh-CN"/>
              </w:rPr>
              <w:t>落砂机设置集气罩，砂处理系统为全封闭设备</w:t>
            </w:r>
            <w:r>
              <w:rPr>
                <w:rFonts w:hint="eastAsia"/>
                <w:lang w:val="en-US" w:eastAsia="zh-CN"/>
              </w:rPr>
              <w:t>，</w:t>
            </w:r>
            <w:r>
              <w:rPr>
                <w:rFonts w:hint="eastAsia"/>
                <w:u w:val="none"/>
                <w:lang w:val="en-US" w:eastAsia="zh-CN"/>
              </w:rPr>
              <w:t>落砂及砂处理工序产生的废气</w:t>
            </w:r>
            <w:r>
              <w:rPr>
                <w:rFonts w:hint="default"/>
              </w:rPr>
              <w:t>收集后引至</w:t>
            </w:r>
            <w:r>
              <w:rPr>
                <w:rFonts w:hint="eastAsia"/>
                <w:u w:val="none"/>
                <w:lang w:val="en-US" w:eastAsia="zh-CN"/>
              </w:rPr>
              <w:t>分别</w:t>
            </w:r>
            <w:r>
              <w:rPr>
                <w:rFonts w:hint="default"/>
              </w:rPr>
              <w:t>1套袋式除尘器（TA003</w:t>
            </w:r>
            <w:r>
              <w:rPr>
                <w:rFonts w:hint="eastAsia"/>
                <w:lang w:val="en-US" w:eastAsia="zh-CN"/>
              </w:rPr>
              <w:t>-TA004</w:t>
            </w:r>
            <w:r>
              <w:rPr>
                <w:rFonts w:hint="default"/>
              </w:rPr>
              <w:t>）处理后通过1根15m高排气筒（DA003）引至高空排放，颗粒物排放浓度为</w:t>
            </w:r>
            <w:r>
              <w:rPr>
                <w:rFonts w:hint="default"/>
                <w:lang w:val="en-US" w:eastAsia="zh-CN"/>
              </w:rPr>
              <w:t>2.282</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，满足《铸造工业大气污染物排放标准》(GB39726-2020)表1和《河南省2019年铸造行业污染治理方案》</w:t>
            </w:r>
            <w:r>
              <w:rPr>
                <w:rFonts w:hint="default"/>
                <w:lang w:val="en-US" w:eastAsia="zh-CN"/>
              </w:rPr>
              <w:t>中的</w:t>
            </w:r>
            <w:r>
              <w:rPr>
                <w:rFonts w:hint="default"/>
              </w:rPr>
              <w:t>标准</w:t>
            </w:r>
            <w:r>
              <w:rPr>
                <w:rFonts w:hint="eastAsia"/>
                <w:lang w:val="en-US" w:eastAsia="zh-CN"/>
              </w:rPr>
              <w:t>限值</w:t>
            </w:r>
            <w:r>
              <w:rPr>
                <w:rFonts w:hint="default"/>
                <w:lang w:val="en-US" w:eastAsia="zh-CN"/>
              </w:rPr>
              <w:t>要</w:t>
            </w:r>
            <w:r>
              <w:rPr>
                <w:rFonts w:hint="default"/>
              </w:rPr>
              <w:t>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eastAsia"/>
                <w:u w:val="none"/>
                <w:lang w:val="en-US" w:eastAsia="zh-CN"/>
              </w:rPr>
              <w:t>落砂及砂处理工序</w:t>
            </w:r>
            <w:r>
              <w:rPr>
                <w:rFonts w:hint="default" w:ascii="Times New Roman" w:hAnsi="Times New Roman" w:cs="Times New Roman"/>
                <w:color w:val="000000"/>
                <w:sz w:val="24"/>
              </w:rPr>
              <w:t>废气处理工艺为可行性技术。</w:t>
            </w:r>
          </w:p>
          <w:p w14:paraId="71BCEFFE">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w:t>
            </w:r>
            <w:r>
              <w:rPr>
                <w:rFonts w:hint="default" w:ascii="Times New Roman" w:hAnsi="Times New Roman" w:cs="Times New Roman"/>
                <w:bCs/>
                <w:color w:val="000000"/>
                <w:kern w:val="0"/>
                <w:sz w:val="24"/>
                <w:szCs w:val="24"/>
              </w:rPr>
              <w:t>项目</w:t>
            </w:r>
            <w:r>
              <w:rPr>
                <w:rFonts w:hint="default" w:ascii="Times New Roman" w:hAnsi="Times New Roman" w:cs="Times New Roman"/>
                <w:bCs/>
                <w:color w:val="000000"/>
                <w:kern w:val="0"/>
                <w:sz w:val="24"/>
                <w:szCs w:val="24"/>
                <w:lang w:val="en-US" w:eastAsia="zh-CN"/>
              </w:rPr>
              <w:t>抛丸工序</w:t>
            </w:r>
            <w:r>
              <w:rPr>
                <w:rFonts w:hint="default" w:ascii="Times New Roman" w:hAnsi="Times New Roman" w:cs="Times New Roman"/>
                <w:bCs/>
                <w:color w:val="000000"/>
                <w:kern w:val="0"/>
                <w:sz w:val="24"/>
                <w:szCs w:val="24"/>
              </w:rPr>
              <w:t>产生的颗粒物</w:t>
            </w:r>
            <w:r>
              <w:rPr>
                <w:rFonts w:hint="default" w:ascii="Times New Roman" w:hAnsi="Times New Roman" w:cs="Times New Roman"/>
                <w:bCs/>
                <w:color w:val="000000"/>
                <w:spacing w:val="-10"/>
                <w:sz w:val="24"/>
                <w:szCs w:val="24"/>
              </w:rPr>
              <w:t>经密闭管道收集后引至1套袋式除尘器（TA00</w:t>
            </w:r>
            <w:r>
              <w:rPr>
                <w:rFonts w:hint="eastAsia" w:ascii="Times New Roman" w:hAnsi="Times New Roman" w:cs="Times New Roman"/>
                <w:bCs/>
                <w:color w:val="000000"/>
                <w:spacing w:val="-10"/>
                <w:sz w:val="24"/>
                <w:szCs w:val="24"/>
                <w:lang w:val="en-US" w:eastAsia="zh-CN"/>
              </w:rPr>
              <w:t>5</w:t>
            </w:r>
            <w:r>
              <w:rPr>
                <w:rFonts w:hint="default" w:ascii="Times New Roman" w:hAnsi="Times New Roman" w:cs="Times New Roman"/>
                <w:bCs/>
                <w:color w:val="000000"/>
                <w:spacing w:val="-10"/>
                <w:sz w:val="24"/>
                <w:szCs w:val="24"/>
              </w:rPr>
              <w:t>）处理后通过1根15m高排气筒（DA004）引至高空排放</w:t>
            </w:r>
            <w:r>
              <w:rPr>
                <w:rFonts w:hint="default" w:ascii="Times New Roman" w:hAnsi="Times New Roman" w:cs="Times New Roman"/>
                <w:bCs/>
                <w:color w:val="000000"/>
                <w:kern w:val="0"/>
                <w:sz w:val="24"/>
                <w:szCs w:val="24"/>
              </w:rPr>
              <w:t>，颗粒物排放浓度为</w:t>
            </w:r>
            <w:r>
              <w:rPr>
                <w:rFonts w:hint="default" w:ascii="Times New Roman" w:hAnsi="Times New Roman" w:cs="Times New Roman"/>
                <w:bCs/>
                <w:color w:val="000000"/>
                <w:kern w:val="0"/>
                <w:sz w:val="24"/>
                <w:szCs w:val="24"/>
                <w:lang w:val="en-US" w:eastAsia="zh-CN"/>
              </w:rPr>
              <w:t>2.095</w:t>
            </w:r>
            <w:r>
              <w:rPr>
                <w:rFonts w:hint="default" w:ascii="Times New Roman" w:hAnsi="Times New Roman" w:cs="Times New Roman"/>
                <w:bCs/>
                <w:color w:val="000000"/>
                <w:spacing w:val="-10"/>
                <w:sz w:val="24"/>
                <w:szCs w:val="24"/>
              </w:rPr>
              <w:t>mg/m</w:t>
            </w:r>
            <w:r>
              <w:rPr>
                <w:rFonts w:hint="default" w:ascii="Times New Roman" w:hAnsi="Times New Roman" w:cs="Times New Roman"/>
                <w:bCs/>
                <w:color w:val="000000"/>
                <w:spacing w:val="-10"/>
                <w:sz w:val="24"/>
                <w:szCs w:val="24"/>
                <w:vertAlign w:val="superscript"/>
              </w:rPr>
              <w:t>3</w:t>
            </w:r>
            <w:r>
              <w:rPr>
                <w:rFonts w:hint="default" w:ascii="Times New Roman" w:hAnsi="Times New Roman" w:cs="Times New Roman"/>
                <w:bCs/>
                <w:color w:val="000000"/>
                <w:kern w:val="0"/>
                <w:sz w:val="24"/>
                <w:szCs w:val="24"/>
              </w:rPr>
              <w:t>，</w:t>
            </w:r>
            <w:r>
              <w:rPr>
                <w:rFonts w:hint="eastAsia" w:ascii="Times New Roman" w:hAnsi="Times New Roman" w:cs="Times New Roman"/>
                <w:bCs/>
                <w:color w:val="000000"/>
                <w:kern w:val="0"/>
                <w:sz w:val="24"/>
                <w:szCs w:val="24"/>
                <w:lang w:val="en-US" w:eastAsia="zh-CN"/>
              </w:rPr>
              <w:t>满足</w:t>
            </w:r>
            <w:r>
              <w:rPr>
                <w:rFonts w:hint="default"/>
              </w:rPr>
              <w:t>《铸造工业大气污染物排放标准》(GB39726-2020)表1和《河南省2019年铸造行业污染治理方案》</w:t>
            </w:r>
            <w:r>
              <w:rPr>
                <w:rFonts w:hint="default"/>
                <w:lang w:val="en-US" w:eastAsia="zh-CN"/>
              </w:rPr>
              <w:t>中的</w:t>
            </w:r>
            <w:r>
              <w:rPr>
                <w:rFonts w:hint="default"/>
              </w:rPr>
              <w:t>标准</w:t>
            </w:r>
            <w:r>
              <w:rPr>
                <w:rFonts w:hint="eastAsia"/>
                <w:lang w:val="en-US" w:eastAsia="zh-CN"/>
              </w:rPr>
              <w:t>限值</w:t>
            </w:r>
            <w:r>
              <w:rPr>
                <w:rFonts w:hint="default"/>
                <w:lang w:val="en-US" w:eastAsia="zh-CN"/>
              </w:rPr>
              <w:t>要</w:t>
            </w:r>
            <w:r>
              <w:rPr>
                <w:rFonts w:hint="default"/>
              </w:rPr>
              <w:t>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ascii="Times New Roman" w:hAnsi="Times New Roman" w:cs="Times New Roman"/>
                <w:bCs/>
                <w:color w:val="000000"/>
                <w:kern w:val="0"/>
                <w:sz w:val="24"/>
                <w:szCs w:val="24"/>
                <w:lang w:val="en-US" w:eastAsia="zh-CN"/>
              </w:rPr>
              <w:t>抛丸工序</w:t>
            </w:r>
            <w:r>
              <w:rPr>
                <w:rFonts w:hint="default" w:ascii="Times New Roman" w:hAnsi="Times New Roman" w:cs="Times New Roman"/>
                <w:color w:val="000000"/>
                <w:sz w:val="24"/>
              </w:rPr>
              <w:t>废气处理工艺为可行性技术。</w:t>
            </w:r>
          </w:p>
          <w:p w14:paraId="26A49C94">
            <w:pPr>
              <w:bidi w:val="0"/>
              <w:rPr>
                <w:rFonts w:hint="default"/>
              </w:rPr>
            </w:pPr>
            <w:r>
              <w:rPr>
                <w:rFonts w:hint="default"/>
              </w:rPr>
              <w:t>（5）袋式除尘器原理：含尘气体由灰斗上部进风口后，在挡风板的作用下，气流向上流动，流速降低，部分大颗粒粉尘由于惯性力的作用被分离出来落入灰斗。含尘气体进入中箱体经滤袋的过滤净化，粉尘被阻留在滤袋的外表面，净化后的气体经滤袋口进入上箱体，由出风口排出。随着滤袋表面粉尘不断增加，除尘器进出口压差也随之上升。当除尘器阻力达到设定值时，控制系统发出清灰指令，清灰系统开始工作。首先电磁阀接到信号后立即开启，使小膜片上部气室的压缩空气被排放，由于小膜片两端受力的改变，使被小膜片关闭的排气通道开启，大膜片上部气室的压缩空气由此通道排出，大膜片两端受力改变，使大膜片动作，将关闭的输出口打开，气包内的压缩空气经由输出管和喷吹管喷入袋内，实现清灰。当控制信号停止后，电磁阀关闭，小膜片、大膜片相继复位，喷吹停止。采用袋式除尘器有以下优点：除尘效率高，可补集粒径大于0.3μm的细小粉尘，出口粉尘浓度低于30mg/Nm</w:t>
            </w:r>
            <w:r>
              <w:rPr>
                <w:rFonts w:hint="default"/>
                <w:vertAlign w:val="superscript"/>
              </w:rPr>
              <w:t>3</w:t>
            </w:r>
            <w:r>
              <w:rPr>
                <w:rFonts w:hint="default"/>
              </w:rPr>
              <w:t>。使用灵活，处理风量范围大，可以作成直接设于室内，机床附近的小型机组，也可作成大型的除尘器。结构比较简单，运行比较稳定，初期投资较少（与电除尘器比较而言），维护方便。</w:t>
            </w:r>
          </w:p>
          <w:p w14:paraId="46308FD3">
            <w:pPr>
              <w:bidi w:val="0"/>
              <w:rPr>
                <w:rFonts w:hint="default"/>
              </w:rPr>
            </w:pPr>
            <w:r>
              <w:rPr>
                <w:rFonts w:hint="default"/>
              </w:rPr>
              <w:t>项目采用袋式除尘器，该除尘器集尘量大，方便粉尘的回收，配置防静电滤袋，除尘效率高，可确保满足排放标准。因此，废气处理工艺为可行性技术。</w:t>
            </w:r>
          </w:p>
          <w:p w14:paraId="2E8C6A81">
            <w:pPr>
              <w:bidi w:val="0"/>
              <w:rPr>
                <w:rFonts w:hint="eastAsia"/>
              </w:rPr>
            </w:pPr>
            <w:r>
              <w:rPr>
                <w:rFonts w:hint="default"/>
              </w:rPr>
              <w:t>（6）</w:t>
            </w:r>
            <w:r>
              <w:rPr>
                <w:rFonts w:hint="eastAsia"/>
              </w:rPr>
              <w:t>催化燃烧装置</w:t>
            </w:r>
            <w:r>
              <w:rPr>
                <w:rFonts w:hint="eastAsia"/>
                <w:lang w:val="en-US" w:eastAsia="zh-CN"/>
              </w:rPr>
              <w:t>原理：</w:t>
            </w:r>
            <w:r>
              <w:rPr>
                <w:rFonts w:hint="eastAsia"/>
              </w:rPr>
              <w:t>有机废气在风机的作用下引入吸附单元，将其均匀的分布在活性炭的表面，依靠活性炭复杂的内部结构体系及超强大的表面积，活性炭将有机废气吸附在其表面，有机废气由此而达到净化的效果。净化后的洁净气体可达到相关大气污染物排放法律标准。每套废气净化处理系统设有多套吸附单元，其中一套用于脱附，其余用于吸附，多台吸附单元轮流工作，有plc自动控制切换。当吸附单元的活性炭吸附至饱和的程度后，该吸附单元切换为脱附单元，脱附需要外加热量，加热装置设在催化燃烧室内，将其开启后同时预热催化剂，燃烧炉达到设定温度后将热空气引入脱附床，有机废气在加热作用下从活性炭表面解吸出来。由于温度会使活性炭内部结构变化，所以在吸附脱附单元都设置热电偶温度传感器，温度偏高时及时调节补冷风系统，即能保证最优的脱附效果，又给活性炭提供一个安全的工作环境。有机物从活性炭内脱附出来，进入催化燃烧室进行催化分解成水和二氧化碳，同时释放出能量。利用释放出的能量再进入吸附床脱附时，此时加热装置可完全停止工作，有机废气在催化燃烧室内维持自燃，能量再生，换热，循环进行，直到有机物完全从活性炭内部分离，至催化室分解。活性炭得到了再生，有机物得到分解处理。</w:t>
            </w:r>
          </w:p>
          <w:p w14:paraId="192BAF28">
            <w:pPr>
              <w:pStyle w:val="53"/>
              <w:spacing w:line="360" w:lineRule="auto"/>
              <w:ind w:firstLine="480"/>
              <w:rPr>
                <w:rFonts w:hint="default"/>
                <w:b w:val="0"/>
                <w:bCs w:val="0"/>
                <w:sz w:val="24"/>
                <w:szCs w:val="24"/>
                <w:highlight w:val="none"/>
                <w:u w:val="none"/>
                <w:lang w:val="en-US" w:eastAsia="zh-CN"/>
              </w:rPr>
            </w:pPr>
            <w:r>
              <w:rPr>
                <w:rFonts w:hint="eastAsia"/>
                <w:b w:val="0"/>
                <w:bCs w:val="0"/>
                <w:sz w:val="24"/>
                <w:szCs w:val="24"/>
                <w:highlight w:val="none"/>
                <w:u w:val="none"/>
                <w:lang w:val="en-US" w:eastAsia="zh-CN"/>
              </w:rPr>
              <w:t>1.2无组织废气防治措施</w:t>
            </w:r>
          </w:p>
          <w:p w14:paraId="685B5253">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根据《河南省2019年工业企业无组织排放治理方案》、《重污染天气重点行业应急减排措施制定技术指南》（2020年修订版）中铸造企业绩效分级指标A级要求、《铸造工业大气污染防治技术规范》（DB41/T2388-2023）、《铸造工业大气污染防治可行技术指南》（HJ1292-2023）中有关要求，评价要求对项目无组织废气应采取以下措施：</w:t>
            </w:r>
          </w:p>
          <w:p w14:paraId="584D61A8">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①定期对环保设备进行维护，保证废气的收集处理效率；</w:t>
            </w:r>
          </w:p>
          <w:p w14:paraId="02399355">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②项目生产车间设全封闭结构，四面密闭；车间通道口安装封闭性良好且便于开关的卷帘门，生产过程将门关闭，以减少无组织废气的排放；</w:t>
            </w:r>
          </w:p>
          <w:p w14:paraId="5F991844">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③车间内各工序功能分区明确，合理布局，以减少不必要的物料周转；</w:t>
            </w:r>
          </w:p>
          <w:p w14:paraId="431E5DEF">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④除尘器卸灰口应采取密闭措施，除尘灰采取袋装密闭方式收集、存放和运输，不直接卸落到地面；</w:t>
            </w:r>
          </w:p>
          <w:p w14:paraId="4E0B9AAF">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⑤厂区道路宜硬化，并采取清扫、洒水等措施，保持清洁；</w:t>
            </w:r>
          </w:p>
          <w:p w14:paraId="2F90B6B3">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⑥项目所用</w:t>
            </w:r>
            <w:r>
              <w:rPr>
                <w:rFonts w:hint="eastAsia"/>
                <w:color w:val="000000"/>
                <w:sz w:val="24"/>
              </w:rPr>
              <w:t>石英砂</w:t>
            </w:r>
            <w:r>
              <w:rPr>
                <w:rFonts w:hint="eastAsia"/>
                <w:b w:val="0"/>
                <w:bCs w:val="0"/>
                <w:sz w:val="24"/>
                <w:highlight w:val="none"/>
                <w:u w:val="none"/>
              </w:rPr>
              <w:t>由吨包储存于密闭原料库内，项目块状、散装物料均按要求储存于封闭车间，项目</w:t>
            </w:r>
            <w:r>
              <w:rPr>
                <w:rFonts w:hint="eastAsia"/>
                <w:color w:val="000000"/>
                <w:sz w:val="24"/>
              </w:rPr>
              <w:t>石英砂</w:t>
            </w:r>
            <w:r>
              <w:rPr>
                <w:rFonts w:hint="eastAsia"/>
                <w:b w:val="0"/>
                <w:bCs w:val="0"/>
                <w:sz w:val="24"/>
                <w:highlight w:val="none"/>
                <w:u w:val="none"/>
              </w:rPr>
              <w:t>转移均采用密闭包装转移。</w:t>
            </w:r>
          </w:p>
          <w:p w14:paraId="17A00CA1">
            <w:pPr>
              <w:tabs>
                <w:tab w:val="center" w:pos="4153"/>
                <w:tab w:val="right" w:pos="8306"/>
              </w:tabs>
              <w:spacing w:line="360" w:lineRule="auto"/>
              <w:ind w:firstLine="480" w:firstLineChars="200"/>
              <w:rPr>
                <w:rFonts w:ascii="Times New Roman" w:hAnsi="Times New Roman"/>
                <w:color w:val="000000"/>
                <w:sz w:val="24"/>
              </w:rPr>
            </w:pPr>
            <w:r>
              <w:rPr>
                <w:rFonts w:hint="eastAsia"/>
                <w:b w:val="0"/>
                <w:bCs w:val="0"/>
                <w:sz w:val="24"/>
                <w:highlight w:val="none"/>
                <w:u w:val="none"/>
              </w:rPr>
              <w:t>经采取以上措施后，本项目无组织废气排放量可得到有效控制，预计对周围环境影响</w:t>
            </w:r>
            <w:r>
              <w:rPr>
                <w:rFonts w:hint="eastAsia"/>
                <w:b w:val="0"/>
                <w:bCs w:val="0"/>
                <w:sz w:val="24"/>
                <w:highlight w:val="none"/>
                <w:u w:val="none"/>
                <w:lang w:val="en-US" w:eastAsia="zh-CN"/>
              </w:rPr>
              <w:t>较小</w:t>
            </w:r>
            <w:r>
              <w:rPr>
                <w:rFonts w:hint="eastAsia"/>
                <w:b w:val="0"/>
                <w:bCs w:val="0"/>
                <w:sz w:val="24"/>
                <w:highlight w:val="none"/>
                <w:u w:val="none"/>
              </w:rPr>
              <w:t>。</w:t>
            </w:r>
          </w:p>
          <w:p w14:paraId="53791D15">
            <w:pPr>
              <w:spacing w:line="360" w:lineRule="auto"/>
              <w:ind w:left="0" w:leftChars="0" w:firstLine="0" w:firstLineChars="0"/>
              <w:rPr>
                <w:rFonts w:hint="default" w:ascii="Times New Roman" w:hAnsi="Times New Roman" w:eastAsia="黑体" w:cs="Times New Roman"/>
                <w:b w:val="0"/>
                <w:bCs/>
              </w:rPr>
            </w:pPr>
            <w:r>
              <w:rPr>
                <w:rFonts w:hint="default" w:ascii="Times New Roman" w:hAnsi="Times New Roman" w:eastAsia="黑体" w:cs="Times New Roman"/>
                <w:b w:val="0"/>
                <w:bCs/>
              </w:rPr>
              <w:t>2、营运期水环境影响和保护措施</w:t>
            </w:r>
          </w:p>
          <w:p w14:paraId="5C3EE78A">
            <w:pPr>
              <w:spacing w:line="360" w:lineRule="auto"/>
              <w:ind w:firstLine="480" w:firstLineChars="200"/>
              <w:rPr>
                <w:rFonts w:cs="Times New Roman"/>
              </w:rPr>
            </w:pPr>
            <w:r>
              <w:rPr>
                <w:rFonts w:hint="eastAsia" w:cs="Times New Roman"/>
                <w:lang w:val="en-US" w:eastAsia="zh-CN"/>
              </w:rPr>
              <w:t>2.1</w:t>
            </w:r>
            <w:r>
              <w:rPr>
                <w:rFonts w:hint="eastAsia" w:cs="Times New Roman"/>
              </w:rPr>
              <w:t>废水产生情况及拟采取措施</w:t>
            </w:r>
          </w:p>
          <w:p w14:paraId="5EE68A0A">
            <w:pPr>
              <w:spacing w:line="360" w:lineRule="auto"/>
              <w:ind w:firstLine="480" w:firstLineChars="200"/>
              <w:rPr>
                <w:rFonts w:hAnsi="宋体"/>
                <w:kern w:val="0"/>
              </w:rPr>
            </w:pPr>
            <w:r>
              <w:rPr>
                <w:rFonts w:hint="eastAsia"/>
              </w:rPr>
              <w:t>本项目</w:t>
            </w:r>
            <w:r>
              <w:rPr>
                <w:rFonts w:hint="eastAsia" w:hAnsi="宋体"/>
                <w:kern w:val="0"/>
              </w:rPr>
              <w:t>营运期废水主要为职工生活污水，</w:t>
            </w:r>
            <w:r>
              <w:rPr>
                <w:rFonts w:hint="eastAsia" w:hAnsi="宋体" w:cs="Times New Roman"/>
                <w:szCs w:val="24"/>
              </w:rPr>
              <w:t>根据项目水平衡分析，</w:t>
            </w:r>
            <w:r>
              <w:rPr>
                <w:rFonts w:hint="eastAsia" w:hAnsi="宋体"/>
                <w:kern w:val="0"/>
              </w:rPr>
              <w:t>职工生活污水产生量</w:t>
            </w:r>
            <w:r>
              <w:rPr>
                <w:rFonts w:hint="eastAsia"/>
                <w:lang w:val="en-US" w:eastAsia="zh-CN"/>
              </w:rPr>
              <w:t>0.6</w:t>
            </w:r>
            <w:r>
              <w:t>m</w:t>
            </w:r>
            <w:r>
              <w:rPr>
                <w:vertAlign w:val="superscript"/>
              </w:rPr>
              <w:t>3</w:t>
            </w:r>
            <w:r>
              <w:t>/d</w:t>
            </w:r>
            <w:r>
              <w:rPr>
                <w:rFonts w:hint="eastAsia"/>
              </w:rPr>
              <w:t>（</w:t>
            </w:r>
            <w:r>
              <w:rPr>
                <w:rFonts w:hint="eastAsia"/>
                <w:lang w:val="en-US" w:eastAsia="zh-CN"/>
              </w:rPr>
              <w:t>198</w:t>
            </w:r>
            <w:r>
              <w:t>m</w:t>
            </w:r>
            <w:r>
              <w:rPr>
                <w:vertAlign w:val="superscript"/>
              </w:rPr>
              <w:t>3</w:t>
            </w:r>
            <w:r>
              <w:t>/</w:t>
            </w:r>
            <w:r>
              <w:rPr>
                <w:rFonts w:hint="eastAsia"/>
              </w:rPr>
              <w:t>a）</w:t>
            </w:r>
            <w:r>
              <w:rPr>
                <w:rFonts w:hint="eastAsia" w:hAnsi="宋体"/>
                <w:kern w:val="0"/>
              </w:rPr>
              <w:t>，</w:t>
            </w:r>
            <w:r>
              <w:rPr>
                <w:rFonts w:hint="eastAsia" w:cs="Times New Roman"/>
              </w:rPr>
              <w:t>主要污染物及浓度为COD 380mg/L、BOD</w:t>
            </w:r>
            <w:r>
              <w:rPr>
                <w:rFonts w:hint="eastAsia" w:cs="Times New Roman"/>
                <w:vertAlign w:val="subscript"/>
              </w:rPr>
              <w:t>5</w:t>
            </w:r>
            <w:r>
              <w:rPr>
                <w:rFonts w:hint="eastAsia" w:cs="Times New Roman"/>
              </w:rPr>
              <w:t xml:space="preserve"> 250mg/L、SS 280mg/L、NH</w:t>
            </w:r>
            <w:r>
              <w:rPr>
                <w:rFonts w:hint="eastAsia" w:cs="Times New Roman"/>
                <w:vertAlign w:val="subscript"/>
              </w:rPr>
              <w:t>3</w:t>
            </w:r>
            <w:r>
              <w:rPr>
                <w:rFonts w:hint="eastAsia" w:cs="Times New Roman"/>
              </w:rPr>
              <w:t>-N 30mg/L，</w:t>
            </w:r>
            <w:r>
              <w:rPr>
                <w:rFonts w:hint="eastAsia" w:hAnsi="宋体"/>
                <w:kern w:val="0"/>
              </w:rPr>
              <w:t>经厂区</w:t>
            </w:r>
            <w:r>
              <w:rPr>
                <w:rFonts w:hint="eastAsia"/>
                <w:lang w:val="en-US" w:eastAsia="zh-CN"/>
              </w:rPr>
              <w:t>已建设</w:t>
            </w:r>
            <w:r>
              <w:rPr>
                <w:rFonts w:hint="eastAsia" w:hAnsi="宋体"/>
                <w:kern w:val="0"/>
              </w:rPr>
              <w:t>化粪池（容积10m</w:t>
            </w:r>
            <w:r>
              <w:rPr>
                <w:rFonts w:hint="eastAsia" w:hAnsi="宋体"/>
                <w:kern w:val="0"/>
                <w:vertAlign w:val="superscript"/>
              </w:rPr>
              <w:t>3</w:t>
            </w:r>
            <w:r>
              <w:rPr>
                <w:rFonts w:hint="eastAsia" w:hAnsi="宋体"/>
                <w:kern w:val="0"/>
              </w:rPr>
              <w:t>）处理后</w:t>
            </w:r>
            <w:r>
              <w:rPr>
                <w:rFonts w:hint="eastAsia" w:cs="Times New Roman"/>
              </w:rPr>
              <w:t>排入市政污水管网，</w:t>
            </w:r>
            <w:r>
              <w:rPr>
                <w:rFonts w:hint="default"/>
                <w:lang w:val="en-US" w:eastAsia="zh-CN"/>
              </w:rPr>
              <w:t>最终经镇平县第二污水处理厂处理达标后排入赵河</w:t>
            </w:r>
            <w:r>
              <w:rPr>
                <w:rFonts w:hint="default"/>
              </w:rPr>
              <w:t>。</w:t>
            </w:r>
          </w:p>
          <w:p w14:paraId="69A9079D">
            <w:pPr>
              <w:spacing w:line="360" w:lineRule="auto"/>
              <w:ind w:firstLine="480" w:firstLineChars="200"/>
              <w:rPr>
                <w:rFonts w:cs="Times New Roman"/>
              </w:rPr>
            </w:pPr>
            <w:r>
              <w:rPr>
                <w:rFonts w:hint="eastAsia" w:cs="Times New Roman"/>
              </w:rPr>
              <w:t>化粪池是处理生活污水的最常见、应用最广泛的污水处理设施，具有结构简单、处理效果良好、施工便利、养护方便等优点，本项目生活污水经化粪池处理后</w:t>
            </w:r>
            <w:r>
              <w:rPr>
                <w:rFonts w:hint="eastAsia" w:cs="Times New Roman"/>
                <w:szCs w:val="24"/>
              </w:rPr>
              <w:t>，</w:t>
            </w:r>
            <w:r>
              <w:rPr>
                <w:rFonts w:hint="eastAsia"/>
              </w:rPr>
              <w:t>废水水质</w:t>
            </w:r>
            <w:r>
              <w:rPr>
                <w:rFonts w:cs="Times New Roman"/>
                <w:szCs w:val="24"/>
                <w:lang w:val="en-GB"/>
              </w:rPr>
              <w:t>为</w:t>
            </w:r>
            <w:r>
              <w:rPr>
                <w:rFonts w:cs="Times New Roman"/>
                <w:szCs w:val="24"/>
                <w:highlight w:val="none"/>
              </w:rPr>
              <w:t>COD</w:t>
            </w:r>
            <w:r>
              <w:rPr>
                <w:rFonts w:hint="eastAsia" w:cs="Times New Roman"/>
                <w:szCs w:val="24"/>
                <w:highlight w:val="none"/>
              </w:rPr>
              <w:t>28</w:t>
            </w:r>
            <w:r>
              <w:rPr>
                <w:rFonts w:cs="Times New Roman"/>
                <w:szCs w:val="24"/>
                <w:highlight w:val="none"/>
              </w:rPr>
              <w:t>0mg/L、BOD</w:t>
            </w:r>
            <w:r>
              <w:rPr>
                <w:rFonts w:cs="Times New Roman"/>
                <w:szCs w:val="24"/>
                <w:highlight w:val="none"/>
                <w:vertAlign w:val="subscript"/>
              </w:rPr>
              <w:t xml:space="preserve">5 </w:t>
            </w:r>
            <w:r>
              <w:rPr>
                <w:rFonts w:hint="eastAsia" w:cs="Times New Roman"/>
                <w:szCs w:val="24"/>
                <w:highlight w:val="none"/>
              </w:rPr>
              <w:t>18</w:t>
            </w:r>
            <w:r>
              <w:rPr>
                <w:rFonts w:cs="Times New Roman"/>
                <w:szCs w:val="24"/>
                <w:highlight w:val="none"/>
              </w:rPr>
              <w:t>0mg/L、SS2</w:t>
            </w:r>
            <w:r>
              <w:rPr>
                <w:rFonts w:hint="eastAsia" w:cs="Times New Roman"/>
                <w:szCs w:val="24"/>
                <w:highlight w:val="none"/>
              </w:rPr>
              <w:t>0</w:t>
            </w:r>
            <w:r>
              <w:rPr>
                <w:rFonts w:cs="Times New Roman"/>
                <w:szCs w:val="24"/>
                <w:highlight w:val="none"/>
              </w:rPr>
              <w:t>0mg/L、NH</w:t>
            </w:r>
            <w:r>
              <w:rPr>
                <w:rFonts w:cs="Times New Roman"/>
                <w:szCs w:val="24"/>
                <w:highlight w:val="none"/>
                <w:vertAlign w:val="subscript"/>
              </w:rPr>
              <w:t>3</w:t>
            </w:r>
            <w:r>
              <w:rPr>
                <w:rFonts w:cs="Times New Roman"/>
                <w:szCs w:val="24"/>
                <w:highlight w:val="none"/>
              </w:rPr>
              <w:t>-N30mg/L</w:t>
            </w:r>
            <w:r>
              <w:rPr>
                <w:rFonts w:hint="eastAsia" w:cs="Times New Roman"/>
                <w:szCs w:val="24"/>
              </w:rPr>
              <w:t>，满足《污水综合排放标准》（GB8978-1996）中表4三级标准和</w:t>
            </w:r>
            <w:r>
              <w:rPr>
                <w:rFonts w:hint="default"/>
                <w:lang w:val="en-US" w:eastAsia="zh-CN"/>
              </w:rPr>
              <w:t>镇平县第二污水处理厂</w:t>
            </w:r>
            <w:r>
              <w:rPr>
                <w:rFonts w:hint="eastAsia" w:cs="Times New Roman"/>
                <w:szCs w:val="24"/>
              </w:rPr>
              <w:t>收水指标要求，属于</w:t>
            </w:r>
            <w:r>
              <w:rPr>
                <w:rFonts w:hint="eastAsia" w:cs="Times New Roman"/>
              </w:rPr>
              <w:t>可行措施</w:t>
            </w:r>
            <w:r>
              <w:rPr>
                <w:rFonts w:hint="eastAsia" w:cs="Times New Roman"/>
                <w:szCs w:val="24"/>
              </w:rPr>
              <w:t>。</w:t>
            </w:r>
          </w:p>
          <w:p w14:paraId="1A63A17F">
            <w:pPr>
              <w:spacing w:line="360" w:lineRule="auto"/>
              <w:ind w:firstLine="480" w:firstLineChars="200"/>
              <w:rPr>
                <w:color w:val="000000"/>
              </w:rPr>
            </w:pPr>
            <w:r>
              <w:rPr>
                <w:rFonts w:hint="eastAsia"/>
                <w:color w:val="000000"/>
                <w:lang w:val="en-US" w:eastAsia="zh-CN"/>
              </w:rPr>
              <w:t>2.2</w:t>
            </w:r>
            <w:r>
              <w:rPr>
                <w:rFonts w:hint="eastAsia"/>
                <w:color w:val="000000"/>
              </w:rPr>
              <w:t>评价等级判定</w:t>
            </w:r>
          </w:p>
          <w:p w14:paraId="27895BBE">
            <w:pPr>
              <w:spacing w:line="360" w:lineRule="auto"/>
              <w:ind w:firstLine="480" w:firstLineChars="200"/>
              <w:rPr>
                <w:color w:val="000000"/>
              </w:rPr>
            </w:pPr>
            <w:r>
              <w:rPr>
                <w:rFonts w:hint="eastAsia"/>
                <w:color w:val="000000"/>
              </w:rPr>
              <w:t>本项目外排废水为生活污水，最终进入</w:t>
            </w:r>
            <w:r>
              <w:rPr>
                <w:rFonts w:hint="default"/>
                <w:lang w:val="en-US" w:eastAsia="zh-CN"/>
              </w:rPr>
              <w:t>镇平县第二污水处理厂</w:t>
            </w:r>
            <w:r>
              <w:rPr>
                <w:rFonts w:hint="eastAsia" w:cs="Times New Roman"/>
                <w:szCs w:val="24"/>
              </w:rPr>
              <w:t>处理。</w:t>
            </w:r>
            <w:r>
              <w:rPr>
                <w:rFonts w:hint="eastAsia" w:cs="Times New Roman"/>
              </w:rPr>
              <w:t>根据《环境影响评价技术导则 地表水环境》（HJ2.3-2018），本项目属于间接排放，评价等级为三级B，可不进行水环境影响预测，</w:t>
            </w:r>
            <w:r>
              <w:rPr>
                <w:rFonts w:hint="eastAsia" w:cs="Times New Roman"/>
                <w:kern w:val="0"/>
                <w:szCs w:val="20"/>
              </w:rPr>
              <w:t>需要分析依托污水处理设施</w:t>
            </w:r>
            <w:r>
              <w:rPr>
                <w:rFonts w:hint="eastAsia"/>
                <w:color w:val="000000"/>
              </w:rPr>
              <w:t>环境可行性。</w:t>
            </w:r>
          </w:p>
          <w:p w14:paraId="4E5D67C0">
            <w:pPr>
              <w:spacing w:line="360" w:lineRule="auto"/>
              <w:ind w:firstLine="480" w:firstLineChars="200"/>
              <w:rPr>
                <w:color w:val="000000"/>
              </w:rPr>
            </w:pPr>
            <w:r>
              <w:rPr>
                <w:rFonts w:hint="eastAsia"/>
                <w:color w:val="000000"/>
                <w:lang w:val="en-US" w:eastAsia="zh-CN"/>
              </w:rPr>
              <w:t>2.3</w:t>
            </w:r>
            <w:r>
              <w:rPr>
                <w:rFonts w:hint="eastAsia"/>
                <w:color w:val="000000"/>
              </w:rPr>
              <w:t>废水依托</w:t>
            </w:r>
            <w:r>
              <w:rPr>
                <w:rFonts w:hint="default"/>
                <w:lang w:val="en-US" w:eastAsia="zh-CN"/>
              </w:rPr>
              <w:t>镇平县第二污水处理厂</w:t>
            </w:r>
            <w:r>
              <w:rPr>
                <w:rFonts w:hint="eastAsia"/>
                <w:color w:val="000000"/>
              </w:rPr>
              <w:t>的可行性分析</w:t>
            </w:r>
          </w:p>
          <w:p w14:paraId="563E39A7">
            <w:pPr>
              <w:spacing w:line="360" w:lineRule="auto"/>
              <w:ind w:firstLine="480" w:firstLineChars="200"/>
              <w:rPr>
                <w:color w:val="000000"/>
              </w:rPr>
            </w:pPr>
            <w:r>
              <w:rPr>
                <w:rFonts w:hint="eastAsia"/>
                <w:color w:val="000000"/>
              </w:rPr>
              <w:t>①接管可行性分析</w:t>
            </w:r>
          </w:p>
          <w:p w14:paraId="245B7AC4">
            <w:pPr>
              <w:bidi w:val="0"/>
            </w:pPr>
            <w:r>
              <w:t>本项目位于</w:t>
            </w:r>
            <w:r>
              <w:rPr>
                <w:rFonts w:hint="eastAsia"/>
                <w:lang w:val="en-US" w:eastAsia="zh-CN"/>
              </w:rPr>
              <w:t>南阳市镇平县先进制造业开发区玉神路与建设路交叉口北200米8号</w:t>
            </w:r>
            <w:r>
              <w:t>，位于镇平县第二污水处理厂收水范围内，且项目区污水管网已配套建设，因此项目</w:t>
            </w:r>
            <w:r>
              <w:rPr>
                <w:rFonts w:hint="eastAsia"/>
                <w:lang w:val="en-US" w:eastAsia="zh-CN"/>
              </w:rPr>
              <w:t>生活污水</w:t>
            </w:r>
            <w:r>
              <w:t>可经市政污水管网进入镇平县第二污水处理厂。</w:t>
            </w:r>
          </w:p>
          <w:p w14:paraId="66290F8D">
            <w:pPr>
              <w:spacing w:line="360" w:lineRule="auto"/>
              <w:ind w:firstLine="480" w:firstLineChars="200"/>
              <w:rPr>
                <w:color w:val="000000"/>
              </w:rPr>
            </w:pPr>
            <w:r>
              <w:rPr>
                <w:rFonts w:hint="eastAsia"/>
                <w:color w:val="000000"/>
              </w:rPr>
              <w:t>②进水水质可行性分析</w:t>
            </w:r>
          </w:p>
          <w:p w14:paraId="4F95375F">
            <w:pPr>
              <w:spacing w:line="360" w:lineRule="auto"/>
              <w:ind w:firstLine="480" w:firstLineChars="200"/>
              <w:rPr>
                <w:color w:val="000000" w:themeColor="text1"/>
                <w:sz w:val="24"/>
                <w14:textFill>
                  <w14:solidFill>
                    <w14:schemeClr w14:val="tx1"/>
                  </w14:solidFill>
                </w14:textFill>
              </w:rPr>
            </w:pPr>
            <w:bookmarkStart w:id="23" w:name="_Toc17641"/>
            <w:bookmarkStart w:id="24" w:name="_Toc26133"/>
            <w:bookmarkStart w:id="25" w:name="_Toc21740"/>
            <w:bookmarkStart w:id="26" w:name="_Toc11459"/>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/d，厂址位于镇平县玉源大道西侧、快速通道北侧，采用改良型氧化沟+混凝沉淀过滤工艺，主要收集镇平县产业集聚区废水。镇平县第二污水处理厂设计进水水质为</w:t>
            </w:r>
            <w:r>
              <w:rPr>
                <w:bCs/>
                <w:color w:val="000000" w:themeColor="text1"/>
                <w:sz w:val="24"/>
                <w14:textFill>
                  <w14:solidFill>
                    <w14:schemeClr w14:val="tx1"/>
                  </w14:solidFill>
                </w14:textFill>
              </w:rPr>
              <w:t>COD400mg/L、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150mg/L、</w:t>
            </w:r>
            <w:r>
              <w:rPr>
                <w:bCs/>
                <w:color w:val="000000" w:themeColor="text1"/>
                <w:sz w:val="24"/>
                <w14:textFill>
                  <w14:solidFill>
                    <w14:schemeClr w14:val="tx1"/>
                  </w14:solidFill>
                </w14:textFill>
              </w:rPr>
              <w:t>SS300mg/L、NH</w:t>
            </w:r>
            <w:r>
              <w:rPr>
                <w:bCs/>
                <w:color w:val="000000" w:themeColor="text1"/>
                <w:sz w:val="24"/>
                <w:vertAlign w:val="subscript"/>
                <w14:textFill>
                  <w14:solidFill>
                    <w14:schemeClr w14:val="tx1"/>
                  </w14:solidFill>
                </w14:textFill>
              </w:rPr>
              <w:t>3</w:t>
            </w:r>
            <w:r>
              <w:rPr>
                <w:bCs/>
                <w:color w:val="000000" w:themeColor="text1"/>
                <w:sz w:val="24"/>
                <w14:textFill>
                  <w14:solidFill>
                    <w14:schemeClr w14:val="tx1"/>
                  </w14:solidFill>
                </w14:textFill>
              </w:rPr>
              <w:t>-N40mg/L，</w:t>
            </w:r>
            <w:r>
              <w:rPr>
                <w:rFonts w:hint="eastAsia" w:cs="Times New Roman"/>
              </w:rPr>
              <w:t>本项目生活污水经地埋式化粪池处理后</w:t>
            </w:r>
            <w:r>
              <w:rPr>
                <w:rFonts w:hint="eastAsia" w:cs="Times New Roman"/>
                <w:szCs w:val="24"/>
              </w:rPr>
              <w:t>，</w:t>
            </w:r>
            <w:r>
              <w:rPr>
                <w:rFonts w:hint="eastAsia"/>
              </w:rPr>
              <w:t>废水水质</w:t>
            </w:r>
            <w:r>
              <w:rPr>
                <w:rFonts w:cs="Times New Roman"/>
                <w:szCs w:val="24"/>
                <w:lang w:val="en-GB"/>
              </w:rPr>
              <w:t>为</w:t>
            </w:r>
            <w:r>
              <w:rPr>
                <w:rFonts w:cs="Times New Roman"/>
                <w:szCs w:val="24"/>
                <w:highlight w:val="none"/>
              </w:rPr>
              <w:t>COD</w:t>
            </w:r>
            <w:r>
              <w:rPr>
                <w:rFonts w:hint="eastAsia" w:cs="Times New Roman"/>
                <w:szCs w:val="24"/>
                <w:highlight w:val="none"/>
              </w:rPr>
              <w:t>28</w:t>
            </w:r>
            <w:r>
              <w:rPr>
                <w:rFonts w:cs="Times New Roman"/>
                <w:szCs w:val="24"/>
                <w:highlight w:val="none"/>
              </w:rPr>
              <w:t>0mg/L、BOD</w:t>
            </w:r>
            <w:r>
              <w:rPr>
                <w:rFonts w:cs="Times New Roman"/>
                <w:szCs w:val="24"/>
                <w:highlight w:val="none"/>
                <w:vertAlign w:val="subscript"/>
              </w:rPr>
              <w:t xml:space="preserve">5 </w:t>
            </w:r>
            <w:r>
              <w:rPr>
                <w:rFonts w:hint="eastAsia" w:cs="Times New Roman"/>
                <w:szCs w:val="24"/>
                <w:highlight w:val="none"/>
              </w:rPr>
              <w:t>18</w:t>
            </w:r>
            <w:r>
              <w:rPr>
                <w:rFonts w:cs="Times New Roman"/>
                <w:szCs w:val="24"/>
                <w:highlight w:val="none"/>
              </w:rPr>
              <w:t>0mg/L、SS2</w:t>
            </w:r>
            <w:r>
              <w:rPr>
                <w:rFonts w:hint="eastAsia" w:cs="Times New Roman"/>
                <w:szCs w:val="24"/>
                <w:highlight w:val="none"/>
              </w:rPr>
              <w:t>0</w:t>
            </w:r>
            <w:r>
              <w:rPr>
                <w:rFonts w:cs="Times New Roman"/>
                <w:szCs w:val="24"/>
                <w:highlight w:val="none"/>
              </w:rPr>
              <w:t>0mg/L、NH</w:t>
            </w:r>
            <w:r>
              <w:rPr>
                <w:rFonts w:cs="Times New Roman"/>
                <w:szCs w:val="24"/>
                <w:highlight w:val="none"/>
                <w:vertAlign w:val="subscript"/>
              </w:rPr>
              <w:t>3</w:t>
            </w:r>
            <w:r>
              <w:rPr>
                <w:rFonts w:cs="Times New Roman"/>
                <w:szCs w:val="24"/>
                <w:highlight w:val="none"/>
              </w:rPr>
              <w:t>-N30mg/L</w:t>
            </w:r>
            <w:r>
              <w:rPr>
                <w:rFonts w:hint="eastAsia" w:cs="Times New Roman"/>
                <w:szCs w:val="24"/>
              </w:rPr>
              <w:t>，满足《污水综合排放标准》（GB8978-1996）中表4三级标准和</w:t>
            </w:r>
            <w:r>
              <w:rPr>
                <w:color w:val="000000" w:themeColor="text1"/>
                <w:sz w:val="24"/>
                <w14:textFill>
                  <w14:solidFill>
                    <w14:schemeClr w14:val="tx1"/>
                  </w14:solidFill>
                </w14:textFill>
              </w:rPr>
              <w:t>镇平县第二污水处理厂进水水质指标要求。</w:t>
            </w:r>
            <w:bookmarkEnd w:id="23"/>
            <w:bookmarkEnd w:id="24"/>
            <w:bookmarkEnd w:id="25"/>
            <w:bookmarkEnd w:id="26"/>
          </w:p>
          <w:p w14:paraId="45A899CD">
            <w:pPr>
              <w:spacing w:line="360" w:lineRule="auto"/>
              <w:ind w:firstLine="480" w:firstLineChars="200"/>
              <w:rPr>
                <w:color w:val="000000"/>
              </w:rPr>
            </w:pPr>
            <w:r>
              <w:rPr>
                <w:rFonts w:hint="eastAsia"/>
                <w:color w:val="000000"/>
              </w:rPr>
              <w:t>③对</w:t>
            </w:r>
            <w:r>
              <w:t>镇平县第二污水处理厂</w:t>
            </w:r>
            <w:r>
              <w:rPr>
                <w:rFonts w:hint="eastAsia"/>
                <w:color w:val="000000"/>
              </w:rPr>
              <w:t>的冲击影响</w:t>
            </w:r>
          </w:p>
          <w:p w14:paraId="35F9AF1F">
            <w:pPr>
              <w:bidi w:val="0"/>
            </w:pPr>
            <w:r>
              <w:t>镇平县第二污水处理厂一期工程建设规模为2.5万</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t>，本项目外排废水量为</w:t>
            </w:r>
            <w:r>
              <w:rPr>
                <w:rFonts w:hint="eastAsia"/>
                <w:lang w:val="en-US" w:eastAsia="zh-CN"/>
              </w:rPr>
              <w:t>26.319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t>，在镇平县第二污水处理厂的进水污染负荷量（2.5万</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t>）中所占的比重很小，因此从水量分析，本项目</w:t>
            </w:r>
            <w:r>
              <w:rPr>
                <w:rFonts w:hint="eastAsia"/>
              </w:rPr>
              <w:t>综合废水</w:t>
            </w:r>
            <w:r>
              <w:t>接管镇平县第二污水处理厂是可行的，不会对污水处理厂的正常运行产生冲击。</w:t>
            </w:r>
            <w:bookmarkStart w:id="27" w:name="_Toc17917"/>
            <w:bookmarkStart w:id="28" w:name="_Toc20815"/>
            <w:bookmarkStart w:id="29" w:name="_Toc14106"/>
            <w:bookmarkStart w:id="30" w:name="_Toc11065"/>
          </w:p>
          <w:p w14:paraId="01784EDC">
            <w:pPr>
              <w:bidi w:val="0"/>
            </w:pPr>
            <w:r>
              <w:t>综上，本项目营运期废水经采取措施后不会对周围地表水产生不良影响。</w:t>
            </w:r>
            <w:bookmarkEnd w:id="27"/>
            <w:bookmarkEnd w:id="28"/>
            <w:bookmarkEnd w:id="29"/>
            <w:bookmarkEnd w:id="30"/>
          </w:p>
          <w:p w14:paraId="32F9A40A">
            <w:pPr>
              <w:bidi w:val="0"/>
            </w:pPr>
            <w:r>
              <w:t>因此，本项目营运期</w:t>
            </w:r>
            <w:r>
              <w:rPr>
                <w:rFonts w:hint="eastAsia"/>
              </w:rPr>
              <w:t>生活废水</w:t>
            </w:r>
            <w:r>
              <w:t>依托镇平县第二污水处理厂处理是可行的。</w:t>
            </w:r>
          </w:p>
          <w:p w14:paraId="6D6D0DC5">
            <w:pPr>
              <w:spacing w:line="360" w:lineRule="auto"/>
              <w:ind w:firstLine="480" w:firstLineChars="200"/>
              <w:rPr>
                <w:rFonts w:hint="default" w:cs="Times New Roman" w:eastAsiaTheme="minorEastAsia"/>
                <w:lang w:val="en-US" w:eastAsia="zh-CN"/>
              </w:rPr>
            </w:pPr>
            <w:r>
              <w:rPr>
                <w:rFonts w:hint="eastAsia" w:cs="Times New Roman"/>
                <w:lang w:val="en-US" w:eastAsia="zh-CN"/>
              </w:rPr>
              <w:t>2.4</w:t>
            </w:r>
            <w:r>
              <w:rPr>
                <w:rFonts w:hint="eastAsia" w:cs="Times New Roman"/>
              </w:rPr>
              <w:t>废水污染治理设施信息</w:t>
            </w:r>
            <w:r>
              <w:rPr>
                <w:rFonts w:hint="eastAsia" w:cs="Times New Roman"/>
                <w:lang w:val="en-US" w:eastAsia="zh-CN"/>
              </w:rPr>
              <w:t>及排放信息</w:t>
            </w:r>
          </w:p>
          <w:p w14:paraId="6583A7BA">
            <w:pPr>
              <w:spacing w:line="360" w:lineRule="auto"/>
              <w:ind w:firstLine="480" w:firstLineChars="200"/>
              <w:rPr>
                <w:rFonts w:hint="eastAsia"/>
                <w:color w:val="000000"/>
                <w:lang w:val="en-US" w:eastAsia="zh-CN"/>
              </w:rPr>
            </w:pPr>
            <w:r>
              <w:rPr>
                <w:rFonts w:hint="eastAsia"/>
                <w:color w:val="000000"/>
                <w:lang w:val="en-US" w:eastAsia="zh-CN"/>
              </w:rPr>
              <w:t>①</w:t>
            </w:r>
            <w:r>
              <w:rPr>
                <w:rFonts w:hint="eastAsia" w:cs="Times New Roman"/>
              </w:rPr>
              <w:t>废水污染治理设施信息</w:t>
            </w:r>
          </w:p>
          <w:p w14:paraId="7F8B508D">
            <w:pPr>
              <w:spacing w:line="360" w:lineRule="auto"/>
              <w:ind w:firstLine="480" w:firstLineChars="200"/>
              <w:rPr>
                <w:color w:val="000000"/>
              </w:rPr>
            </w:pPr>
            <w:r>
              <w:rPr>
                <w:rFonts w:hint="eastAsia"/>
                <w:color w:val="000000"/>
              </w:rPr>
              <w:t>项目废水类别、污染物及污染治理设施信息详见下表。</w:t>
            </w:r>
          </w:p>
          <w:p w14:paraId="604B7A61">
            <w:pPr>
              <w:spacing w:line="360" w:lineRule="auto"/>
              <w:jc w:val="center"/>
              <w:rPr>
                <w:rFonts w:hAnsi="黑体" w:eastAsia="黑体" w:cs="Times New Roman"/>
                <w:bCs/>
              </w:rPr>
            </w:pPr>
            <w:r>
              <w:rPr>
                <w:rFonts w:hint="eastAsia" w:hAnsi="黑体" w:eastAsia="黑体" w:cs="Times New Roman"/>
                <w:bCs/>
              </w:rPr>
              <w:t>表4-</w:t>
            </w:r>
            <w:r>
              <w:rPr>
                <w:rFonts w:hint="eastAsia" w:hAnsi="黑体" w:eastAsia="黑体" w:cs="Times New Roman"/>
                <w:bCs/>
                <w:lang w:val="en-US" w:eastAsia="zh-CN"/>
              </w:rPr>
              <w:t>1</w:t>
            </w:r>
            <w:r>
              <w:rPr>
                <w:rFonts w:hint="eastAsia" w:hAnsi="黑体" w:eastAsia="黑体" w:cs="Times New Roman"/>
                <w:bCs/>
              </w:rPr>
              <w:t xml:space="preserve">  项目废水类别、污染物及污染治理设施信息表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047"/>
              <w:gridCol w:w="1668"/>
              <w:gridCol w:w="656"/>
              <w:gridCol w:w="846"/>
              <w:gridCol w:w="1108"/>
              <w:gridCol w:w="1117"/>
              <w:gridCol w:w="1257"/>
              <w:gridCol w:w="858"/>
            </w:tblGrid>
            <w:tr w14:paraId="5764C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1" w:type="pct"/>
                  <w:vMerge w:val="restart"/>
                  <w:tcBorders>
                    <w:tl2br w:val="nil"/>
                    <w:tr2bl w:val="nil"/>
                  </w:tcBorders>
                  <w:shd w:val="clear" w:color="auto" w:fill="auto"/>
                  <w:vAlign w:val="center"/>
                </w:tcPr>
                <w:p w14:paraId="34BB3D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废水类别</w:t>
                  </w:r>
                </w:p>
              </w:tc>
              <w:tc>
                <w:tcPr>
                  <w:tcW w:w="974" w:type="pct"/>
                  <w:vMerge w:val="restart"/>
                  <w:tcBorders>
                    <w:tl2br w:val="nil"/>
                    <w:tr2bl w:val="nil"/>
                  </w:tcBorders>
                  <w:shd w:val="clear" w:color="auto" w:fill="auto"/>
                  <w:vAlign w:val="center"/>
                </w:tcPr>
                <w:p w14:paraId="2ABC2D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污染物种类</w:t>
                  </w:r>
                </w:p>
              </w:tc>
              <w:tc>
                <w:tcPr>
                  <w:tcW w:w="383" w:type="pct"/>
                  <w:vMerge w:val="restart"/>
                  <w:tcBorders>
                    <w:tl2br w:val="nil"/>
                    <w:tr2bl w:val="nil"/>
                  </w:tcBorders>
                  <w:shd w:val="clear" w:color="auto" w:fill="auto"/>
                  <w:vAlign w:val="center"/>
                </w:tcPr>
                <w:p w14:paraId="469AF4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排放规律</w:t>
                  </w:r>
                </w:p>
              </w:tc>
              <w:tc>
                <w:tcPr>
                  <w:tcW w:w="1793" w:type="pct"/>
                  <w:gridSpan w:val="3"/>
                  <w:tcBorders>
                    <w:tl2br w:val="nil"/>
                    <w:tr2bl w:val="nil"/>
                  </w:tcBorders>
                  <w:shd w:val="clear" w:color="auto" w:fill="auto"/>
                  <w:vAlign w:val="center"/>
                </w:tcPr>
                <w:p w14:paraId="089A88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污染治理设施</w:t>
                  </w:r>
                </w:p>
              </w:tc>
              <w:tc>
                <w:tcPr>
                  <w:tcW w:w="734" w:type="pct"/>
                  <w:vMerge w:val="restart"/>
                  <w:tcBorders>
                    <w:tl2br w:val="nil"/>
                    <w:tr2bl w:val="nil"/>
                  </w:tcBorders>
                  <w:shd w:val="clear" w:color="auto" w:fill="auto"/>
                  <w:vAlign w:val="center"/>
                </w:tcPr>
                <w:p w14:paraId="71E338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排放口</w:t>
                  </w:r>
                </w:p>
                <w:p w14:paraId="4EDB68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情况</w:t>
                  </w:r>
                </w:p>
              </w:tc>
              <w:tc>
                <w:tcPr>
                  <w:tcW w:w="501" w:type="pct"/>
                  <w:vMerge w:val="restart"/>
                  <w:tcBorders>
                    <w:tl2br w:val="nil"/>
                    <w:tr2bl w:val="nil"/>
                  </w:tcBorders>
                  <w:shd w:val="clear" w:color="auto" w:fill="auto"/>
                  <w:vAlign w:val="center"/>
                </w:tcPr>
                <w:p w14:paraId="1DBC8A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排放口类型</w:t>
                  </w:r>
                </w:p>
              </w:tc>
            </w:tr>
            <w:tr w14:paraId="6061F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1" w:type="pct"/>
                  <w:vMerge w:val="continue"/>
                  <w:tcBorders>
                    <w:tl2br w:val="nil"/>
                    <w:tr2bl w:val="nil"/>
                  </w:tcBorders>
                  <w:shd w:val="clear" w:color="auto" w:fill="auto"/>
                  <w:vAlign w:val="center"/>
                </w:tcPr>
                <w:p w14:paraId="6F387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p>
              </w:tc>
              <w:tc>
                <w:tcPr>
                  <w:tcW w:w="974" w:type="pct"/>
                  <w:vMerge w:val="continue"/>
                  <w:tcBorders>
                    <w:tl2br w:val="nil"/>
                    <w:tr2bl w:val="nil"/>
                  </w:tcBorders>
                  <w:shd w:val="clear" w:color="auto" w:fill="auto"/>
                  <w:vAlign w:val="center"/>
                </w:tcPr>
                <w:p w14:paraId="230E92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p>
              </w:tc>
              <w:tc>
                <w:tcPr>
                  <w:tcW w:w="383" w:type="pct"/>
                  <w:vMerge w:val="continue"/>
                  <w:tcBorders>
                    <w:tl2br w:val="nil"/>
                    <w:tr2bl w:val="nil"/>
                  </w:tcBorders>
                  <w:shd w:val="clear" w:color="auto" w:fill="auto"/>
                  <w:vAlign w:val="center"/>
                </w:tcPr>
                <w:p w14:paraId="57816F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p>
              </w:tc>
              <w:tc>
                <w:tcPr>
                  <w:tcW w:w="494" w:type="pct"/>
                  <w:tcBorders>
                    <w:tl2br w:val="nil"/>
                    <w:tr2bl w:val="nil"/>
                  </w:tcBorders>
                  <w:shd w:val="clear" w:color="auto" w:fill="auto"/>
                  <w:vAlign w:val="center"/>
                </w:tcPr>
                <w:p w14:paraId="0CBEA5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污染治理设施名称</w:t>
                  </w:r>
                </w:p>
              </w:tc>
              <w:tc>
                <w:tcPr>
                  <w:tcW w:w="647" w:type="pct"/>
                  <w:tcBorders>
                    <w:tl2br w:val="nil"/>
                    <w:tr2bl w:val="nil"/>
                  </w:tcBorders>
                  <w:shd w:val="clear" w:color="auto" w:fill="auto"/>
                  <w:vAlign w:val="center"/>
                </w:tcPr>
                <w:p w14:paraId="6BEBC2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污染治理设施工艺</w:t>
                  </w:r>
                </w:p>
              </w:tc>
              <w:tc>
                <w:tcPr>
                  <w:tcW w:w="651" w:type="pct"/>
                  <w:tcBorders>
                    <w:tl2br w:val="nil"/>
                    <w:tr2bl w:val="nil"/>
                  </w:tcBorders>
                  <w:shd w:val="clear" w:color="auto" w:fill="auto"/>
                  <w:vAlign w:val="center"/>
                </w:tcPr>
                <w:p w14:paraId="3B11D5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是否为可行技术</w:t>
                  </w:r>
                </w:p>
              </w:tc>
              <w:tc>
                <w:tcPr>
                  <w:tcW w:w="734" w:type="pct"/>
                  <w:vMerge w:val="continue"/>
                  <w:tcBorders>
                    <w:tl2br w:val="nil"/>
                    <w:tr2bl w:val="nil"/>
                  </w:tcBorders>
                  <w:shd w:val="clear" w:color="auto" w:fill="auto"/>
                  <w:vAlign w:val="center"/>
                </w:tcPr>
                <w:p w14:paraId="423B70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p>
              </w:tc>
              <w:tc>
                <w:tcPr>
                  <w:tcW w:w="501" w:type="pct"/>
                  <w:vMerge w:val="continue"/>
                  <w:tcBorders>
                    <w:tl2br w:val="nil"/>
                    <w:tr2bl w:val="nil"/>
                  </w:tcBorders>
                  <w:shd w:val="clear" w:color="auto" w:fill="auto"/>
                  <w:vAlign w:val="center"/>
                </w:tcPr>
                <w:p w14:paraId="3E1148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p>
              </w:tc>
            </w:tr>
            <w:tr w14:paraId="7E31F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29" w:hRule="atLeast"/>
                <w:jc w:val="center"/>
              </w:trPr>
              <w:tc>
                <w:tcPr>
                  <w:tcW w:w="611" w:type="pct"/>
                  <w:tcBorders>
                    <w:tl2br w:val="nil"/>
                    <w:tr2bl w:val="nil"/>
                  </w:tcBorders>
                  <w:shd w:val="clear" w:color="auto" w:fill="auto"/>
                  <w:vAlign w:val="center"/>
                </w:tcPr>
                <w:p w14:paraId="00B85D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生活污水</w:t>
                  </w:r>
                </w:p>
              </w:tc>
              <w:tc>
                <w:tcPr>
                  <w:tcW w:w="974" w:type="pct"/>
                  <w:tcBorders>
                    <w:tl2br w:val="nil"/>
                    <w:tr2bl w:val="nil"/>
                  </w:tcBorders>
                  <w:shd w:val="clear" w:color="auto" w:fill="auto"/>
                  <w:vAlign w:val="center"/>
                </w:tcPr>
                <w:p w14:paraId="590980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lang w:val="en-US" w:eastAsia="zh-CN"/>
                    </w:rPr>
                    <w:t>PH、</w:t>
                  </w:r>
                  <w:r>
                    <w:rPr>
                      <w:rFonts w:hint="eastAsia"/>
                      <w:kern w:val="0"/>
                      <w:sz w:val="21"/>
                      <w:szCs w:val="21"/>
                    </w:rPr>
                    <w:t>COD、BOD</w:t>
                  </w:r>
                  <w:r>
                    <w:rPr>
                      <w:rFonts w:hint="eastAsia"/>
                      <w:kern w:val="0"/>
                      <w:sz w:val="21"/>
                      <w:szCs w:val="21"/>
                      <w:vertAlign w:val="subscript"/>
                    </w:rPr>
                    <w:t>5</w:t>
                  </w:r>
                  <w:r>
                    <w:rPr>
                      <w:rFonts w:hint="eastAsia"/>
                      <w:kern w:val="0"/>
                      <w:sz w:val="21"/>
                      <w:szCs w:val="21"/>
                    </w:rPr>
                    <w:t>、SS、NH</w:t>
                  </w:r>
                  <w:r>
                    <w:rPr>
                      <w:rFonts w:hint="eastAsia"/>
                      <w:kern w:val="0"/>
                      <w:sz w:val="21"/>
                      <w:szCs w:val="21"/>
                      <w:vertAlign w:val="subscript"/>
                    </w:rPr>
                    <w:t>3</w:t>
                  </w:r>
                  <w:r>
                    <w:rPr>
                      <w:rFonts w:hint="eastAsia"/>
                      <w:kern w:val="0"/>
                      <w:sz w:val="21"/>
                      <w:szCs w:val="21"/>
                    </w:rPr>
                    <w:t>-N</w:t>
                  </w:r>
                </w:p>
              </w:tc>
              <w:tc>
                <w:tcPr>
                  <w:tcW w:w="383" w:type="pct"/>
                  <w:tcBorders>
                    <w:tl2br w:val="nil"/>
                    <w:tr2bl w:val="nil"/>
                  </w:tcBorders>
                  <w:shd w:val="clear" w:color="auto" w:fill="auto"/>
                  <w:vAlign w:val="center"/>
                </w:tcPr>
                <w:p w14:paraId="0F8336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kern w:val="0"/>
                      <w:sz w:val="21"/>
                      <w:szCs w:val="21"/>
                      <w:lang w:val="en-US" w:eastAsia="zh-CN"/>
                    </w:rPr>
                  </w:pPr>
                  <w:r>
                    <w:rPr>
                      <w:rFonts w:hint="eastAsia"/>
                      <w:kern w:val="0"/>
                      <w:sz w:val="21"/>
                      <w:szCs w:val="21"/>
                    </w:rPr>
                    <w:t>间断</w:t>
                  </w:r>
                  <w:r>
                    <w:rPr>
                      <w:rFonts w:hint="eastAsia"/>
                      <w:kern w:val="0"/>
                      <w:sz w:val="21"/>
                      <w:szCs w:val="21"/>
                      <w:lang w:val="en-US" w:eastAsia="zh-CN"/>
                    </w:rPr>
                    <w:t>排放</w:t>
                  </w:r>
                </w:p>
              </w:tc>
              <w:tc>
                <w:tcPr>
                  <w:tcW w:w="494" w:type="pct"/>
                  <w:tcBorders>
                    <w:tl2br w:val="nil"/>
                    <w:tr2bl w:val="nil"/>
                  </w:tcBorders>
                  <w:shd w:val="clear" w:color="auto" w:fill="auto"/>
                  <w:vAlign w:val="center"/>
                </w:tcPr>
                <w:p w14:paraId="0EB16D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10m</w:t>
                  </w:r>
                  <w:r>
                    <w:rPr>
                      <w:rFonts w:hint="eastAsia"/>
                      <w:kern w:val="0"/>
                      <w:sz w:val="21"/>
                      <w:szCs w:val="21"/>
                      <w:vertAlign w:val="superscript"/>
                    </w:rPr>
                    <w:t>3</w:t>
                  </w:r>
                  <w:r>
                    <w:rPr>
                      <w:rFonts w:hint="eastAsia"/>
                      <w:kern w:val="0"/>
                      <w:sz w:val="21"/>
                      <w:szCs w:val="21"/>
                    </w:rPr>
                    <w:t>化粪池</w:t>
                  </w:r>
                </w:p>
              </w:tc>
              <w:tc>
                <w:tcPr>
                  <w:tcW w:w="647" w:type="pct"/>
                  <w:tcBorders>
                    <w:tl2br w:val="nil"/>
                    <w:tr2bl w:val="nil"/>
                  </w:tcBorders>
                  <w:shd w:val="clear" w:color="auto" w:fill="auto"/>
                  <w:vAlign w:val="center"/>
                </w:tcPr>
                <w:p w14:paraId="7B606A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厌氧发酵</w:t>
                  </w:r>
                </w:p>
              </w:tc>
              <w:tc>
                <w:tcPr>
                  <w:tcW w:w="651" w:type="pct"/>
                  <w:tcBorders>
                    <w:tl2br w:val="nil"/>
                    <w:tr2bl w:val="nil"/>
                  </w:tcBorders>
                  <w:shd w:val="clear" w:color="auto" w:fill="auto"/>
                  <w:vAlign w:val="center"/>
                </w:tcPr>
                <w:p w14:paraId="447C52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可行</w:t>
                  </w:r>
                </w:p>
              </w:tc>
              <w:tc>
                <w:tcPr>
                  <w:tcW w:w="734" w:type="pct"/>
                  <w:tcBorders>
                    <w:tl2br w:val="nil"/>
                    <w:tr2bl w:val="nil"/>
                  </w:tcBorders>
                  <w:shd w:val="clear" w:color="auto" w:fill="auto"/>
                  <w:vAlign w:val="center"/>
                </w:tcPr>
                <w:p w14:paraId="334E1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厂区总排口（DW001）</w:t>
                  </w:r>
                </w:p>
              </w:tc>
              <w:tc>
                <w:tcPr>
                  <w:tcW w:w="501" w:type="pct"/>
                  <w:tcBorders>
                    <w:tl2br w:val="nil"/>
                    <w:tr2bl w:val="nil"/>
                  </w:tcBorders>
                  <w:shd w:val="clear" w:color="auto" w:fill="auto"/>
                  <w:vAlign w:val="center"/>
                </w:tcPr>
                <w:p w14:paraId="151FD9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kern w:val="0"/>
                      <w:sz w:val="21"/>
                      <w:szCs w:val="21"/>
                    </w:rPr>
                  </w:pPr>
                  <w:r>
                    <w:rPr>
                      <w:rFonts w:hint="eastAsia"/>
                      <w:kern w:val="0"/>
                      <w:sz w:val="21"/>
                      <w:szCs w:val="21"/>
                    </w:rPr>
                    <w:t>一般排放口</w:t>
                  </w:r>
                </w:p>
              </w:tc>
            </w:tr>
          </w:tbl>
          <w:p w14:paraId="1CFB2D73">
            <w:pPr>
              <w:spacing w:line="360" w:lineRule="auto"/>
              <w:ind w:firstLine="480" w:firstLineChars="200"/>
              <w:rPr>
                <w:rFonts w:hint="default" w:cs="Times New Roman" w:eastAsiaTheme="minorEastAsia"/>
                <w:lang w:val="en-US" w:eastAsia="zh-CN"/>
              </w:rPr>
            </w:pPr>
            <w:r>
              <w:rPr>
                <w:rFonts w:hint="eastAsia" w:cs="Times New Roman"/>
                <w:lang w:val="en-US" w:eastAsia="zh-CN"/>
              </w:rPr>
              <w:t>②废水间接排放口基本情况表</w:t>
            </w:r>
          </w:p>
          <w:p w14:paraId="03415255">
            <w:pPr>
              <w:spacing w:line="360" w:lineRule="auto"/>
              <w:jc w:val="center"/>
              <w:rPr>
                <w:rFonts w:hAnsi="黑体" w:eastAsia="黑体" w:cs="Times New Roman"/>
                <w:bCs/>
              </w:rPr>
            </w:pPr>
            <w:r>
              <w:rPr>
                <w:rFonts w:hint="eastAsia" w:hAnsi="黑体" w:eastAsia="黑体" w:cs="Times New Roman"/>
                <w:bCs/>
              </w:rPr>
              <w:t>表4-</w:t>
            </w:r>
            <w:r>
              <w:rPr>
                <w:rFonts w:hint="eastAsia" w:hAnsi="黑体" w:eastAsia="黑体" w:cs="Times New Roman"/>
                <w:bCs/>
                <w:lang w:val="en-US" w:eastAsia="zh-CN"/>
              </w:rPr>
              <w:t>2</w:t>
            </w:r>
            <w:r>
              <w:rPr>
                <w:rFonts w:hint="eastAsia" w:hAnsi="黑体" w:eastAsia="黑体" w:cs="Times New Roman"/>
                <w:bCs/>
              </w:rPr>
              <w:t xml:space="preserve">  废水</w:t>
            </w:r>
            <w:r>
              <w:rPr>
                <w:rFonts w:hint="eastAsia" w:hAnsi="黑体" w:eastAsia="黑体" w:cs="Times New Roman"/>
                <w:bCs/>
                <w:lang w:val="en-US" w:eastAsia="zh-CN"/>
              </w:rPr>
              <w:t>间接排放口基本情况</w:t>
            </w:r>
            <w:r>
              <w:rPr>
                <w:rFonts w:hint="eastAsia" w:hAnsi="黑体" w:eastAsia="黑体" w:cs="Times New Roman"/>
                <w:bCs/>
              </w:rPr>
              <w:t>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79"/>
              <w:gridCol w:w="1477"/>
              <w:gridCol w:w="1218"/>
              <w:gridCol w:w="658"/>
              <w:gridCol w:w="916"/>
              <w:gridCol w:w="463"/>
              <w:gridCol w:w="543"/>
              <w:gridCol w:w="920"/>
              <w:gridCol w:w="707"/>
              <w:gridCol w:w="879"/>
            </w:tblGrid>
            <w:tr w14:paraId="471B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5" w:type="pct"/>
                  <w:vMerge w:val="restart"/>
                  <w:tcBorders>
                    <w:tl2br w:val="nil"/>
                    <w:tr2bl w:val="nil"/>
                  </w:tcBorders>
                  <w:shd w:val="clear" w:color="auto" w:fill="auto"/>
                  <w:vAlign w:val="center"/>
                </w:tcPr>
                <w:p w14:paraId="26B424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排放口编号</w:t>
                  </w:r>
                </w:p>
              </w:tc>
              <w:tc>
                <w:tcPr>
                  <w:tcW w:w="1574" w:type="pct"/>
                  <w:gridSpan w:val="2"/>
                  <w:tcBorders>
                    <w:tl2br w:val="nil"/>
                    <w:tr2bl w:val="nil"/>
                  </w:tcBorders>
                  <w:shd w:val="clear" w:color="auto" w:fill="auto"/>
                  <w:vAlign w:val="center"/>
                </w:tcPr>
                <w:p w14:paraId="6A6186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排放口地理坐标</w:t>
                  </w:r>
                </w:p>
              </w:tc>
              <w:tc>
                <w:tcPr>
                  <w:tcW w:w="384" w:type="pct"/>
                  <w:vMerge w:val="restart"/>
                  <w:tcBorders>
                    <w:tl2br w:val="nil"/>
                    <w:tr2bl w:val="nil"/>
                  </w:tcBorders>
                  <w:shd w:val="clear" w:color="auto" w:fill="auto"/>
                  <w:vAlign w:val="center"/>
                </w:tcPr>
                <w:p w14:paraId="62D71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废水排放量m</w:t>
                  </w:r>
                  <w:r>
                    <w:rPr>
                      <w:rFonts w:hint="eastAsia" w:ascii="Times New Roman" w:hAnsi="Times New Roman"/>
                      <w:kern w:val="0"/>
                      <w:sz w:val="21"/>
                      <w:szCs w:val="21"/>
                      <w:vertAlign w:val="superscript"/>
                      <w:lang w:val="en-US" w:eastAsia="zh-CN"/>
                    </w:rPr>
                    <w:t>3</w:t>
                  </w:r>
                  <w:r>
                    <w:rPr>
                      <w:rFonts w:hint="eastAsia" w:ascii="Times New Roman" w:hAnsi="Times New Roman"/>
                      <w:kern w:val="0"/>
                      <w:sz w:val="21"/>
                      <w:szCs w:val="21"/>
                      <w:lang w:val="en-US" w:eastAsia="zh-CN"/>
                    </w:rPr>
                    <w:t>/a</w:t>
                  </w:r>
                </w:p>
              </w:tc>
              <w:tc>
                <w:tcPr>
                  <w:tcW w:w="535" w:type="pct"/>
                  <w:vMerge w:val="restart"/>
                  <w:tcBorders>
                    <w:tl2br w:val="nil"/>
                    <w:tr2bl w:val="nil"/>
                  </w:tcBorders>
                  <w:shd w:val="clear" w:color="auto" w:fill="auto"/>
                  <w:vAlign w:val="center"/>
                </w:tcPr>
                <w:p w14:paraId="1AC340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排放去向</w:t>
                  </w:r>
                </w:p>
              </w:tc>
              <w:tc>
                <w:tcPr>
                  <w:tcW w:w="270" w:type="pct"/>
                  <w:vMerge w:val="restart"/>
                  <w:tcBorders>
                    <w:tl2br w:val="nil"/>
                    <w:tr2bl w:val="nil"/>
                  </w:tcBorders>
                  <w:shd w:val="clear" w:color="auto" w:fill="auto"/>
                  <w:vAlign w:val="center"/>
                </w:tcPr>
                <w:p w14:paraId="2BF422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排放规律</w:t>
                  </w:r>
                </w:p>
              </w:tc>
              <w:tc>
                <w:tcPr>
                  <w:tcW w:w="317" w:type="pct"/>
                  <w:vMerge w:val="restart"/>
                  <w:tcBorders>
                    <w:tl2br w:val="nil"/>
                    <w:tr2bl w:val="nil"/>
                  </w:tcBorders>
                  <w:shd w:val="clear" w:color="auto" w:fill="auto"/>
                  <w:vAlign w:val="center"/>
                </w:tcPr>
                <w:p w14:paraId="3D2D94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间歇排放时段</w:t>
                  </w:r>
                </w:p>
              </w:tc>
              <w:tc>
                <w:tcPr>
                  <w:tcW w:w="1462" w:type="pct"/>
                  <w:gridSpan w:val="3"/>
                  <w:tcBorders>
                    <w:tl2br w:val="nil"/>
                    <w:tr2bl w:val="nil"/>
                  </w:tcBorders>
                  <w:shd w:val="clear" w:color="auto" w:fill="auto"/>
                  <w:vAlign w:val="center"/>
                </w:tcPr>
                <w:p w14:paraId="0CFC03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受纳污水处理厂信息</w:t>
                  </w:r>
                </w:p>
              </w:tc>
            </w:tr>
            <w:tr w14:paraId="5A677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5" w:type="pct"/>
                  <w:vMerge w:val="continue"/>
                  <w:tcBorders>
                    <w:tl2br w:val="nil"/>
                    <w:tr2bl w:val="nil"/>
                  </w:tcBorders>
                  <w:shd w:val="clear" w:color="auto" w:fill="auto"/>
                  <w:vAlign w:val="center"/>
                </w:tcPr>
                <w:p w14:paraId="74058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863" w:type="pct"/>
                  <w:tcBorders>
                    <w:tl2br w:val="nil"/>
                    <w:tr2bl w:val="nil"/>
                  </w:tcBorders>
                  <w:shd w:val="clear" w:color="auto" w:fill="auto"/>
                  <w:vAlign w:val="center"/>
                </w:tcPr>
                <w:p w14:paraId="59CA75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经度</w:t>
                  </w:r>
                </w:p>
              </w:tc>
              <w:tc>
                <w:tcPr>
                  <w:tcW w:w="710" w:type="pct"/>
                  <w:tcBorders>
                    <w:tl2br w:val="nil"/>
                    <w:tr2bl w:val="nil"/>
                  </w:tcBorders>
                  <w:shd w:val="clear" w:color="auto" w:fill="auto"/>
                  <w:vAlign w:val="center"/>
                </w:tcPr>
                <w:p w14:paraId="1D109D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纬度</w:t>
                  </w:r>
                </w:p>
              </w:tc>
              <w:tc>
                <w:tcPr>
                  <w:tcW w:w="384" w:type="pct"/>
                  <w:vMerge w:val="continue"/>
                  <w:tcBorders>
                    <w:tl2br w:val="nil"/>
                    <w:tr2bl w:val="nil"/>
                  </w:tcBorders>
                  <w:shd w:val="clear" w:color="auto" w:fill="auto"/>
                  <w:vAlign w:val="center"/>
                </w:tcPr>
                <w:p w14:paraId="76C927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535" w:type="pct"/>
                  <w:vMerge w:val="continue"/>
                  <w:tcBorders>
                    <w:tl2br w:val="nil"/>
                    <w:tr2bl w:val="nil"/>
                  </w:tcBorders>
                  <w:shd w:val="clear" w:color="auto" w:fill="auto"/>
                  <w:vAlign w:val="center"/>
                </w:tcPr>
                <w:p w14:paraId="135A2F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270" w:type="pct"/>
                  <w:vMerge w:val="continue"/>
                  <w:tcBorders>
                    <w:tl2br w:val="nil"/>
                    <w:tr2bl w:val="nil"/>
                  </w:tcBorders>
                  <w:shd w:val="clear" w:color="auto" w:fill="auto"/>
                  <w:vAlign w:val="center"/>
                </w:tcPr>
                <w:p w14:paraId="18FEEB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317" w:type="pct"/>
                  <w:vMerge w:val="continue"/>
                  <w:tcBorders>
                    <w:tl2br w:val="nil"/>
                    <w:tr2bl w:val="nil"/>
                  </w:tcBorders>
                  <w:shd w:val="clear" w:color="auto" w:fill="auto"/>
                  <w:vAlign w:val="center"/>
                </w:tcPr>
                <w:p w14:paraId="0CAE5F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537" w:type="pct"/>
                  <w:tcBorders>
                    <w:tl2br w:val="nil"/>
                    <w:tr2bl w:val="nil"/>
                  </w:tcBorders>
                  <w:shd w:val="clear" w:color="auto" w:fill="auto"/>
                  <w:vAlign w:val="center"/>
                </w:tcPr>
                <w:p w14:paraId="6E02EC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名称</w:t>
                  </w:r>
                </w:p>
              </w:tc>
              <w:tc>
                <w:tcPr>
                  <w:tcW w:w="412" w:type="pct"/>
                  <w:tcBorders>
                    <w:tl2br w:val="nil"/>
                    <w:tr2bl w:val="nil"/>
                  </w:tcBorders>
                  <w:shd w:val="clear" w:color="auto" w:fill="auto"/>
                  <w:vAlign w:val="center"/>
                </w:tcPr>
                <w:p w14:paraId="2BF8E4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污染物种类</w:t>
                  </w:r>
                </w:p>
              </w:tc>
              <w:tc>
                <w:tcPr>
                  <w:tcW w:w="512" w:type="pct"/>
                  <w:tcBorders>
                    <w:tl2br w:val="nil"/>
                    <w:tr2bl w:val="nil"/>
                  </w:tcBorders>
                  <w:shd w:val="clear" w:color="auto" w:fill="auto"/>
                  <w:vAlign w:val="center"/>
                </w:tcPr>
                <w:p w14:paraId="17E9F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国家或地方污染物排放标准浓度</w:t>
                  </w:r>
                </w:p>
              </w:tc>
            </w:tr>
            <w:tr w14:paraId="1C961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5" w:type="pct"/>
                  <w:vMerge w:val="restart"/>
                  <w:tcBorders>
                    <w:tl2br w:val="nil"/>
                    <w:tr2bl w:val="nil"/>
                  </w:tcBorders>
                  <w:shd w:val="clear" w:color="auto" w:fill="auto"/>
                  <w:vAlign w:val="center"/>
                </w:tcPr>
                <w:p w14:paraId="491A1A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DW001</w:t>
                  </w:r>
                </w:p>
              </w:tc>
              <w:tc>
                <w:tcPr>
                  <w:tcW w:w="863" w:type="pct"/>
                  <w:vMerge w:val="restart"/>
                  <w:tcBorders>
                    <w:tl2br w:val="nil"/>
                    <w:tr2bl w:val="nil"/>
                  </w:tcBorders>
                  <w:shd w:val="clear" w:color="auto" w:fill="auto"/>
                  <w:vAlign w:val="center"/>
                </w:tcPr>
                <w:p w14:paraId="0F812E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112.20297293</w:t>
                  </w:r>
                </w:p>
              </w:tc>
              <w:tc>
                <w:tcPr>
                  <w:tcW w:w="710" w:type="pct"/>
                  <w:vMerge w:val="restart"/>
                  <w:tcBorders>
                    <w:tl2br w:val="nil"/>
                    <w:tr2bl w:val="nil"/>
                  </w:tcBorders>
                  <w:shd w:val="clear" w:color="auto" w:fill="auto"/>
                  <w:vAlign w:val="center"/>
                </w:tcPr>
                <w:p w14:paraId="43F40A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33.03882586</w:t>
                  </w:r>
                </w:p>
              </w:tc>
              <w:tc>
                <w:tcPr>
                  <w:tcW w:w="384" w:type="pct"/>
                  <w:vMerge w:val="restart"/>
                  <w:tcBorders>
                    <w:tl2br w:val="nil"/>
                    <w:tr2bl w:val="nil"/>
                  </w:tcBorders>
                  <w:shd w:val="clear" w:color="auto" w:fill="auto"/>
                  <w:vAlign w:val="center"/>
                </w:tcPr>
                <w:p w14:paraId="2868DD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default" w:ascii="Times New Roman" w:hAnsi="Times New Roman"/>
                      <w:kern w:val="0"/>
                      <w:sz w:val="21"/>
                      <w:szCs w:val="21"/>
                      <w:lang w:val="en-US" w:eastAsia="zh-CN"/>
                    </w:rPr>
                    <w:t>198</w:t>
                  </w:r>
                </w:p>
              </w:tc>
              <w:tc>
                <w:tcPr>
                  <w:tcW w:w="535" w:type="pct"/>
                  <w:vMerge w:val="restart"/>
                  <w:tcBorders>
                    <w:tl2br w:val="nil"/>
                    <w:tr2bl w:val="nil"/>
                  </w:tcBorders>
                  <w:shd w:val="clear" w:color="auto" w:fill="auto"/>
                  <w:vAlign w:val="center"/>
                </w:tcPr>
                <w:p w14:paraId="42C7B6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default" w:ascii="Times New Roman" w:hAnsi="Times New Roman"/>
                      <w:kern w:val="0"/>
                      <w:sz w:val="21"/>
                      <w:szCs w:val="21"/>
                      <w:lang w:val="en-US" w:eastAsia="zh-CN"/>
                    </w:rPr>
                    <w:t>镇平县第二污水处理厂</w:t>
                  </w:r>
                </w:p>
              </w:tc>
              <w:tc>
                <w:tcPr>
                  <w:tcW w:w="270" w:type="pct"/>
                  <w:vMerge w:val="restart"/>
                  <w:tcBorders>
                    <w:tl2br w:val="nil"/>
                    <w:tr2bl w:val="nil"/>
                  </w:tcBorders>
                  <w:shd w:val="clear" w:color="auto" w:fill="auto"/>
                  <w:vAlign w:val="center"/>
                </w:tcPr>
                <w:p w14:paraId="46FC1C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间断排放</w:t>
                  </w:r>
                </w:p>
              </w:tc>
              <w:tc>
                <w:tcPr>
                  <w:tcW w:w="317" w:type="pct"/>
                  <w:vMerge w:val="restart"/>
                  <w:tcBorders>
                    <w:tl2br w:val="nil"/>
                    <w:tr2bl w:val="nil"/>
                  </w:tcBorders>
                  <w:shd w:val="clear" w:color="auto" w:fill="auto"/>
                  <w:vAlign w:val="center"/>
                </w:tcPr>
                <w:p w14:paraId="01DE42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w:t>
                  </w:r>
                </w:p>
              </w:tc>
              <w:tc>
                <w:tcPr>
                  <w:tcW w:w="537" w:type="pct"/>
                  <w:vMerge w:val="restart"/>
                  <w:tcBorders>
                    <w:tl2br w:val="nil"/>
                    <w:tr2bl w:val="nil"/>
                  </w:tcBorders>
                  <w:shd w:val="clear" w:color="auto" w:fill="auto"/>
                  <w:vAlign w:val="center"/>
                </w:tcPr>
                <w:p w14:paraId="29EDCB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镇平县第二污水处理厂</w:t>
                  </w:r>
                </w:p>
              </w:tc>
              <w:tc>
                <w:tcPr>
                  <w:tcW w:w="412" w:type="pct"/>
                  <w:tcBorders>
                    <w:tl2br w:val="nil"/>
                    <w:tr2bl w:val="nil"/>
                  </w:tcBorders>
                  <w:shd w:val="clear" w:color="auto" w:fill="auto"/>
                  <w:vAlign w:val="center"/>
                </w:tcPr>
                <w:p w14:paraId="54CD7A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COD</w:t>
                  </w:r>
                </w:p>
              </w:tc>
              <w:tc>
                <w:tcPr>
                  <w:tcW w:w="512" w:type="pct"/>
                  <w:tcBorders>
                    <w:tl2br w:val="nil"/>
                    <w:tr2bl w:val="nil"/>
                  </w:tcBorders>
                  <w:shd w:val="clear" w:color="auto" w:fill="auto"/>
                  <w:vAlign w:val="center"/>
                </w:tcPr>
                <w:p w14:paraId="18750E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50mg/L</w:t>
                  </w:r>
                </w:p>
              </w:tc>
            </w:tr>
            <w:tr w14:paraId="362F3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55" w:type="pct"/>
                  <w:vMerge w:val="continue"/>
                  <w:tcBorders>
                    <w:tl2br w:val="nil"/>
                    <w:tr2bl w:val="nil"/>
                  </w:tcBorders>
                  <w:shd w:val="clear" w:color="auto" w:fill="auto"/>
                  <w:vAlign w:val="center"/>
                </w:tcPr>
                <w:p w14:paraId="4D88A1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863" w:type="pct"/>
                  <w:vMerge w:val="continue"/>
                  <w:tcBorders>
                    <w:tl2br w:val="nil"/>
                    <w:tr2bl w:val="nil"/>
                  </w:tcBorders>
                  <w:shd w:val="clear" w:color="auto" w:fill="auto"/>
                  <w:vAlign w:val="center"/>
                </w:tcPr>
                <w:p w14:paraId="5AB012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710" w:type="pct"/>
                  <w:vMerge w:val="continue"/>
                  <w:tcBorders>
                    <w:tl2br w:val="nil"/>
                    <w:tr2bl w:val="nil"/>
                  </w:tcBorders>
                  <w:shd w:val="clear" w:color="auto" w:fill="auto"/>
                  <w:vAlign w:val="center"/>
                </w:tcPr>
                <w:p w14:paraId="6BB931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384" w:type="pct"/>
                  <w:vMerge w:val="continue"/>
                  <w:tcBorders>
                    <w:tl2br w:val="nil"/>
                    <w:tr2bl w:val="nil"/>
                  </w:tcBorders>
                  <w:shd w:val="clear" w:color="auto" w:fill="auto"/>
                  <w:vAlign w:val="center"/>
                </w:tcPr>
                <w:p w14:paraId="081149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535" w:type="pct"/>
                  <w:vMerge w:val="continue"/>
                  <w:tcBorders>
                    <w:tl2br w:val="nil"/>
                    <w:tr2bl w:val="nil"/>
                  </w:tcBorders>
                  <w:shd w:val="clear" w:color="auto" w:fill="auto"/>
                  <w:vAlign w:val="center"/>
                </w:tcPr>
                <w:p w14:paraId="191E60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270" w:type="pct"/>
                  <w:vMerge w:val="continue"/>
                  <w:tcBorders>
                    <w:tl2br w:val="nil"/>
                    <w:tr2bl w:val="nil"/>
                  </w:tcBorders>
                  <w:shd w:val="clear" w:color="auto" w:fill="auto"/>
                  <w:vAlign w:val="center"/>
                </w:tcPr>
                <w:p w14:paraId="71B565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317" w:type="pct"/>
                  <w:vMerge w:val="continue"/>
                  <w:tcBorders>
                    <w:tl2br w:val="nil"/>
                    <w:tr2bl w:val="nil"/>
                  </w:tcBorders>
                  <w:shd w:val="clear" w:color="auto" w:fill="auto"/>
                  <w:vAlign w:val="center"/>
                </w:tcPr>
                <w:p w14:paraId="578449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537" w:type="pct"/>
                  <w:vMerge w:val="continue"/>
                  <w:tcBorders>
                    <w:tl2br w:val="nil"/>
                    <w:tr2bl w:val="nil"/>
                  </w:tcBorders>
                  <w:shd w:val="clear" w:color="auto" w:fill="auto"/>
                  <w:vAlign w:val="center"/>
                </w:tcPr>
                <w:p w14:paraId="3EE8F6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p>
              </w:tc>
              <w:tc>
                <w:tcPr>
                  <w:tcW w:w="412" w:type="pct"/>
                  <w:tcBorders>
                    <w:tl2br w:val="nil"/>
                    <w:tr2bl w:val="nil"/>
                  </w:tcBorders>
                  <w:shd w:val="clear" w:color="auto" w:fill="auto"/>
                  <w:vAlign w:val="center"/>
                </w:tcPr>
                <w:p w14:paraId="1A9926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lang w:val="en-US" w:eastAsia="zh-CN"/>
                    </w:rPr>
                  </w:pPr>
                  <w:r>
                    <w:rPr>
                      <w:rFonts w:hint="eastAsia" w:ascii="Times New Roman" w:hAnsi="Times New Roman"/>
                      <w:kern w:val="0"/>
                      <w:sz w:val="21"/>
                      <w:szCs w:val="21"/>
                      <w:lang w:val="en-US" w:eastAsia="zh-CN"/>
                    </w:rPr>
                    <w:t>NH</w:t>
                  </w:r>
                  <w:r>
                    <w:rPr>
                      <w:rFonts w:hint="eastAsia" w:ascii="Times New Roman" w:hAnsi="Times New Roman"/>
                      <w:kern w:val="0"/>
                      <w:sz w:val="21"/>
                      <w:szCs w:val="21"/>
                      <w:vertAlign w:val="subscript"/>
                      <w:lang w:val="en-US" w:eastAsia="zh-CN"/>
                    </w:rPr>
                    <w:t>3</w:t>
                  </w:r>
                  <w:r>
                    <w:rPr>
                      <w:rFonts w:hint="eastAsia" w:ascii="Times New Roman" w:hAnsi="Times New Roman"/>
                      <w:kern w:val="0"/>
                      <w:sz w:val="21"/>
                      <w:szCs w:val="21"/>
                      <w:lang w:val="en-US" w:eastAsia="zh-CN"/>
                    </w:rPr>
                    <w:t>-N</w:t>
                  </w:r>
                </w:p>
              </w:tc>
              <w:tc>
                <w:tcPr>
                  <w:tcW w:w="512" w:type="pct"/>
                  <w:tcBorders>
                    <w:tl2br w:val="nil"/>
                    <w:tr2bl w:val="nil"/>
                  </w:tcBorders>
                  <w:shd w:val="clear" w:color="auto" w:fill="auto"/>
                  <w:vAlign w:val="center"/>
                </w:tcPr>
                <w:p w14:paraId="1712C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lang w:val="en-US" w:eastAsia="zh-CN"/>
                    </w:rPr>
                  </w:pPr>
                  <w:r>
                    <w:rPr>
                      <w:rFonts w:hint="eastAsia" w:ascii="Times New Roman" w:hAnsi="Times New Roman"/>
                      <w:kern w:val="0"/>
                      <w:sz w:val="21"/>
                      <w:szCs w:val="21"/>
                      <w:lang w:val="en-US" w:eastAsia="zh-CN"/>
                    </w:rPr>
                    <w:t>5mg/L</w:t>
                  </w:r>
                </w:p>
              </w:tc>
            </w:tr>
          </w:tbl>
          <w:p w14:paraId="22B72009">
            <w:pPr>
              <w:spacing w:line="360" w:lineRule="auto"/>
              <w:ind w:firstLine="480" w:firstLineChars="200"/>
              <w:rPr>
                <w:rFonts w:hint="default" w:cs="Times New Roman"/>
                <w:lang w:val="en-US" w:eastAsia="zh-CN"/>
              </w:rPr>
            </w:pPr>
            <w:r>
              <w:rPr>
                <w:rFonts w:hint="eastAsia" w:cs="Times New Roman"/>
                <w:lang w:val="en-US" w:eastAsia="zh-CN"/>
              </w:rPr>
              <w:t>③项目废水排放量核算</w:t>
            </w:r>
          </w:p>
          <w:p w14:paraId="06AF329C">
            <w:pPr>
              <w:spacing w:line="360" w:lineRule="auto"/>
              <w:jc w:val="center"/>
              <w:rPr>
                <w:rFonts w:hAnsi="黑体" w:eastAsia="黑体" w:cs="Times New Roman"/>
                <w:bCs/>
              </w:rPr>
            </w:pPr>
            <w:r>
              <w:rPr>
                <w:rFonts w:hint="eastAsia" w:hAnsi="黑体" w:eastAsia="黑体" w:cs="Times New Roman"/>
                <w:bCs/>
              </w:rPr>
              <w:t>表4-</w:t>
            </w:r>
            <w:r>
              <w:rPr>
                <w:rFonts w:hint="eastAsia" w:hAnsi="黑体" w:eastAsia="黑体" w:cs="Times New Roman"/>
                <w:bCs/>
                <w:lang w:val="en-US" w:eastAsia="zh-CN"/>
              </w:rPr>
              <w:t>3</w:t>
            </w:r>
            <w:r>
              <w:rPr>
                <w:rFonts w:hint="eastAsia" w:hAnsi="黑体" w:eastAsia="黑体" w:cs="Times New Roman"/>
                <w:bCs/>
              </w:rPr>
              <w:t xml:space="preserve">  </w:t>
            </w:r>
            <w:r>
              <w:rPr>
                <w:rFonts w:hint="eastAsia" w:hAnsi="黑体" w:eastAsia="黑体" w:cs="Times New Roman"/>
                <w:bCs/>
                <w:lang w:val="en-US" w:eastAsia="zh-CN"/>
              </w:rPr>
              <w:t>废水污染物排放量核算</w:t>
            </w:r>
            <w:r>
              <w:rPr>
                <w:rFonts w:hint="eastAsia" w:hAnsi="黑体" w:eastAsia="黑体" w:cs="Times New Roman"/>
                <w:bCs/>
              </w:rPr>
              <w:t>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20"/>
              <w:gridCol w:w="1615"/>
              <w:gridCol w:w="1375"/>
              <w:gridCol w:w="1591"/>
              <w:gridCol w:w="1718"/>
              <w:gridCol w:w="1338"/>
            </w:tblGrid>
            <w:tr w14:paraId="2F7C6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04" w:type="dxa"/>
                  <w:tcBorders>
                    <w:tl2br w:val="nil"/>
                    <w:tr2bl w:val="nil"/>
                  </w:tcBorders>
                  <w:shd w:val="clear" w:color="auto" w:fill="auto"/>
                  <w:vAlign w:val="center"/>
                </w:tcPr>
                <w:p w14:paraId="7B9002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序号</w:t>
                  </w:r>
                </w:p>
              </w:tc>
              <w:tc>
                <w:tcPr>
                  <w:tcW w:w="1586" w:type="dxa"/>
                  <w:tcBorders>
                    <w:tl2br w:val="nil"/>
                    <w:tr2bl w:val="nil"/>
                  </w:tcBorders>
                  <w:shd w:val="clear" w:color="auto" w:fill="auto"/>
                  <w:vAlign w:val="center"/>
                </w:tcPr>
                <w:p w14:paraId="04A3FC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排放口编号</w:t>
                  </w:r>
                </w:p>
              </w:tc>
              <w:tc>
                <w:tcPr>
                  <w:tcW w:w="1351" w:type="dxa"/>
                  <w:tcBorders>
                    <w:tl2br w:val="nil"/>
                    <w:tr2bl w:val="nil"/>
                  </w:tcBorders>
                  <w:shd w:val="clear" w:color="auto" w:fill="auto"/>
                  <w:vAlign w:val="center"/>
                </w:tcPr>
                <w:p w14:paraId="304DE6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污染物种类</w:t>
                  </w:r>
                </w:p>
              </w:tc>
              <w:tc>
                <w:tcPr>
                  <w:tcW w:w="1563" w:type="dxa"/>
                  <w:tcBorders>
                    <w:tl2br w:val="nil"/>
                    <w:tr2bl w:val="nil"/>
                  </w:tcBorders>
                  <w:shd w:val="clear" w:color="auto" w:fill="auto"/>
                  <w:vAlign w:val="center"/>
                </w:tcPr>
                <w:p w14:paraId="1FDA5D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排放浓度mg/L</w:t>
                  </w:r>
                </w:p>
              </w:tc>
              <w:tc>
                <w:tcPr>
                  <w:tcW w:w="1687" w:type="dxa"/>
                  <w:tcBorders>
                    <w:tl2br w:val="nil"/>
                    <w:tr2bl w:val="nil"/>
                  </w:tcBorders>
                  <w:shd w:val="clear" w:color="auto" w:fill="auto"/>
                  <w:vAlign w:val="center"/>
                </w:tcPr>
                <w:p w14:paraId="78FC1A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日排放量kg/d</w:t>
                  </w:r>
                </w:p>
              </w:tc>
              <w:tc>
                <w:tcPr>
                  <w:tcW w:w="1314" w:type="dxa"/>
                  <w:tcBorders>
                    <w:tl2br w:val="nil"/>
                    <w:tr2bl w:val="nil"/>
                  </w:tcBorders>
                  <w:shd w:val="clear" w:color="auto" w:fill="auto"/>
                  <w:vAlign w:val="center"/>
                </w:tcPr>
                <w:p w14:paraId="3B34D4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年排放量t/a</w:t>
                  </w:r>
                </w:p>
              </w:tc>
            </w:tr>
            <w:tr w14:paraId="784D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04" w:type="dxa"/>
                  <w:vMerge w:val="restart"/>
                  <w:tcBorders>
                    <w:tl2br w:val="nil"/>
                    <w:tr2bl w:val="nil"/>
                  </w:tcBorders>
                  <w:shd w:val="clear" w:color="auto" w:fill="auto"/>
                  <w:vAlign w:val="center"/>
                </w:tcPr>
                <w:p w14:paraId="52B94D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1</w:t>
                  </w:r>
                </w:p>
              </w:tc>
              <w:tc>
                <w:tcPr>
                  <w:tcW w:w="1586" w:type="dxa"/>
                  <w:vMerge w:val="restart"/>
                  <w:tcBorders>
                    <w:tl2br w:val="nil"/>
                    <w:tr2bl w:val="nil"/>
                  </w:tcBorders>
                  <w:shd w:val="clear" w:color="auto" w:fill="auto"/>
                  <w:vAlign w:val="center"/>
                </w:tcPr>
                <w:p w14:paraId="0FA76D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厂区污水总排口（DW001）</w:t>
                  </w:r>
                </w:p>
              </w:tc>
              <w:tc>
                <w:tcPr>
                  <w:tcW w:w="1351" w:type="dxa"/>
                  <w:tcBorders>
                    <w:tl2br w:val="nil"/>
                    <w:tr2bl w:val="nil"/>
                  </w:tcBorders>
                  <w:shd w:val="clear" w:color="auto" w:fill="auto"/>
                  <w:vAlign w:val="center"/>
                </w:tcPr>
                <w:p w14:paraId="0E6C5C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COD</w:t>
                  </w:r>
                </w:p>
              </w:tc>
              <w:tc>
                <w:tcPr>
                  <w:tcW w:w="1563" w:type="dxa"/>
                  <w:tcBorders>
                    <w:tl2br w:val="nil"/>
                    <w:tr2bl w:val="nil"/>
                  </w:tcBorders>
                  <w:shd w:val="clear" w:color="auto" w:fill="auto"/>
                  <w:vAlign w:val="center"/>
                </w:tcPr>
                <w:p w14:paraId="08EBA5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280</w:t>
                  </w:r>
                </w:p>
              </w:tc>
              <w:tc>
                <w:tcPr>
                  <w:tcW w:w="1687" w:type="dxa"/>
                  <w:tcBorders>
                    <w:tl2br w:val="nil"/>
                    <w:tr2bl w:val="nil"/>
                  </w:tcBorders>
                  <w:shd w:val="clear" w:color="auto" w:fill="auto"/>
                  <w:vAlign w:val="center"/>
                </w:tcPr>
                <w:p w14:paraId="153FE3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0.168</w:t>
                  </w:r>
                </w:p>
              </w:tc>
              <w:tc>
                <w:tcPr>
                  <w:tcW w:w="1314" w:type="dxa"/>
                  <w:tcBorders>
                    <w:tl2br w:val="nil"/>
                    <w:tr2bl w:val="nil"/>
                  </w:tcBorders>
                  <w:shd w:val="clear" w:color="auto" w:fill="auto"/>
                  <w:vAlign w:val="center"/>
                </w:tcPr>
                <w:p w14:paraId="13DB8D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0.055</w:t>
                  </w:r>
                </w:p>
              </w:tc>
            </w:tr>
            <w:tr w14:paraId="032CA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04" w:type="dxa"/>
                  <w:vMerge w:val="continue"/>
                  <w:tcBorders>
                    <w:tl2br w:val="nil"/>
                    <w:tr2bl w:val="nil"/>
                  </w:tcBorders>
                  <w:shd w:val="clear" w:color="auto" w:fill="auto"/>
                  <w:vAlign w:val="center"/>
                </w:tcPr>
                <w:p w14:paraId="12995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586" w:type="dxa"/>
                  <w:vMerge w:val="continue"/>
                  <w:tcBorders>
                    <w:tl2br w:val="nil"/>
                    <w:tr2bl w:val="nil"/>
                  </w:tcBorders>
                  <w:shd w:val="clear" w:color="auto" w:fill="auto"/>
                  <w:vAlign w:val="center"/>
                </w:tcPr>
                <w:p w14:paraId="2174DC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351" w:type="dxa"/>
                  <w:tcBorders>
                    <w:tl2br w:val="nil"/>
                    <w:tr2bl w:val="nil"/>
                  </w:tcBorders>
                  <w:shd w:val="clear" w:color="auto" w:fill="auto"/>
                  <w:vAlign w:val="center"/>
                </w:tcPr>
                <w:p w14:paraId="4626B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BOD</w:t>
                  </w:r>
                  <w:r>
                    <w:rPr>
                      <w:rFonts w:hint="eastAsia" w:ascii="Times New Roman" w:hAnsi="Times New Roman"/>
                      <w:kern w:val="0"/>
                      <w:sz w:val="21"/>
                      <w:szCs w:val="21"/>
                      <w:highlight w:val="none"/>
                      <w:vertAlign w:val="subscript"/>
                      <w:lang w:val="en-US" w:eastAsia="zh-CN"/>
                    </w:rPr>
                    <w:t>5</w:t>
                  </w:r>
                </w:p>
              </w:tc>
              <w:tc>
                <w:tcPr>
                  <w:tcW w:w="1563" w:type="dxa"/>
                  <w:tcBorders>
                    <w:tl2br w:val="nil"/>
                    <w:tr2bl w:val="nil"/>
                  </w:tcBorders>
                  <w:shd w:val="clear" w:color="auto" w:fill="auto"/>
                  <w:vAlign w:val="center"/>
                </w:tcPr>
                <w:p w14:paraId="0D103C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180</w:t>
                  </w:r>
                </w:p>
              </w:tc>
              <w:tc>
                <w:tcPr>
                  <w:tcW w:w="1687" w:type="dxa"/>
                  <w:tcBorders>
                    <w:tl2br w:val="nil"/>
                    <w:tr2bl w:val="nil"/>
                  </w:tcBorders>
                  <w:shd w:val="clear" w:color="auto" w:fill="auto"/>
                  <w:vAlign w:val="center"/>
                </w:tcPr>
                <w:p w14:paraId="7D7EF6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0.108</w:t>
                  </w:r>
                </w:p>
              </w:tc>
              <w:tc>
                <w:tcPr>
                  <w:tcW w:w="1314" w:type="dxa"/>
                  <w:tcBorders>
                    <w:tl2br w:val="nil"/>
                    <w:tr2bl w:val="nil"/>
                  </w:tcBorders>
                  <w:shd w:val="clear" w:color="auto" w:fill="auto"/>
                  <w:vAlign w:val="center"/>
                </w:tcPr>
                <w:p w14:paraId="034CAA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0.036</w:t>
                  </w:r>
                </w:p>
              </w:tc>
            </w:tr>
            <w:tr w14:paraId="7B3DD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04" w:type="dxa"/>
                  <w:vMerge w:val="continue"/>
                  <w:tcBorders>
                    <w:tl2br w:val="nil"/>
                    <w:tr2bl w:val="nil"/>
                  </w:tcBorders>
                  <w:shd w:val="clear" w:color="auto" w:fill="auto"/>
                  <w:vAlign w:val="center"/>
                </w:tcPr>
                <w:p w14:paraId="11823C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586" w:type="dxa"/>
                  <w:vMerge w:val="continue"/>
                  <w:tcBorders>
                    <w:tl2br w:val="nil"/>
                    <w:tr2bl w:val="nil"/>
                  </w:tcBorders>
                  <w:shd w:val="clear" w:color="auto" w:fill="auto"/>
                  <w:vAlign w:val="center"/>
                </w:tcPr>
                <w:p w14:paraId="02F321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351" w:type="dxa"/>
                  <w:tcBorders>
                    <w:tl2br w:val="nil"/>
                    <w:tr2bl w:val="nil"/>
                  </w:tcBorders>
                  <w:shd w:val="clear" w:color="auto" w:fill="auto"/>
                  <w:vAlign w:val="center"/>
                </w:tcPr>
                <w:p w14:paraId="6A01CA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NH</w:t>
                  </w:r>
                  <w:r>
                    <w:rPr>
                      <w:rFonts w:hint="eastAsia" w:ascii="Times New Roman" w:hAnsi="Times New Roman"/>
                      <w:kern w:val="0"/>
                      <w:sz w:val="21"/>
                      <w:szCs w:val="21"/>
                      <w:highlight w:val="none"/>
                      <w:vertAlign w:val="subscript"/>
                      <w:lang w:val="en-US" w:eastAsia="zh-CN"/>
                    </w:rPr>
                    <w:t>3</w:t>
                  </w:r>
                  <w:r>
                    <w:rPr>
                      <w:rFonts w:hint="eastAsia" w:ascii="Times New Roman" w:hAnsi="Times New Roman"/>
                      <w:kern w:val="0"/>
                      <w:sz w:val="21"/>
                      <w:szCs w:val="21"/>
                      <w:highlight w:val="none"/>
                      <w:lang w:val="en-US" w:eastAsia="zh-CN"/>
                    </w:rPr>
                    <w:t>-N</w:t>
                  </w:r>
                </w:p>
              </w:tc>
              <w:tc>
                <w:tcPr>
                  <w:tcW w:w="1563" w:type="dxa"/>
                  <w:tcBorders>
                    <w:tl2br w:val="nil"/>
                    <w:tr2bl w:val="nil"/>
                  </w:tcBorders>
                  <w:shd w:val="clear" w:color="auto" w:fill="auto"/>
                  <w:vAlign w:val="center"/>
                </w:tcPr>
                <w:p w14:paraId="42B753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30</w:t>
                  </w:r>
                </w:p>
              </w:tc>
              <w:tc>
                <w:tcPr>
                  <w:tcW w:w="1687" w:type="dxa"/>
                  <w:tcBorders>
                    <w:tl2br w:val="nil"/>
                    <w:tr2bl w:val="nil"/>
                  </w:tcBorders>
                  <w:shd w:val="clear" w:color="auto" w:fill="auto"/>
                  <w:vAlign w:val="center"/>
                </w:tcPr>
                <w:p w14:paraId="367C3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0.018</w:t>
                  </w:r>
                </w:p>
              </w:tc>
              <w:tc>
                <w:tcPr>
                  <w:tcW w:w="1314" w:type="dxa"/>
                  <w:tcBorders>
                    <w:tl2br w:val="nil"/>
                    <w:tr2bl w:val="nil"/>
                  </w:tcBorders>
                  <w:shd w:val="clear" w:color="auto" w:fill="auto"/>
                  <w:vAlign w:val="center"/>
                </w:tcPr>
                <w:p w14:paraId="7E7B12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0.006</w:t>
                  </w:r>
                </w:p>
              </w:tc>
            </w:tr>
            <w:tr w14:paraId="15752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04" w:type="dxa"/>
                  <w:vMerge w:val="continue"/>
                  <w:tcBorders>
                    <w:tl2br w:val="nil"/>
                    <w:tr2bl w:val="nil"/>
                  </w:tcBorders>
                  <w:shd w:val="clear" w:color="auto" w:fill="auto"/>
                  <w:vAlign w:val="center"/>
                </w:tcPr>
                <w:p w14:paraId="5C1918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586" w:type="dxa"/>
                  <w:vMerge w:val="continue"/>
                  <w:tcBorders>
                    <w:tl2br w:val="nil"/>
                    <w:tr2bl w:val="nil"/>
                  </w:tcBorders>
                  <w:shd w:val="clear" w:color="auto" w:fill="auto"/>
                  <w:vAlign w:val="center"/>
                </w:tcPr>
                <w:p w14:paraId="2FA7B8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1351" w:type="dxa"/>
                  <w:tcBorders>
                    <w:tl2br w:val="nil"/>
                    <w:tr2bl w:val="nil"/>
                  </w:tcBorders>
                  <w:shd w:val="clear" w:color="auto" w:fill="auto"/>
                  <w:vAlign w:val="center"/>
                </w:tcPr>
                <w:p w14:paraId="760D4D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SS</w:t>
                  </w:r>
                </w:p>
              </w:tc>
              <w:tc>
                <w:tcPr>
                  <w:tcW w:w="1563" w:type="dxa"/>
                  <w:tcBorders>
                    <w:tl2br w:val="nil"/>
                    <w:tr2bl w:val="nil"/>
                  </w:tcBorders>
                  <w:shd w:val="clear" w:color="auto" w:fill="auto"/>
                  <w:vAlign w:val="center"/>
                </w:tcPr>
                <w:p w14:paraId="65F62B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200</w:t>
                  </w:r>
                </w:p>
              </w:tc>
              <w:tc>
                <w:tcPr>
                  <w:tcW w:w="1687" w:type="dxa"/>
                  <w:tcBorders>
                    <w:tl2br w:val="nil"/>
                    <w:tr2bl w:val="nil"/>
                  </w:tcBorders>
                  <w:shd w:val="clear" w:color="auto" w:fill="auto"/>
                  <w:vAlign w:val="center"/>
                </w:tcPr>
                <w:p w14:paraId="6DDC29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0.120</w:t>
                  </w:r>
                </w:p>
              </w:tc>
              <w:tc>
                <w:tcPr>
                  <w:tcW w:w="1314" w:type="dxa"/>
                  <w:tcBorders>
                    <w:tl2br w:val="nil"/>
                    <w:tr2bl w:val="nil"/>
                  </w:tcBorders>
                  <w:shd w:val="clear" w:color="auto" w:fill="auto"/>
                  <w:vAlign w:val="center"/>
                </w:tcPr>
                <w:p w14:paraId="3A3166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0.040</w:t>
                  </w:r>
                </w:p>
              </w:tc>
            </w:tr>
            <w:tr w14:paraId="3781C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490" w:type="dxa"/>
                  <w:gridSpan w:val="2"/>
                  <w:vMerge w:val="restart"/>
                  <w:tcBorders>
                    <w:tl2br w:val="nil"/>
                    <w:tr2bl w:val="nil"/>
                  </w:tcBorders>
                  <w:shd w:val="clear" w:color="auto" w:fill="auto"/>
                  <w:vAlign w:val="center"/>
                </w:tcPr>
                <w:p w14:paraId="4898D7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全厂排放口合计</w:t>
                  </w:r>
                </w:p>
              </w:tc>
              <w:tc>
                <w:tcPr>
                  <w:tcW w:w="4601" w:type="dxa"/>
                  <w:gridSpan w:val="3"/>
                  <w:tcBorders>
                    <w:tl2br w:val="nil"/>
                    <w:tr2bl w:val="nil"/>
                  </w:tcBorders>
                  <w:shd w:val="clear" w:color="auto" w:fill="auto"/>
                  <w:vAlign w:val="center"/>
                </w:tcPr>
                <w:p w14:paraId="078485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COD</w:t>
                  </w:r>
                </w:p>
              </w:tc>
              <w:tc>
                <w:tcPr>
                  <w:tcW w:w="1314" w:type="dxa"/>
                  <w:tcBorders>
                    <w:tl2br w:val="nil"/>
                    <w:tr2bl w:val="nil"/>
                  </w:tcBorders>
                  <w:shd w:val="clear" w:color="auto" w:fill="auto"/>
                  <w:vAlign w:val="center"/>
                </w:tcPr>
                <w:p w14:paraId="0D57E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0.055</w:t>
                  </w:r>
                </w:p>
              </w:tc>
            </w:tr>
            <w:tr w14:paraId="55C25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490" w:type="dxa"/>
                  <w:gridSpan w:val="2"/>
                  <w:vMerge w:val="continue"/>
                  <w:tcBorders>
                    <w:tl2br w:val="nil"/>
                    <w:tr2bl w:val="nil"/>
                  </w:tcBorders>
                  <w:shd w:val="clear" w:color="auto" w:fill="auto"/>
                  <w:vAlign w:val="center"/>
                </w:tcPr>
                <w:p w14:paraId="409878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4601" w:type="dxa"/>
                  <w:gridSpan w:val="3"/>
                  <w:tcBorders>
                    <w:tl2br w:val="nil"/>
                    <w:tr2bl w:val="nil"/>
                  </w:tcBorders>
                  <w:shd w:val="clear" w:color="auto" w:fill="auto"/>
                  <w:vAlign w:val="center"/>
                </w:tcPr>
                <w:p w14:paraId="49ED58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BOD</w:t>
                  </w:r>
                  <w:r>
                    <w:rPr>
                      <w:rFonts w:hint="eastAsia" w:ascii="Times New Roman" w:hAnsi="Times New Roman"/>
                      <w:kern w:val="0"/>
                      <w:sz w:val="21"/>
                      <w:szCs w:val="21"/>
                      <w:highlight w:val="none"/>
                      <w:vertAlign w:val="subscript"/>
                      <w:lang w:val="en-US" w:eastAsia="zh-CN"/>
                    </w:rPr>
                    <w:t>5</w:t>
                  </w:r>
                </w:p>
              </w:tc>
              <w:tc>
                <w:tcPr>
                  <w:tcW w:w="1314" w:type="dxa"/>
                  <w:tcBorders>
                    <w:tl2br w:val="nil"/>
                    <w:tr2bl w:val="nil"/>
                  </w:tcBorders>
                  <w:shd w:val="clear" w:color="auto" w:fill="auto"/>
                  <w:vAlign w:val="center"/>
                </w:tcPr>
                <w:p w14:paraId="6632E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0.036</w:t>
                  </w:r>
                </w:p>
              </w:tc>
            </w:tr>
            <w:tr w14:paraId="42FC5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490" w:type="dxa"/>
                  <w:gridSpan w:val="2"/>
                  <w:vMerge w:val="continue"/>
                  <w:tcBorders>
                    <w:tl2br w:val="nil"/>
                    <w:tr2bl w:val="nil"/>
                  </w:tcBorders>
                  <w:shd w:val="clear" w:color="auto" w:fill="auto"/>
                  <w:vAlign w:val="center"/>
                </w:tcPr>
                <w:p w14:paraId="20D469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4601" w:type="dxa"/>
                  <w:gridSpan w:val="3"/>
                  <w:tcBorders>
                    <w:tl2br w:val="nil"/>
                    <w:tr2bl w:val="nil"/>
                  </w:tcBorders>
                  <w:shd w:val="clear" w:color="auto" w:fill="auto"/>
                  <w:vAlign w:val="center"/>
                </w:tcPr>
                <w:p w14:paraId="33709B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NH</w:t>
                  </w:r>
                  <w:r>
                    <w:rPr>
                      <w:rFonts w:hint="eastAsia" w:ascii="Times New Roman" w:hAnsi="Times New Roman"/>
                      <w:kern w:val="0"/>
                      <w:sz w:val="21"/>
                      <w:szCs w:val="21"/>
                      <w:highlight w:val="none"/>
                      <w:vertAlign w:val="subscript"/>
                      <w:lang w:val="en-US" w:eastAsia="zh-CN"/>
                    </w:rPr>
                    <w:t>3</w:t>
                  </w:r>
                  <w:r>
                    <w:rPr>
                      <w:rFonts w:hint="eastAsia" w:ascii="Times New Roman" w:hAnsi="Times New Roman"/>
                      <w:kern w:val="0"/>
                      <w:sz w:val="21"/>
                      <w:szCs w:val="21"/>
                      <w:highlight w:val="none"/>
                      <w:lang w:val="en-US" w:eastAsia="zh-CN"/>
                    </w:rPr>
                    <w:t>-N</w:t>
                  </w:r>
                </w:p>
              </w:tc>
              <w:tc>
                <w:tcPr>
                  <w:tcW w:w="1314" w:type="dxa"/>
                  <w:tcBorders>
                    <w:tl2br w:val="nil"/>
                    <w:tr2bl w:val="nil"/>
                  </w:tcBorders>
                  <w:shd w:val="clear" w:color="auto" w:fill="auto"/>
                  <w:vAlign w:val="center"/>
                </w:tcPr>
                <w:p w14:paraId="4EA8CF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0.006</w:t>
                  </w:r>
                </w:p>
              </w:tc>
            </w:tr>
            <w:tr w14:paraId="0D9D5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490" w:type="dxa"/>
                  <w:gridSpan w:val="2"/>
                  <w:vMerge w:val="continue"/>
                  <w:tcBorders>
                    <w:tl2br w:val="nil"/>
                    <w:tr2bl w:val="nil"/>
                  </w:tcBorders>
                  <w:shd w:val="clear" w:color="auto" w:fill="auto"/>
                  <w:vAlign w:val="center"/>
                </w:tcPr>
                <w:p w14:paraId="78961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p>
              </w:tc>
              <w:tc>
                <w:tcPr>
                  <w:tcW w:w="4601" w:type="dxa"/>
                  <w:gridSpan w:val="3"/>
                  <w:tcBorders>
                    <w:tl2br w:val="nil"/>
                    <w:tr2bl w:val="nil"/>
                  </w:tcBorders>
                  <w:shd w:val="clear" w:color="auto" w:fill="auto"/>
                  <w:vAlign w:val="center"/>
                </w:tcPr>
                <w:p w14:paraId="6B4925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SS</w:t>
                  </w:r>
                </w:p>
              </w:tc>
              <w:tc>
                <w:tcPr>
                  <w:tcW w:w="1314" w:type="dxa"/>
                  <w:tcBorders>
                    <w:tl2br w:val="nil"/>
                    <w:tr2bl w:val="nil"/>
                  </w:tcBorders>
                  <w:shd w:val="clear" w:color="auto" w:fill="auto"/>
                  <w:vAlign w:val="center"/>
                </w:tcPr>
                <w:p w14:paraId="384617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0.040</w:t>
                  </w:r>
                </w:p>
              </w:tc>
            </w:tr>
          </w:tbl>
          <w:p w14:paraId="619CFBD2">
            <w:pPr>
              <w:spacing w:line="360" w:lineRule="auto"/>
              <w:ind w:firstLine="480" w:firstLineChars="200"/>
              <w:rPr>
                <w:rFonts w:cs="Times New Roman"/>
                <w:szCs w:val="24"/>
              </w:rPr>
            </w:pPr>
            <w:r>
              <w:rPr>
                <w:rFonts w:hint="eastAsia" w:cs="Times New Roman"/>
                <w:lang w:val="en-US" w:eastAsia="zh-CN"/>
              </w:rPr>
              <w:t>2.5</w:t>
            </w:r>
            <w:r>
              <w:rPr>
                <w:rFonts w:cs="Times New Roman"/>
                <w:szCs w:val="24"/>
              </w:rPr>
              <w:t>水环境影响评价结论</w:t>
            </w:r>
          </w:p>
          <w:p w14:paraId="4639C5F7">
            <w:pPr>
              <w:spacing w:line="360" w:lineRule="auto"/>
              <w:ind w:firstLine="480" w:firstLineChars="200"/>
              <w:rPr>
                <w:rFonts w:cs="Times New Roman"/>
              </w:rPr>
            </w:pPr>
            <w:r>
              <w:rPr>
                <w:rFonts w:hint="eastAsia"/>
              </w:rPr>
              <w:t>本</w:t>
            </w:r>
            <w:r>
              <w:t>项目</w:t>
            </w:r>
            <w:r>
              <w:rPr>
                <w:rFonts w:hint="eastAsia"/>
              </w:rPr>
              <w:t>废水主要为职工生活污水，经</w:t>
            </w:r>
            <w:r>
              <w:rPr>
                <w:rFonts w:hint="eastAsia" w:cs="Times New Roman"/>
              </w:rPr>
              <w:t>化粪池（容积10m</w:t>
            </w:r>
            <w:r>
              <w:rPr>
                <w:rFonts w:hint="eastAsia" w:cs="Times New Roman"/>
                <w:vertAlign w:val="superscript"/>
              </w:rPr>
              <w:t>3</w:t>
            </w:r>
            <w:r>
              <w:rPr>
                <w:rFonts w:hint="eastAsia" w:cs="Times New Roman"/>
              </w:rPr>
              <w:t>）处理后水质满足《污水综合排放标准》（GB8978-1996）表4三级标准和</w:t>
            </w:r>
            <w:r>
              <w:t>镇平县第二污水处理厂</w:t>
            </w:r>
            <w:r>
              <w:rPr>
                <w:rFonts w:hint="eastAsia" w:cs="Times New Roman"/>
              </w:rPr>
              <w:t>进水水质要求，通过市政污水管网进入</w:t>
            </w:r>
            <w:r>
              <w:rPr>
                <w:rFonts w:hint="default"/>
                <w:lang w:val="en-US" w:eastAsia="zh-CN"/>
              </w:rPr>
              <w:t>镇平县第二污水处理厂处理达标后排入赵河</w:t>
            </w:r>
            <w:r>
              <w:rPr>
                <w:rFonts w:hint="eastAsia" w:cs="Times New Roman"/>
              </w:rPr>
              <w:t>，对周边地表水环境影响较小。</w:t>
            </w:r>
          </w:p>
          <w:p w14:paraId="7F0D2F47">
            <w:pPr>
              <w:spacing w:line="360" w:lineRule="auto"/>
              <w:ind w:firstLine="480" w:firstLineChars="200"/>
              <w:rPr>
                <w:rFonts w:ascii="Times New Roman" w:hAnsi="Times New Roman"/>
                <w:color w:val="000000"/>
                <w:sz w:val="24"/>
              </w:rPr>
            </w:pPr>
          </w:p>
          <w:p w14:paraId="16354C6C">
            <w:pPr>
              <w:spacing w:line="360" w:lineRule="auto"/>
              <w:ind w:firstLine="480" w:firstLineChars="200"/>
              <w:rPr>
                <w:rFonts w:ascii="Times New Roman" w:hAnsi="Times New Roman"/>
                <w:color w:val="000000"/>
                <w:sz w:val="24"/>
              </w:rPr>
            </w:pPr>
          </w:p>
          <w:p w14:paraId="0E11502C">
            <w:pPr>
              <w:spacing w:line="360" w:lineRule="auto"/>
              <w:ind w:firstLine="480" w:firstLineChars="200"/>
              <w:rPr>
                <w:rFonts w:ascii="Times New Roman" w:hAnsi="Times New Roman"/>
                <w:color w:val="000000"/>
                <w:sz w:val="24"/>
              </w:rPr>
            </w:pPr>
          </w:p>
          <w:p w14:paraId="5C8CDE33">
            <w:pPr>
              <w:spacing w:line="360" w:lineRule="auto"/>
              <w:ind w:firstLine="480" w:firstLineChars="200"/>
              <w:rPr>
                <w:rFonts w:ascii="Times New Roman" w:hAnsi="Times New Roman"/>
                <w:color w:val="000000"/>
                <w:sz w:val="24"/>
              </w:rPr>
            </w:pPr>
          </w:p>
          <w:p w14:paraId="723323E3">
            <w:pPr>
              <w:spacing w:line="360" w:lineRule="auto"/>
              <w:ind w:firstLine="480" w:firstLineChars="200"/>
              <w:rPr>
                <w:rFonts w:ascii="Times New Roman" w:hAnsi="Times New Roman"/>
                <w:color w:val="000000"/>
                <w:sz w:val="24"/>
              </w:rPr>
            </w:pPr>
          </w:p>
          <w:p w14:paraId="38203F14">
            <w:pPr>
              <w:spacing w:line="360" w:lineRule="auto"/>
              <w:ind w:firstLine="480" w:firstLineChars="200"/>
              <w:rPr>
                <w:rFonts w:ascii="Times New Roman" w:hAnsi="Times New Roman"/>
                <w:color w:val="000000"/>
                <w:sz w:val="24"/>
              </w:rPr>
            </w:pPr>
          </w:p>
          <w:p w14:paraId="6CA90D5D">
            <w:pPr>
              <w:spacing w:line="360" w:lineRule="auto"/>
              <w:ind w:firstLine="480" w:firstLineChars="200"/>
              <w:rPr>
                <w:rFonts w:ascii="Times New Roman" w:hAnsi="Times New Roman"/>
                <w:color w:val="000000"/>
                <w:sz w:val="24"/>
              </w:rPr>
            </w:pPr>
          </w:p>
          <w:p w14:paraId="0937CA02">
            <w:pPr>
              <w:spacing w:line="360" w:lineRule="auto"/>
              <w:ind w:firstLine="480" w:firstLineChars="200"/>
              <w:rPr>
                <w:rFonts w:ascii="Times New Roman" w:hAnsi="Times New Roman"/>
                <w:color w:val="000000"/>
                <w:sz w:val="24"/>
              </w:rPr>
            </w:pPr>
          </w:p>
          <w:p w14:paraId="4373AC61">
            <w:pPr>
              <w:spacing w:line="360" w:lineRule="auto"/>
              <w:ind w:firstLine="480" w:firstLineChars="200"/>
              <w:rPr>
                <w:rFonts w:ascii="Times New Roman" w:hAnsi="Times New Roman"/>
                <w:color w:val="000000"/>
                <w:sz w:val="24"/>
              </w:rPr>
            </w:pPr>
          </w:p>
          <w:p w14:paraId="1FFF9A9F">
            <w:pPr>
              <w:spacing w:line="360" w:lineRule="auto"/>
              <w:ind w:firstLine="480" w:firstLineChars="200"/>
              <w:rPr>
                <w:rFonts w:ascii="Times New Roman" w:hAnsi="Times New Roman"/>
                <w:color w:val="000000"/>
                <w:sz w:val="24"/>
              </w:rPr>
            </w:pPr>
          </w:p>
        </w:tc>
      </w:tr>
    </w:tbl>
    <w:p w14:paraId="2ED3ACB2">
      <w:pPr>
        <w:ind w:left="0" w:leftChars="0" w:firstLine="0" w:firstLineChars="0"/>
        <w:jc w:val="both"/>
        <w:sectPr>
          <w:pgSz w:w="11906" w:h="16838"/>
          <w:pgMar w:top="1440" w:right="1440" w:bottom="1440" w:left="1440" w:header="851" w:footer="992" w:gutter="0"/>
          <w:cols w:space="0" w:num="1"/>
          <w:rtlGutter w:val="0"/>
          <w:docGrid w:type="lines" w:linePitch="312" w:charSpace="0"/>
        </w:sectPr>
      </w:pPr>
    </w:p>
    <w:tbl>
      <w:tblPr>
        <w:tblStyle w:val="2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13704"/>
      </w:tblGrid>
      <w:tr w14:paraId="0A983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2" w:type="pct"/>
            <w:vAlign w:val="center"/>
          </w:tcPr>
          <w:p w14:paraId="68348E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sz w:val="24"/>
                <w:szCs w:val="24"/>
                <w:vertAlign w:val="baseline"/>
              </w:rPr>
            </w:pPr>
          </w:p>
        </w:tc>
        <w:tc>
          <w:tcPr>
            <w:tcW w:w="4837" w:type="pct"/>
          </w:tcPr>
          <w:p w14:paraId="465EF167">
            <w:pPr>
              <w:spacing w:line="360" w:lineRule="auto"/>
              <w:ind w:left="0" w:leftChars="0" w:firstLine="0" w:firstLineChars="0"/>
              <w:jc w:val="both"/>
              <w:rPr>
                <w:rFonts w:hint="default" w:ascii="Times New Roman" w:hAnsi="Times New Roman" w:eastAsia="黑体" w:cs="Times New Roman"/>
                <w:b w:val="0"/>
                <w:bCs/>
              </w:rPr>
            </w:pPr>
            <w:r>
              <w:rPr>
                <w:rFonts w:hint="default" w:ascii="Times New Roman" w:hAnsi="Times New Roman" w:eastAsia="黑体" w:cs="Times New Roman"/>
                <w:b w:val="0"/>
                <w:bCs/>
              </w:rPr>
              <w:t>3、</w:t>
            </w:r>
            <w:r>
              <w:rPr>
                <w:rFonts w:hint="default" w:ascii="Times New Roman" w:hAnsi="Times New Roman" w:eastAsia="黑体" w:cs="Times New Roman"/>
                <w:b w:val="0"/>
                <w:bCs/>
                <w:color w:val="000000"/>
              </w:rPr>
              <w:t>营运期声环境影响和保护措施</w:t>
            </w:r>
          </w:p>
          <w:p w14:paraId="73BCF96B">
            <w:pPr>
              <w:spacing w:line="360" w:lineRule="auto"/>
              <w:ind w:firstLine="480" w:firstLineChars="200"/>
              <w:jc w:val="both"/>
              <w:rPr>
                <w:rFonts w:cs="Times New Roman"/>
              </w:rPr>
            </w:pPr>
            <w:r>
              <w:rPr>
                <w:rFonts w:hint="eastAsia" w:cs="Times New Roman"/>
              </w:rPr>
              <w:t>项目室内声源主要为</w:t>
            </w:r>
            <w:r>
              <w:rPr>
                <w:rFonts w:hint="eastAsia" w:cs="Times New Roman"/>
                <w:lang w:val="en-US" w:eastAsia="zh-CN"/>
              </w:rPr>
              <w:t>生产</w:t>
            </w:r>
            <w:r>
              <w:rPr>
                <w:rFonts w:hint="eastAsia" w:cs="Times New Roman"/>
              </w:rPr>
              <w:t>车间内的设备</w:t>
            </w:r>
            <w:r>
              <w:rPr>
                <w:rFonts w:hint="eastAsia" w:cs="Times New Roman"/>
                <w:lang w:val="en-US" w:eastAsia="zh-CN"/>
              </w:rPr>
              <w:t>以及风机</w:t>
            </w:r>
            <w:r>
              <w:rPr>
                <w:rFonts w:hint="eastAsia" w:cs="Times New Roman"/>
              </w:rPr>
              <w:t>运行噪声，</w:t>
            </w:r>
            <w:r>
              <w:rPr>
                <w:rFonts w:eastAsia="宋体" w:cs="Times New Roman"/>
                <w:kern w:val="0"/>
                <w:szCs w:val="24"/>
                <w:lang w:bidi="ar"/>
              </w:rPr>
              <w:t>主要高噪声设备及源强见</w:t>
            </w:r>
            <w:r>
              <w:rPr>
                <w:rFonts w:cs="Times New Roman"/>
                <w:kern w:val="0"/>
                <w:szCs w:val="24"/>
                <w:lang w:bidi="ar"/>
              </w:rPr>
              <w:t>下表</w:t>
            </w:r>
            <w:r>
              <w:rPr>
                <w:rFonts w:hint="eastAsia" w:cs="Times New Roman"/>
                <w:kern w:val="0"/>
                <w:szCs w:val="24"/>
                <w:lang w:bidi="ar"/>
              </w:rPr>
              <w:t>。</w:t>
            </w:r>
          </w:p>
          <w:p w14:paraId="5CF4A50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b w:val="0"/>
                <w:bCs/>
                <w:color w:val="auto"/>
                <w:kern w:val="2"/>
                <w:szCs w:val="24"/>
                <w:lang w:eastAsia="zh-CN"/>
              </w:rPr>
            </w:pPr>
            <w:r>
              <w:rPr>
                <w:rFonts w:hint="default" w:ascii="Times New Roman" w:hAnsi="Times New Roman" w:eastAsia="黑体" w:cs="Times New Roman"/>
                <w:b w:val="0"/>
                <w:bCs/>
                <w:color w:val="auto"/>
                <w:kern w:val="2"/>
                <w:szCs w:val="24"/>
                <w:lang w:eastAsia="zh-CN"/>
              </w:rPr>
              <w:t>表4-</w:t>
            </w:r>
            <w:r>
              <w:rPr>
                <w:rFonts w:hint="eastAsia" w:eastAsia="黑体" w:cs="Times New Roman"/>
                <w:b w:val="0"/>
                <w:bCs/>
                <w:color w:val="auto"/>
                <w:kern w:val="2"/>
                <w:szCs w:val="24"/>
                <w:lang w:val="en-US" w:eastAsia="zh-CN"/>
              </w:rPr>
              <w:t>4</w:t>
            </w:r>
            <w:r>
              <w:rPr>
                <w:rFonts w:hint="default" w:ascii="Times New Roman" w:hAnsi="Times New Roman" w:eastAsia="黑体" w:cs="Times New Roman"/>
                <w:b w:val="0"/>
                <w:bCs/>
                <w:color w:val="auto"/>
                <w:kern w:val="2"/>
                <w:szCs w:val="24"/>
                <w:lang w:eastAsia="zh-CN"/>
              </w:rPr>
              <w:t xml:space="preserve">  主要设备噪声源强一览表</w:t>
            </w:r>
            <w:r>
              <w:rPr>
                <w:rFonts w:hint="eastAsia" w:eastAsia="黑体" w:cs="Times New Roman"/>
                <w:b w:val="0"/>
                <w:bCs/>
                <w:color w:val="auto"/>
                <w:kern w:val="2"/>
                <w:szCs w:val="24"/>
                <w:lang w:eastAsia="zh-CN"/>
              </w:rPr>
              <w:t>（</w:t>
            </w:r>
            <w:r>
              <w:rPr>
                <w:rFonts w:hint="eastAsia" w:eastAsia="黑体" w:cs="Times New Roman"/>
                <w:b w:val="0"/>
                <w:bCs/>
                <w:color w:val="auto"/>
                <w:kern w:val="2"/>
                <w:szCs w:val="24"/>
                <w:lang w:val="en-US" w:eastAsia="zh-CN"/>
              </w:rPr>
              <w:t>室内声源</w:t>
            </w:r>
            <w:r>
              <w:rPr>
                <w:rFonts w:hint="eastAsia" w:eastAsia="黑体" w:cs="Times New Roman"/>
                <w:b w:val="0"/>
                <w:bCs/>
                <w:color w:val="auto"/>
                <w:kern w:val="2"/>
                <w:szCs w:val="24"/>
                <w:lang w:eastAsia="zh-CN"/>
              </w:rPr>
              <w:t>）</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0"/>
              <w:gridCol w:w="1312"/>
              <w:gridCol w:w="760"/>
              <w:gridCol w:w="954"/>
              <w:gridCol w:w="1046"/>
              <w:gridCol w:w="563"/>
              <w:gridCol w:w="552"/>
              <w:gridCol w:w="501"/>
              <w:gridCol w:w="574"/>
              <w:gridCol w:w="582"/>
              <w:gridCol w:w="574"/>
              <w:gridCol w:w="622"/>
              <w:gridCol w:w="582"/>
              <w:gridCol w:w="601"/>
              <w:gridCol w:w="563"/>
              <w:gridCol w:w="687"/>
              <w:gridCol w:w="574"/>
              <w:gridCol w:w="1836"/>
            </w:tblGrid>
            <w:tr w14:paraId="70534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restart"/>
                  <w:noWrap w:val="0"/>
                  <w:vAlign w:val="center"/>
                </w:tcPr>
                <w:p w14:paraId="67BC6F0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3"/>
                      <w:sz w:val="21"/>
                      <w:szCs w:val="21"/>
                      <w:u w:val="none"/>
                      <w:lang w:eastAsia="zh-CN"/>
                    </w:rPr>
                  </w:pPr>
                  <w:r>
                    <w:rPr>
                      <w:rFonts w:ascii="Times New Roman" w:hAnsi="Times New Roman" w:cs="Times New Roman"/>
                      <w:color w:val="auto"/>
                      <w:spacing w:val="-3"/>
                      <w:sz w:val="21"/>
                      <w:szCs w:val="21"/>
                      <w:u w:val="none"/>
                      <w:lang w:eastAsia="zh-CN"/>
                    </w:rPr>
                    <w:t>建筑物名称</w:t>
                  </w:r>
                </w:p>
              </w:tc>
              <w:tc>
                <w:tcPr>
                  <w:tcW w:w="487" w:type="pct"/>
                  <w:vMerge w:val="restart"/>
                  <w:noWrap w:val="0"/>
                  <w:vAlign w:val="center"/>
                </w:tcPr>
                <w:p w14:paraId="542E954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3"/>
                      <w:sz w:val="21"/>
                      <w:szCs w:val="21"/>
                      <w:u w:val="none"/>
                    </w:rPr>
                    <w:t>声源名称</w:t>
                  </w:r>
                </w:p>
              </w:tc>
              <w:tc>
                <w:tcPr>
                  <w:tcW w:w="282" w:type="pct"/>
                  <w:vMerge w:val="restart"/>
                  <w:noWrap w:val="0"/>
                  <w:vAlign w:val="center"/>
                </w:tcPr>
                <w:p w14:paraId="39D25DCE">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r>
                    <w:rPr>
                      <w:rFonts w:ascii="Times New Roman" w:hAnsi="Times New Roman" w:cs="Times New Roman"/>
                      <w:color w:val="auto"/>
                      <w:spacing w:val="-3"/>
                      <w:sz w:val="21"/>
                      <w:szCs w:val="21"/>
                      <w:u w:val="none"/>
                      <w:lang w:eastAsia="zh-CN"/>
                    </w:rPr>
                    <w:t>源强</w:t>
                  </w:r>
                  <w:r>
                    <w:rPr>
                      <w:rFonts w:ascii="Times New Roman" w:hAnsi="Times New Roman" w:cs="Times New Roman"/>
                      <w:color w:val="auto"/>
                      <w:sz w:val="21"/>
                      <w:szCs w:val="21"/>
                      <w:u w:val="none"/>
                      <w:lang w:eastAsia="zh-CN"/>
                    </w:rPr>
                    <w:t>dB</w:t>
                  </w:r>
                  <w:r>
                    <w:rPr>
                      <w:rFonts w:ascii="Times New Roman" w:hAnsi="Times New Roman" w:cs="Times New Roman"/>
                      <w:color w:val="auto"/>
                      <w:spacing w:val="-7"/>
                      <w:sz w:val="21"/>
                      <w:szCs w:val="21"/>
                      <w:u w:val="none"/>
                      <w:lang w:eastAsia="zh-CN"/>
                    </w:rPr>
                    <w:t>（A）</w:t>
                  </w:r>
                </w:p>
              </w:tc>
              <w:tc>
                <w:tcPr>
                  <w:tcW w:w="354" w:type="pct"/>
                  <w:vMerge w:val="restart"/>
                  <w:noWrap w:val="0"/>
                  <w:vAlign w:val="center"/>
                </w:tcPr>
                <w:p w14:paraId="3EA500D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4"/>
                      <w:sz w:val="21"/>
                      <w:szCs w:val="21"/>
                      <w:u w:val="none"/>
                    </w:rPr>
                    <w:t>数量</w:t>
                  </w:r>
                  <w:r>
                    <w:rPr>
                      <w:rFonts w:ascii="Times New Roman" w:hAnsi="Times New Roman" w:cs="Times New Roman"/>
                      <w:color w:val="auto"/>
                      <w:sz w:val="21"/>
                      <w:szCs w:val="21"/>
                      <w:u w:val="none"/>
                    </w:rPr>
                    <w:t>/台</w:t>
                  </w:r>
                </w:p>
              </w:tc>
              <w:tc>
                <w:tcPr>
                  <w:tcW w:w="388" w:type="pct"/>
                  <w:vMerge w:val="restart"/>
                  <w:noWrap w:val="0"/>
                  <w:vAlign w:val="center"/>
                </w:tcPr>
                <w:p w14:paraId="438003E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6"/>
                      <w:sz w:val="21"/>
                      <w:szCs w:val="21"/>
                      <w:u w:val="none"/>
                    </w:rPr>
                    <w:t>声源</w:t>
                  </w:r>
                  <w:r>
                    <w:rPr>
                      <w:rFonts w:ascii="Times New Roman" w:hAnsi="Times New Roman" w:cs="Times New Roman"/>
                      <w:color w:val="auto"/>
                      <w:spacing w:val="-3"/>
                      <w:sz w:val="21"/>
                      <w:szCs w:val="21"/>
                      <w:u w:val="none"/>
                    </w:rPr>
                    <w:t>控制措施</w:t>
                  </w:r>
                </w:p>
              </w:tc>
              <w:tc>
                <w:tcPr>
                  <w:tcW w:w="600" w:type="pct"/>
                  <w:gridSpan w:val="3"/>
                  <w:noWrap w:val="0"/>
                  <w:vAlign w:val="center"/>
                </w:tcPr>
                <w:p w14:paraId="5C4BAB28">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2"/>
                      <w:sz w:val="21"/>
                      <w:szCs w:val="21"/>
                      <w:u w:val="none"/>
                    </w:rPr>
                    <w:t>空间相对位置</w:t>
                  </w:r>
                </w:p>
              </w:tc>
              <w:tc>
                <w:tcPr>
                  <w:tcW w:w="873" w:type="pct"/>
                  <w:gridSpan w:val="4"/>
                  <w:noWrap w:val="0"/>
                  <w:vAlign w:val="center"/>
                </w:tcPr>
                <w:p w14:paraId="0FBD1B0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1"/>
                      <w:sz w:val="21"/>
                      <w:szCs w:val="21"/>
                      <w:u w:val="none"/>
                    </w:rPr>
                    <w:t>距室内边界距离m</w:t>
                  </w:r>
                </w:p>
              </w:tc>
              <w:tc>
                <w:tcPr>
                  <w:tcW w:w="903" w:type="pct"/>
                  <w:gridSpan w:val="4"/>
                  <w:noWrap w:val="0"/>
                  <w:vAlign w:val="center"/>
                </w:tcPr>
                <w:p w14:paraId="3B6ADA4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r>
                    <w:rPr>
                      <w:rFonts w:ascii="Times New Roman" w:hAnsi="Times New Roman" w:cs="Times New Roman"/>
                      <w:color w:val="auto"/>
                      <w:spacing w:val="-2"/>
                      <w:sz w:val="21"/>
                      <w:szCs w:val="21"/>
                      <w:u w:val="none"/>
                      <w:lang w:eastAsia="zh-CN"/>
                    </w:rPr>
                    <w:t>室内边界声级</w:t>
                  </w:r>
                  <w:r>
                    <w:rPr>
                      <w:rFonts w:ascii="Times New Roman" w:hAnsi="Times New Roman" w:cs="Times New Roman"/>
                      <w:color w:val="auto"/>
                      <w:spacing w:val="-41"/>
                      <w:sz w:val="21"/>
                      <w:szCs w:val="21"/>
                      <w:u w:val="none"/>
                      <w:lang w:eastAsia="zh-CN"/>
                    </w:rPr>
                    <w:t xml:space="preserve"> </w:t>
                  </w:r>
                  <w:r>
                    <w:rPr>
                      <w:rFonts w:ascii="Times New Roman" w:hAnsi="Times New Roman" w:cs="Times New Roman"/>
                      <w:color w:val="auto"/>
                      <w:spacing w:val="-2"/>
                      <w:sz w:val="21"/>
                      <w:szCs w:val="21"/>
                      <w:u w:val="none"/>
                      <w:lang w:eastAsia="zh-CN"/>
                    </w:rPr>
                    <w:t>dB（A）</w:t>
                  </w:r>
                </w:p>
              </w:tc>
              <w:tc>
                <w:tcPr>
                  <w:tcW w:w="213" w:type="pct"/>
                  <w:vMerge w:val="restart"/>
                  <w:noWrap w:val="0"/>
                  <w:vAlign w:val="center"/>
                </w:tcPr>
                <w:p w14:paraId="6D5FBF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2"/>
                      <w:sz w:val="21"/>
                      <w:u w:val="none"/>
                    </w:rPr>
                  </w:pPr>
                  <w:r>
                    <w:rPr>
                      <w:rFonts w:ascii="Times New Roman" w:hAnsi="Times New Roman" w:cs="Times New Roman"/>
                      <w:color w:val="auto"/>
                      <w:sz w:val="21"/>
                      <w:u w:val="none"/>
                    </w:rPr>
                    <w:t>运行时段（h）</w:t>
                  </w:r>
                </w:p>
              </w:tc>
              <w:tc>
                <w:tcPr>
                  <w:tcW w:w="676" w:type="pct"/>
                  <w:vMerge w:val="restart"/>
                  <w:noWrap w:val="0"/>
                  <w:vAlign w:val="center"/>
                </w:tcPr>
                <w:p w14:paraId="2B240DD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r>
                    <w:rPr>
                      <w:rFonts w:ascii="Times New Roman" w:hAnsi="Times New Roman" w:cs="Times New Roman"/>
                      <w:color w:val="auto"/>
                      <w:spacing w:val="-3"/>
                      <w:sz w:val="21"/>
                      <w:szCs w:val="21"/>
                      <w:u w:val="none"/>
                      <w:lang w:eastAsia="zh-CN"/>
                    </w:rPr>
                    <w:t>建筑物</w:t>
                  </w:r>
                  <w:r>
                    <w:rPr>
                      <w:rFonts w:ascii="Times New Roman" w:hAnsi="Times New Roman" w:cs="Times New Roman"/>
                      <w:color w:val="auto"/>
                      <w:spacing w:val="-2"/>
                      <w:sz w:val="21"/>
                      <w:szCs w:val="21"/>
                      <w:u w:val="none"/>
                      <w:lang w:eastAsia="zh-CN"/>
                    </w:rPr>
                    <w:t>插入损</w:t>
                  </w:r>
                  <w:r>
                    <w:rPr>
                      <w:rFonts w:ascii="Times New Roman" w:hAnsi="Times New Roman" w:cs="Times New Roman"/>
                      <w:color w:val="auto"/>
                      <w:spacing w:val="50"/>
                      <w:sz w:val="21"/>
                      <w:szCs w:val="21"/>
                      <w:u w:val="none"/>
                      <w:lang w:eastAsia="zh-CN"/>
                    </w:rPr>
                    <w:t>失</w:t>
                  </w:r>
                  <w:r>
                    <w:rPr>
                      <w:rFonts w:ascii="Times New Roman" w:hAnsi="Times New Roman" w:cs="Times New Roman"/>
                      <w:color w:val="auto"/>
                      <w:spacing w:val="-46"/>
                      <w:sz w:val="21"/>
                      <w:szCs w:val="21"/>
                      <w:u w:val="none"/>
                      <w:lang w:eastAsia="zh-CN"/>
                    </w:rPr>
                    <w:t xml:space="preserve"> </w:t>
                  </w:r>
                  <w:r>
                    <w:rPr>
                      <w:rFonts w:ascii="Times New Roman" w:hAnsi="Times New Roman" w:cs="Times New Roman"/>
                      <w:color w:val="auto"/>
                      <w:sz w:val="21"/>
                      <w:szCs w:val="21"/>
                      <w:u w:val="none"/>
                      <w:lang w:eastAsia="zh-CN"/>
                    </w:rPr>
                    <w:t>dB</w:t>
                  </w:r>
                  <w:r>
                    <w:rPr>
                      <w:rFonts w:ascii="Times New Roman" w:hAnsi="Times New Roman" w:cs="Times New Roman"/>
                      <w:color w:val="auto"/>
                      <w:spacing w:val="8"/>
                      <w:sz w:val="21"/>
                      <w:szCs w:val="21"/>
                      <w:u w:val="none"/>
                      <w:lang w:eastAsia="zh-CN"/>
                    </w:rPr>
                    <w:t>（A）</w:t>
                  </w:r>
                </w:p>
              </w:tc>
            </w:tr>
            <w:tr w14:paraId="3E6F7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11AE73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p>
              </w:tc>
              <w:tc>
                <w:tcPr>
                  <w:tcW w:w="487" w:type="pct"/>
                  <w:vMerge w:val="continue"/>
                  <w:noWrap w:val="0"/>
                  <w:vAlign w:val="center"/>
                </w:tcPr>
                <w:p w14:paraId="19F03E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p>
              </w:tc>
              <w:tc>
                <w:tcPr>
                  <w:tcW w:w="282" w:type="pct"/>
                  <w:vMerge w:val="continue"/>
                  <w:noWrap w:val="0"/>
                  <w:vAlign w:val="center"/>
                </w:tcPr>
                <w:p w14:paraId="571CA6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p>
              </w:tc>
              <w:tc>
                <w:tcPr>
                  <w:tcW w:w="354" w:type="pct"/>
                  <w:vMerge w:val="continue"/>
                  <w:noWrap w:val="0"/>
                  <w:vAlign w:val="center"/>
                </w:tcPr>
                <w:p w14:paraId="5BA87E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p>
              </w:tc>
              <w:tc>
                <w:tcPr>
                  <w:tcW w:w="388" w:type="pct"/>
                  <w:vMerge w:val="continue"/>
                  <w:noWrap w:val="0"/>
                  <w:vAlign w:val="center"/>
                </w:tcPr>
                <w:p w14:paraId="364FAA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p>
              </w:tc>
              <w:tc>
                <w:tcPr>
                  <w:tcW w:w="209" w:type="pct"/>
                  <w:noWrap w:val="0"/>
                  <w:vAlign w:val="center"/>
                </w:tcPr>
                <w:p w14:paraId="02CB99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rPr>
                  </w:pPr>
                  <w:r>
                    <w:rPr>
                      <w:rFonts w:ascii="Times New Roman" w:hAnsi="Times New Roman" w:cs="Times New Roman"/>
                      <w:color w:val="auto"/>
                      <w:sz w:val="21"/>
                      <w:u w:val="none"/>
                    </w:rPr>
                    <w:t>X</w:t>
                  </w:r>
                </w:p>
              </w:tc>
              <w:tc>
                <w:tcPr>
                  <w:tcW w:w="205" w:type="pct"/>
                  <w:noWrap w:val="0"/>
                  <w:vAlign w:val="center"/>
                </w:tcPr>
                <w:p w14:paraId="38342D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rPr>
                  </w:pPr>
                  <w:r>
                    <w:rPr>
                      <w:rFonts w:ascii="Times New Roman" w:hAnsi="Times New Roman" w:cs="Times New Roman"/>
                      <w:color w:val="auto"/>
                      <w:sz w:val="21"/>
                      <w:u w:val="none"/>
                    </w:rPr>
                    <w:t>Y</w:t>
                  </w:r>
                </w:p>
              </w:tc>
              <w:tc>
                <w:tcPr>
                  <w:tcW w:w="186" w:type="pct"/>
                  <w:noWrap w:val="0"/>
                  <w:vAlign w:val="center"/>
                </w:tcPr>
                <w:p w14:paraId="4701A4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rPr>
                  </w:pPr>
                  <w:r>
                    <w:rPr>
                      <w:rFonts w:ascii="Times New Roman" w:hAnsi="Times New Roman" w:cs="Times New Roman"/>
                      <w:color w:val="auto"/>
                      <w:sz w:val="21"/>
                      <w:u w:val="none"/>
                    </w:rPr>
                    <w:t>Z</w:t>
                  </w:r>
                </w:p>
              </w:tc>
              <w:tc>
                <w:tcPr>
                  <w:tcW w:w="213" w:type="pct"/>
                  <w:noWrap w:val="0"/>
                  <w:vAlign w:val="center"/>
                </w:tcPr>
                <w:p w14:paraId="57F0EEF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东</w:t>
                  </w:r>
                </w:p>
              </w:tc>
              <w:tc>
                <w:tcPr>
                  <w:tcW w:w="216" w:type="pct"/>
                  <w:noWrap w:val="0"/>
                  <w:vAlign w:val="center"/>
                </w:tcPr>
                <w:p w14:paraId="4ECDBF90">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南</w:t>
                  </w:r>
                </w:p>
              </w:tc>
              <w:tc>
                <w:tcPr>
                  <w:tcW w:w="213" w:type="pct"/>
                  <w:noWrap w:val="0"/>
                  <w:vAlign w:val="center"/>
                </w:tcPr>
                <w:p w14:paraId="0797C3D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西</w:t>
                  </w:r>
                </w:p>
              </w:tc>
              <w:tc>
                <w:tcPr>
                  <w:tcW w:w="230" w:type="pct"/>
                  <w:noWrap w:val="0"/>
                  <w:vAlign w:val="center"/>
                </w:tcPr>
                <w:p w14:paraId="3FAC3C18">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北</w:t>
                  </w:r>
                </w:p>
              </w:tc>
              <w:tc>
                <w:tcPr>
                  <w:tcW w:w="216" w:type="pct"/>
                  <w:noWrap w:val="0"/>
                  <w:vAlign w:val="center"/>
                </w:tcPr>
                <w:p w14:paraId="36F4F4E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东</w:t>
                  </w:r>
                </w:p>
              </w:tc>
              <w:tc>
                <w:tcPr>
                  <w:tcW w:w="223" w:type="pct"/>
                  <w:noWrap w:val="0"/>
                  <w:vAlign w:val="center"/>
                </w:tcPr>
                <w:p w14:paraId="0764DD2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南</w:t>
                  </w:r>
                </w:p>
              </w:tc>
              <w:tc>
                <w:tcPr>
                  <w:tcW w:w="209" w:type="pct"/>
                  <w:noWrap w:val="0"/>
                  <w:vAlign w:val="center"/>
                </w:tcPr>
                <w:p w14:paraId="22BDFDC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西</w:t>
                  </w:r>
                </w:p>
              </w:tc>
              <w:tc>
                <w:tcPr>
                  <w:tcW w:w="255" w:type="pct"/>
                  <w:noWrap w:val="0"/>
                  <w:vAlign w:val="center"/>
                </w:tcPr>
                <w:p w14:paraId="1187E483">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北</w:t>
                  </w:r>
                </w:p>
              </w:tc>
              <w:tc>
                <w:tcPr>
                  <w:tcW w:w="213" w:type="pct"/>
                  <w:vMerge w:val="continue"/>
                  <w:noWrap w:val="0"/>
                  <w:vAlign w:val="center"/>
                </w:tcPr>
                <w:p w14:paraId="51741C20">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rPr>
                  </w:pPr>
                </w:p>
              </w:tc>
              <w:tc>
                <w:tcPr>
                  <w:tcW w:w="676" w:type="pct"/>
                  <w:vMerge w:val="continue"/>
                  <w:noWrap w:val="0"/>
                  <w:vAlign w:val="center"/>
                </w:tcPr>
                <w:p w14:paraId="431268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rPr>
                  </w:pPr>
                </w:p>
              </w:tc>
            </w:tr>
            <w:tr w14:paraId="5C284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19" w:type="pct"/>
                  <w:vMerge w:val="restart"/>
                  <w:noWrap w:val="0"/>
                  <w:vAlign w:val="center"/>
                </w:tcPr>
                <w:p w14:paraId="1FF163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r>
                    <w:rPr>
                      <w:rFonts w:hint="eastAsia" w:ascii="Times New Roman" w:hAnsi="Times New Roman" w:cs="Times New Roman"/>
                      <w:color w:val="auto"/>
                      <w:sz w:val="21"/>
                      <w:u w:val="none"/>
                      <w:lang w:val="en-US" w:eastAsia="zh-CN"/>
                    </w:rPr>
                    <w:t>生产</w:t>
                  </w:r>
                  <w:r>
                    <w:rPr>
                      <w:rFonts w:ascii="Times New Roman" w:hAnsi="Times New Roman" w:cs="Times New Roman"/>
                      <w:color w:val="auto"/>
                      <w:sz w:val="21"/>
                      <w:u w:val="none"/>
                      <w:lang w:eastAsia="zh-CN"/>
                    </w:rPr>
                    <w:t>车间</w:t>
                  </w:r>
                </w:p>
              </w:tc>
              <w:tc>
                <w:tcPr>
                  <w:tcW w:w="487" w:type="pct"/>
                  <w:noWrap w:val="0"/>
                  <w:vAlign w:val="center"/>
                </w:tcPr>
                <w:p w14:paraId="5FC1F6C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pacing w:val="-2"/>
                      <w:sz w:val="21"/>
                      <w:szCs w:val="21"/>
                      <w:u w:val="none"/>
                      <w:lang w:val="en-US" w:eastAsia="zh-CN"/>
                    </w:rPr>
                  </w:pPr>
                  <w:r>
                    <w:rPr>
                      <w:rFonts w:hint="eastAsia" w:ascii="Times New Roman" w:hAnsi="Times New Roman" w:eastAsia="宋体" w:cs="Times New Roman"/>
                      <w:color w:val="auto"/>
                      <w:spacing w:val="-2"/>
                      <w:sz w:val="21"/>
                      <w:szCs w:val="21"/>
                      <w:u w:val="none"/>
                      <w:lang w:val="en-US" w:eastAsia="zh-CN"/>
                    </w:rPr>
                    <w:t>树脂砂处理线</w:t>
                  </w:r>
                </w:p>
              </w:tc>
              <w:tc>
                <w:tcPr>
                  <w:tcW w:w="282" w:type="pct"/>
                  <w:noWrap w:val="0"/>
                  <w:vAlign w:val="center"/>
                </w:tcPr>
                <w:p w14:paraId="0261B8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pacing w:val="-4"/>
                      <w:sz w:val="21"/>
                      <w:u w:val="none"/>
                      <w:lang w:val="en-US" w:eastAsia="zh-CN"/>
                    </w:rPr>
                  </w:pPr>
                  <w:r>
                    <w:rPr>
                      <w:rFonts w:hint="eastAsia" w:ascii="Times New Roman" w:hAnsi="Times New Roman" w:cs="Times New Roman"/>
                      <w:color w:val="auto"/>
                      <w:sz w:val="21"/>
                      <w:u w:val="none"/>
                      <w:lang w:val="en-US" w:eastAsia="zh-CN"/>
                    </w:rPr>
                    <w:t>85</w:t>
                  </w:r>
                </w:p>
              </w:tc>
              <w:tc>
                <w:tcPr>
                  <w:tcW w:w="354" w:type="pct"/>
                  <w:noWrap w:val="0"/>
                  <w:vAlign w:val="center"/>
                </w:tcPr>
                <w:p w14:paraId="40485D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rPr>
                  </w:pPr>
                  <w:r>
                    <w:rPr>
                      <w:rFonts w:ascii="Times New Roman" w:hAnsi="Times New Roman" w:cs="Times New Roman"/>
                      <w:color w:val="auto"/>
                      <w:kern w:val="2"/>
                      <w:sz w:val="21"/>
                      <w:u w:val="none"/>
                      <w:lang w:eastAsia="zh-CN"/>
                    </w:rPr>
                    <w:t>1</w:t>
                  </w:r>
                </w:p>
              </w:tc>
              <w:tc>
                <w:tcPr>
                  <w:tcW w:w="388" w:type="pct"/>
                  <w:vMerge w:val="restart"/>
                  <w:noWrap w:val="0"/>
                  <w:vAlign w:val="center"/>
                </w:tcPr>
                <w:p w14:paraId="49CFB13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r>
                    <w:rPr>
                      <w:rFonts w:ascii="Times New Roman" w:hAnsi="Times New Roman" w:cs="Times New Roman"/>
                      <w:color w:val="auto"/>
                      <w:sz w:val="21"/>
                      <w:szCs w:val="21"/>
                      <w:u w:val="none"/>
                      <w:lang w:eastAsia="zh-CN"/>
                    </w:rPr>
                    <w:t>设备合理布局；高噪设备采取基础减振、厂房隔声等降噪措施</w:t>
                  </w:r>
                </w:p>
              </w:tc>
              <w:tc>
                <w:tcPr>
                  <w:tcW w:w="563" w:type="dxa"/>
                  <w:noWrap w:val="0"/>
                  <w:vAlign w:val="center"/>
                </w:tcPr>
                <w:p w14:paraId="340C4F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27.2</w:t>
                  </w:r>
                </w:p>
              </w:tc>
              <w:tc>
                <w:tcPr>
                  <w:tcW w:w="552" w:type="dxa"/>
                  <w:noWrap w:val="0"/>
                  <w:vAlign w:val="center"/>
                </w:tcPr>
                <w:p w14:paraId="7543BF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11.9</w:t>
                  </w:r>
                </w:p>
              </w:tc>
              <w:tc>
                <w:tcPr>
                  <w:tcW w:w="186" w:type="pct"/>
                  <w:noWrap w:val="0"/>
                  <w:vAlign w:val="center"/>
                </w:tcPr>
                <w:p w14:paraId="2AAAD9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01A1B7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17.8</w:t>
                  </w:r>
                </w:p>
              </w:tc>
              <w:tc>
                <w:tcPr>
                  <w:tcW w:w="582" w:type="dxa"/>
                  <w:noWrap w:val="0"/>
                  <w:vAlign w:val="center"/>
                </w:tcPr>
                <w:p w14:paraId="2B6BEA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11.9</w:t>
                  </w:r>
                </w:p>
              </w:tc>
              <w:tc>
                <w:tcPr>
                  <w:tcW w:w="574" w:type="dxa"/>
                  <w:noWrap w:val="0"/>
                  <w:vAlign w:val="center"/>
                </w:tcPr>
                <w:p w14:paraId="5DE645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27.2</w:t>
                  </w:r>
                </w:p>
              </w:tc>
              <w:tc>
                <w:tcPr>
                  <w:tcW w:w="622" w:type="dxa"/>
                  <w:noWrap w:val="0"/>
                  <w:vAlign w:val="center"/>
                </w:tcPr>
                <w:p w14:paraId="5A80BF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99.2</w:t>
                  </w:r>
                </w:p>
              </w:tc>
              <w:tc>
                <w:tcPr>
                  <w:tcW w:w="582" w:type="dxa"/>
                  <w:noWrap w:val="0"/>
                  <w:vAlign w:val="center"/>
                </w:tcPr>
                <w:p w14:paraId="322484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60.0</w:t>
                  </w:r>
                </w:p>
              </w:tc>
              <w:tc>
                <w:tcPr>
                  <w:tcW w:w="601" w:type="dxa"/>
                  <w:noWrap w:val="0"/>
                  <w:vAlign w:val="center"/>
                </w:tcPr>
                <w:p w14:paraId="41CF3B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63.5</w:t>
                  </w:r>
                </w:p>
              </w:tc>
              <w:tc>
                <w:tcPr>
                  <w:tcW w:w="563" w:type="dxa"/>
                  <w:noWrap w:val="0"/>
                  <w:vAlign w:val="center"/>
                </w:tcPr>
                <w:p w14:paraId="7C08B8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56.3</w:t>
                  </w:r>
                </w:p>
              </w:tc>
              <w:tc>
                <w:tcPr>
                  <w:tcW w:w="687" w:type="dxa"/>
                  <w:noWrap w:val="0"/>
                  <w:vAlign w:val="center"/>
                </w:tcPr>
                <w:p w14:paraId="05847B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45.1</w:t>
                  </w:r>
                </w:p>
              </w:tc>
              <w:tc>
                <w:tcPr>
                  <w:tcW w:w="213" w:type="pct"/>
                  <w:noWrap w:val="0"/>
                  <w:vAlign w:val="center"/>
                </w:tcPr>
                <w:p w14:paraId="4545F8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restart"/>
                  <w:noWrap w:val="0"/>
                  <w:vAlign w:val="center"/>
                </w:tcPr>
                <w:p w14:paraId="13449F2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r>
                    <w:rPr>
                      <w:rFonts w:ascii="Times New Roman" w:hAnsi="Times New Roman" w:cs="Times New Roman"/>
                      <w:color w:val="auto"/>
                      <w:spacing w:val="-2"/>
                      <w:sz w:val="21"/>
                      <w:szCs w:val="21"/>
                      <w:u w:val="none"/>
                      <w:lang w:eastAsia="zh-CN"/>
                    </w:rPr>
                    <w:t>经过选择低噪声设备；车间内设备合理布局；高噪设备采取基础减振、厂房隔声等降噪措施；设备定期维修，保证正常运转，声</w:t>
                  </w:r>
                  <w:r>
                    <w:rPr>
                      <w:rFonts w:ascii="Times New Roman" w:hAnsi="Times New Roman" w:cs="Times New Roman"/>
                      <w:color w:val="auto"/>
                      <w:spacing w:val="-1"/>
                      <w:sz w:val="21"/>
                      <w:szCs w:val="21"/>
                      <w:u w:val="none"/>
                      <w:lang w:eastAsia="zh-CN"/>
                    </w:rPr>
                    <w:t>源降低</w:t>
                  </w:r>
                  <w:r>
                    <w:rPr>
                      <w:rFonts w:ascii="Times New Roman" w:hAnsi="Times New Roman" w:cs="Times New Roman"/>
                      <w:color w:val="auto"/>
                      <w:spacing w:val="-6"/>
                      <w:sz w:val="21"/>
                      <w:szCs w:val="21"/>
                      <w:u w:val="none"/>
                      <w:lang w:eastAsia="zh-CN"/>
                    </w:rPr>
                    <w:t>20dB</w:t>
                  </w:r>
                  <w:r>
                    <w:rPr>
                      <w:rFonts w:ascii="Times New Roman" w:hAnsi="Times New Roman" w:cs="Times New Roman"/>
                      <w:color w:val="auto"/>
                      <w:spacing w:val="-5"/>
                      <w:sz w:val="21"/>
                      <w:szCs w:val="21"/>
                      <w:u w:val="none"/>
                      <w:lang w:eastAsia="zh-CN"/>
                    </w:rPr>
                    <w:t>（A）</w:t>
                  </w:r>
                </w:p>
              </w:tc>
            </w:tr>
            <w:tr w14:paraId="3472F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3ABA80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487" w:type="pct"/>
                  <w:noWrap w:val="0"/>
                  <w:vAlign w:val="center"/>
                </w:tcPr>
                <w:p w14:paraId="4831854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pacing w:val="-2"/>
                      <w:sz w:val="21"/>
                      <w:szCs w:val="21"/>
                      <w:u w:val="none"/>
                      <w:lang w:val="en-US" w:eastAsia="zh-CN"/>
                    </w:rPr>
                  </w:pPr>
                  <w:r>
                    <w:rPr>
                      <w:rFonts w:hint="eastAsia"/>
                      <w:color w:val="000000"/>
                      <w:sz w:val="21"/>
                      <w:szCs w:val="21"/>
                      <w:highlight w:val="none"/>
                      <w:lang w:val="en-US" w:eastAsia="zh-CN"/>
                    </w:rPr>
                    <w:t>移动式混砂机</w:t>
                  </w:r>
                </w:p>
              </w:tc>
              <w:tc>
                <w:tcPr>
                  <w:tcW w:w="282" w:type="pct"/>
                  <w:noWrap w:val="0"/>
                  <w:vAlign w:val="center"/>
                </w:tcPr>
                <w:p w14:paraId="05279B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80</w:t>
                  </w:r>
                </w:p>
              </w:tc>
              <w:tc>
                <w:tcPr>
                  <w:tcW w:w="354" w:type="pct"/>
                  <w:noWrap w:val="0"/>
                  <w:vAlign w:val="center"/>
                </w:tcPr>
                <w:p w14:paraId="1EB3C4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u w:val="none"/>
                      <w:lang w:val="en-US" w:eastAsia="zh-CN"/>
                    </w:rPr>
                  </w:pPr>
                  <w:r>
                    <w:rPr>
                      <w:rFonts w:hint="eastAsia" w:ascii="Times New Roman" w:hAnsi="Times New Roman" w:cs="Times New Roman"/>
                      <w:color w:val="auto"/>
                      <w:sz w:val="21"/>
                      <w:u w:val="none"/>
                      <w:lang w:val="en-US" w:eastAsia="zh-CN"/>
                    </w:rPr>
                    <w:t>1</w:t>
                  </w:r>
                </w:p>
              </w:tc>
              <w:tc>
                <w:tcPr>
                  <w:tcW w:w="388" w:type="pct"/>
                  <w:vMerge w:val="continue"/>
                  <w:noWrap w:val="0"/>
                  <w:vAlign w:val="center"/>
                </w:tcPr>
                <w:p w14:paraId="421145C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65CC7D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25.1</w:t>
                  </w:r>
                </w:p>
              </w:tc>
              <w:tc>
                <w:tcPr>
                  <w:tcW w:w="552" w:type="dxa"/>
                  <w:noWrap w:val="0"/>
                  <w:vAlign w:val="center"/>
                </w:tcPr>
                <w:p w14:paraId="06071C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49.1</w:t>
                  </w:r>
                </w:p>
              </w:tc>
              <w:tc>
                <w:tcPr>
                  <w:tcW w:w="186" w:type="pct"/>
                  <w:noWrap w:val="0"/>
                  <w:vAlign w:val="center"/>
                </w:tcPr>
                <w:p w14:paraId="57D123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2DDDD9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19.9</w:t>
                  </w:r>
                </w:p>
              </w:tc>
              <w:tc>
                <w:tcPr>
                  <w:tcW w:w="582" w:type="dxa"/>
                  <w:noWrap w:val="0"/>
                  <w:vAlign w:val="center"/>
                </w:tcPr>
                <w:p w14:paraId="1252CF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49.1</w:t>
                  </w:r>
                </w:p>
              </w:tc>
              <w:tc>
                <w:tcPr>
                  <w:tcW w:w="574" w:type="dxa"/>
                  <w:noWrap w:val="0"/>
                  <w:vAlign w:val="center"/>
                </w:tcPr>
                <w:p w14:paraId="5CC140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25.1</w:t>
                  </w:r>
                </w:p>
              </w:tc>
              <w:tc>
                <w:tcPr>
                  <w:tcW w:w="622" w:type="dxa"/>
                  <w:noWrap w:val="0"/>
                  <w:vAlign w:val="center"/>
                </w:tcPr>
                <w:p w14:paraId="167471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62.0</w:t>
                  </w:r>
                </w:p>
              </w:tc>
              <w:tc>
                <w:tcPr>
                  <w:tcW w:w="582" w:type="dxa"/>
                  <w:noWrap w:val="0"/>
                  <w:vAlign w:val="center"/>
                </w:tcPr>
                <w:p w14:paraId="1A1E8F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54.0</w:t>
                  </w:r>
                </w:p>
              </w:tc>
              <w:tc>
                <w:tcPr>
                  <w:tcW w:w="601" w:type="dxa"/>
                  <w:noWrap w:val="0"/>
                  <w:vAlign w:val="center"/>
                </w:tcPr>
                <w:p w14:paraId="1EAB0A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46.2</w:t>
                  </w:r>
                </w:p>
              </w:tc>
              <w:tc>
                <w:tcPr>
                  <w:tcW w:w="563" w:type="dxa"/>
                  <w:noWrap w:val="0"/>
                  <w:vAlign w:val="center"/>
                </w:tcPr>
                <w:p w14:paraId="237D1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52.0</w:t>
                  </w:r>
                </w:p>
              </w:tc>
              <w:tc>
                <w:tcPr>
                  <w:tcW w:w="687" w:type="dxa"/>
                  <w:noWrap w:val="0"/>
                  <w:vAlign w:val="center"/>
                </w:tcPr>
                <w:p w14:paraId="4D0B26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44.2</w:t>
                  </w:r>
                </w:p>
              </w:tc>
              <w:tc>
                <w:tcPr>
                  <w:tcW w:w="213" w:type="pct"/>
                  <w:noWrap w:val="0"/>
                  <w:vAlign w:val="center"/>
                </w:tcPr>
                <w:p w14:paraId="381D9B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020A9D3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1514C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47C6C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487" w:type="pct"/>
                  <w:noWrap w:val="0"/>
                  <w:vAlign w:val="center"/>
                </w:tcPr>
                <w:p w14:paraId="7BC0E53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pacing w:val="-2"/>
                      <w:sz w:val="21"/>
                      <w:szCs w:val="21"/>
                      <w:u w:val="none"/>
                      <w:lang w:val="en-US" w:eastAsia="zh-CN"/>
                    </w:rPr>
                  </w:pPr>
                  <w:r>
                    <w:rPr>
                      <w:rFonts w:hint="eastAsia"/>
                      <w:color w:val="000000"/>
                      <w:sz w:val="21"/>
                      <w:szCs w:val="21"/>
                      <w:highlight w:val="none"/>
                      <w:lang w:val="en-US" w:eastAsia="zh-CN"/>
                    </w:rPr>
                    <w:t>固定式混砂机</w:t>
                  </w:r>
                </w:p>
              </w:tc>
              <w:tc>
                <w:tcPr>
                  <w:tcW w:w="760" w:type="dxa"/>
                  <w:noWrap w:val="0"/>
                  <w:vAlign w:val="center"/>
                </w:tcPr>
                <w:p w14:paraId="20DFC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80</w:t>
                  </w:r>
                </w:p>
              </w:tc>
              <w:tc>
                <w:tcPr>
                  <w:tcW w:w="954" w:type="dxa"/>
                  <w:noWrap w:val="0"/>
                  <w:vAlign w:val="center"/>
                </w:tcPr>
                <w:p w14:paraId="693F5C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u w:val="none"/>
                      <w:lang w:val="en-US" w:eastAsia="zh-CN"/>
                    </w:rPr>
                  </w:pPr>
                  <w:r>
                    <w:rPr>
                      <w:rFonts w:hint="eastAsia" w:ascii="Times New Roman" w:hAnsi="Times New Roman" w:cs="Times New Roman"/>
                      <w:color w:val="auto"/>
                      <w:sz w:val="21"/>
                      <w:u w:val="none"/>
                      <w:lang w:val="en-US" w:eastAsia="zh-CN"/>
                    </w:rPr>
                    <w:t>1</w:t>
                  </w:r>
                </w:p>
              </w:tc>
              <w:tc>
                <w:tcPr>
                  <w:tcW w:w="388" w:type="pct"/>
                  <w:vMerge w:val="continue"/>
                  <w:noWrap w:val="0"/>
                  <w:vAlign w:val="center"/>
                </w:tcPr>
                <w:p w14:paraId="343CEF9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6DD33D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22.1</w:t>
                  </w:r>
                </w:p>
              </w:tc>
              <w:tc>
                <w:tcPr>
                  <w:tcW w:w="552" w:type="dxa"/>
                  <w:noWrap w:val="0"/>
                  <w:vAlign w:val="center"/>
                </w:tcPr>
                <w:p w14:paraId="73500C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39.1</w:t>
                  </w:r>
                </w:p>
              </w:tc>
              <w:tc>
                <w:tcPr>
                  <w:tcW w:w="186" w:type="pct"/>
                  <w:noWrap w:val="0"/>
                  <w:vAlign w:val="center"/>
                </w:tcPr>
                <w:p w14:paraId="3FB900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1FB28E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22.9</w:t>
                  </w:r>
                </w:p>
              </w:tc>
              <w:tc>
                <w:tcPr>
                  <w:tcW w:w="582" w:type="dxa"/>
                  <w:noWrap w:val="0"/>
                  <w:vAlign w:val="center"/>
                </w:tcPr>
                <w:p w14:paraId="03190F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39.1</w:t>
                  </w:r>
                </w:p>
              </w:tc>
              <w:tc>
                <w:tcPr>
                  <w:tcW w:w="574" w:type="dxa"/>
                  <w:noWrap w:val="0"/>
                  <w:vAlign w:val="center"/>
                </w:tcPr>
                <w:p w14:paraId="0C4EEB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22.1</w:t>
                  </w:r>
                </w:p>
              </w:tc>
              <w:tc>
                <w:tcPr>
                  <w:tcW w:w="622" w:type="dxa"/>
                  <w:noWrap w:val="0"/>
                  <w:vAlign w:val="center"/>
                </w:tcPr>
                <w:p w14:paraId="6B8DFA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72.0</w:t>
                  </w:r>
                </w:p>
              </w:tc>
              <w:tc>
                <w:tcPr>
                  <w:tcW w:w="582" w:type="dxa"/>
                  <w:noWrap w:val="0"/>
                  <w:vAlign w:val="center"/>
                </w:tcPr>
                <w:p w14:paraId="7791EF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52.8</w:t>
                  </w:r>
                </w:p>
              </w:tc>
              <w:tc>
                <w:tcPr>
                  <w:tcW w:w="601" w:type="dxa"/>
                  <w:noWrap w:val="0"/>
                  <w:vAlign w:val="center"/>
                </w:tcPr>
                <w:p w14:paraId="308883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48.2</w:t>
                  </w:r>
                </w:p>
              </w:tc>
              <w:tc>
                <w:tcPr>
                  <w:tcW w:w="563" w:type="dxa"/>
                  <w:noWrap w:val="0"/>
                  <w:vAlign w:val="center"/>
                </w:tcPr>
                <w:p w14:paraId="4F5F3D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53.1</w:t>
                  </w:r>
                </w:p>
              </w:tc>
              <w:tc>
                <w:tcPr>
                  <w:tcW w:w="687" w:type="dxa"/>
                  <w:noWrap w:val="0"/>
                  <w:vAlign w:val="center"/>
                </w:tcPr>
                <w:p w14:paraId="53CE70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42.9</w:t>
                  </w:r>
                </w:p>
              </w:tc>
              <w:tc>
                <w:tcPr>
                  <w:tcW w:w="213" w:type="pct"/>
                  <w:noWrap w:val="0"/>
                  <w:vAlign w:val="center"/>
                </w:tcPr>
                <w:p w14:paraId="01FAB5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3C2AE8B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7BB4D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263740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487" w:type="pct"/>
                  <w:noWrap w:val="0"/>
                  <w:vAlign w:val="center"/>
                </w:tcPr>
                <w:p w14:paraId="31225C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u w:val="none"/>
                      <w:lang w:val="en-US" w:eastAsia="zh-CN"/>
                    </w:rPr>
                  </w:pPr>
                  <w:r>
                    <w:rPr>
                      <w:rFonts w:hint="eastAsia"/>
                      <w:color w:val="000000"/>
                      <w:sz w:val="21"/>
                      <w:szCs w:val="21"/>
                      <w:highlight w:val="none"/>
                      <w:lang w:val="en-US" w:eastAsia="zh-CN"/>
                    </w:rPr>
                    <w:t>打磨机</w:t>
                  </w:r>
                </w:p>
              </w:tc>
              <w:tc>
                <w:tcPr>
                  <w:tcW w:w="282" w:type="pct"/>
                  <w:noWrap w:val="0"/>
                  <w:vAlign w:val="center"/>
                </w:tcPr>
                <w:p w14:paraId="1F6FDD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70</w:t>
                  </w:r>
                </w:p>
              </w:tc>
              <w:tc>
                <w:tcPr>
                  <w:tcW w:w="354" w:type="pct"/>
                  <w:noWrap w:val="0"/>
                  <w:vAlign w:val="center"/>
                </w:tcPr>
                <w:p w14:paraId="45316E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u w:val="none"/>
                      <w:lang w:val="en-US" w:eastAsia="zh-CN"/>
                    </w:rPr>
                  </w:pPr>
                  <w:r>
                    <w:rPr>
                      <w:rFonts w:hint="eastAsia" w:ascii="Times New Roman" w:hAnsi="Times New Roman" w:cs="Times New Roman"/>
                      <w:color w:val="auto"/>
                      <w:sz w:val="21"/>
                      <w:u w:val="none"/>
                      <w:lang w:val="en-US" w:eastAsia="zh-CN"/>
                    </w:rPr>
                    <w:t>20</w:t>
                  </w:r>
                </w:p>
              </w:tc>
              <w:tc>
                <w:tcPr>
                  <w:tcW w:w="388" w:type="pct"/>
                  <w:vMerge w:val="continue"/>
                  <w:noWrap w:val="0"/>
                  <w:vAlign w:val="center"/>
                </w:tcPr>
                <w:p w14:paraId="7C2583EF">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0C49F8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552" w:type="dxa"/>
                  <w:noWrap w:val="0"/>
                  <w:vAlign w:val="center"/>
                </w:tcPr>
                <w:p w14:paraId="1C5CBC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79.3</w:t>
                  </w:r>
                </w:p>
              </w:tc>
              <w:tc>
                <w:tcPr>
                  <w:tcW w:w="186" w:type="pct"/>
                  <w:noWrap w:val="0"/>
                  <w:vAlign w:val="center"/>
                </w:tcPr>
                <w:p w14:paraId="69F18F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3B2118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33.7</w:t>
                  </w:r>
                </w:p>
              </w:tc>
              <w:tc>
                <w:tcPr>
                  <w:tcW w:w="582" w:type="dxa"/>
                  <w:noWrap w:val="0"/>
                  <w:vAlign w:val="center"/>
                </w:tcPr>
                <w:p w14:paraId="5C190E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79.3</w:t>
                  </w:r>
                </w:p>
              </w:tc>
              <w:tc>
                <w:tcPr>
                  <w:tcW w:w="574" w:type="dxa"/>
                  <w:noWrap w:val="0"/>
                  <w:vAlign w:val="center"/>
                </w:tcPr>
                <w:p w14:paraId="43B023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622" w:type="dxa"/>
                  <w:noWrap w:val="0"/>
                  <w:vAlign w:val="center"/>
                </w:tcPr>
                <w:p w14:paraId="28C759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31.8</w:t>
                  </w:r>
                </w:p>
              </w:tc>
              <w:tc>
                <w:tcPr>
                  <w:tcW w:w="582" w:type="dxa"/>
                  <w:noWrap w:val="0"/>
                  <w:vAlign w:val="center"/>
                </w:tcPr>
                <w:p w14:paraId="37A162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52.5</w:t>
                  </w:r>
                </w:p>
              </w:tc>
              <w:tc>
                <w:tcPr>
                  <w:tcW w:w="601" w:type="dxa"/>
                  <w:noWrap w:val="0"/>
                  <w:vAlign w:val="center"/>
                </w:tcPr>
                <w:p w14:paraId="6CF231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45.0</w:t>
                  </w:r>
                </w:p>
              </w:tc>
              <w:tc>
                <w:tcPr>
                  <w:tcW w:w="563" w:type="dxa"/>
                  <w:noWrap w:val="0"/>
                  <w:vAlign w:val="center"/>
                </w:tcPr>
                <w:p w14:paraId="1291C0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61.9</w:t>
                  </w:r>
                </w:p>
              </w:tc>
              <w:tc>
                <w:tcPr>
                  <w:tcW w:w="687" w:type="dxa"/>
                  <w:noWrap w:val="0"/>
                  <w:vAlign w:val="center"/>
                </w:tcPr>
                <w:p w14:paraId="4C50F5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kern w:val="2"/>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53.0</w:t>
                  </w:r>
                </w:p>
              </w:tc>
              <w:tc>
                <w:tcPr>
                  <w:tcW w:w="213" w:type="pct"/>
                  <w:noWrap w:val="0"/>
                  <w:vAlign w:val="center"/>
                </w:tcPr>
                <w:p w14:paraId="23798B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1239D5F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7DBA8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502BE7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487" w:type="pct"/>
                  <w:noWrap w:val="0"/>
                  <w:vAlign w:val="center"/>
                </w:tcPr>
                <w:p w14:paraId="65F8E2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r>
                    <w:rPr>
                      <w:rFonts w:hint="eastAsia"/>
                      <w:color w:val="000000"/>
                      <w:sz w:val="21"/>
                      <w:szCs w:val="21"/>
                      <w:highlight w:val="none"/>
                      <w:lang w:val="en-US" w:eastAsia="zh-CN"/>
                    </w:rPr>
                    <w:t>切割机</w:t>
                  </w:r>
                </w:p>
              </w:tc>
              <w:tc>
                <w:tcPr>
                  <w:tcW w:w="282" w:type="pct"/>
                  <w:noWrap w:val="0"/>
                  <w:vAlign w:val="center"/>
                </w:tcPr>
                <w:p w14:paraId="662FA2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75</w:t>
                  </w:r>
                </w:p>
              </w:tc>
              <w:tc>
                <w:tcPr>
                  <w:tcW w:w="354" w:type="pct"/>
                  <w:noWrap w:val="0"/>
                  <w:vAlign w:val="center"/>
                </w:tcPr>
                <w:p w14:paraId="71797E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21"/>
                      <w:u w:val="none"/>
                      <w:lang w:val="en-US" w:eastAsia="zh-CN"/>
                    </w:rPr>
                  </w:pPr>
                  <w:r>
                    <w:rPr>
                      <w:rFonts w:hint="eastAsia" w:ascii="Times New Roman" w:hAnsi="Times New Roman" w:cs="Times New Roman"/>
                      <w:color w:val="auto"/>
                      <w:sz w:val="21"/>
                      <w:u w:val="none"/>
                      <w:lang w:val="en-US" w:eastAsia="zh-CN"/>
                    </w:rPr>
                    <w:t>2</w:t>
                  </w:r>
                </w:p>
              </w:tc>
              <w:tc>
                <w:tcPr>
                  <w:tcW w:w="388" w:type="pct"/>
                  <w:vMerge w:val="continue"/>
                  <w:noWrap w:val="0"/>
                  <w:vAlign w:val="center"/>
                </w:tcPr>
                <w:p w14:paraId="154E203E">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34F7C9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10.2</w:t>
                  </w:r>
                </w:p>
              </w:tc>
              <w:tc>
                <w:tcPr>
                  <w:tcW w:w="552" w:type="dxa"/>
                  <w:noWrap w:val="0"/>
                  <w:vAlign w:val="center"/>
                </w:tcPr>
                <w:p w14:paraId="79EF4F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70.8</w:t>
                  </w:r>
                </w:p>
              </w:tc>
              <w:tc>
                <w:tcPr>
                  <w:tcW w:w="186" w:type="pct"/>
                  <w:noWrap w:val="0"/>
                  <w:vAlign w:val="center"/>
                </w:tcPr>
                <w:p w14:paraId="66029C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7113B0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34.8</w:t>
                  </w:r>
                </w:p>
              </w:tc>
              <w:tc>
                <w:tcPr>
                  <w:tcW w:w="582" w:type="dxa"/>
                  <w:noWrap w:val="0"/>
                  <w:vAlign w:val="center"/>
                </w:tcPr>
                <w:p w14:paraId="08B56F6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bCs/>
                      <w:color w:val="auto"/>
                      <w:sz w:val="21"/>
                      <w:szCs w:val="21"/>
                      <w:u w:val="none"/>
                      <w:lang w:eastAsia="zh-CN"/>
                    </w:rPr>
                  </w:pPr>
                  <w:r>
                    <w:rPr>
                      <w:rFonts w:hint="default" w:ascii="Times New Roman" w:hAnsi="Times New Roman" w:eastAsia="宋体" w:cs="Times New Roman"/>
                      <w:i w:val="0"/>
                      <w:iCs w:val="0"/>
                      <w:color w:val="000000"/>
                      <w:kern w:val="0"/>
                      <w:sz w:val="21"/>
                      <w:szCs w:val="21"/>
                      <w:u w:val="none"/>
                      <w:lang w:val="en-US" w:eastAsia="zh-CN" w:bidi="ar"/>
                    </w:rPr>
                    <w:t>70.8</w:t>
                  </w:r>
                </w:p>
              </w:tc>
              <w:tc>
                <w:tcPr>
                  <w:tcW w:w="574" w:type="dxa"/>
                  <w:noWrap w:val="0"/>
                  <w:vAlign w:val="center"/>
                </w:tcPr>
                <w:p w14:paraId="0AAE7C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10.2</w:t>
                  </w:r>
                </w:p>
              </w:tc>
              <w:tc>
                <w:tcPr>
                  <w:tcW w:w="622" w:type="dxa"/>
                  <w:noWrap w:val="0"/>
                  <w:vAlign w:val="center"/>
                </w:tcPr>
                <w:p w14:paraId="7210E9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40.3</w:t>
                  </w:r>
                </w:p>
              </w:tc>
              <w:tc>
                <w:tcPr>
                  <w:tcW w:w="582" w:type="dxa"/>
                  <w:noWrap w:val="0"/>
                  <w:vAlign w:val="center"/>
                </w:tcPr>
                <w:p w14:paraId="70B635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47.2</w:t>
                  </w:r>
                </w:p>
              </w:tc>
              <w:tc>
                <w:tcPr>
                  <w:tcW w:w="601" w:type="dxa"/>
                  <w:noWrap w:val="0"/>
                  <w:vAlign w:val="center"/>
                </w:tcPr>
                <w:p w14:paraId="157370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41.0</w:t>
                  </w:r>
                </w:p>
              </w:tc>
              <w:tc>
                <w:tcPr>
                  <w:tcW w:w="563" w:type="dxa"/>
                  <w:noWrap w:val="0"/>
                  <w:vAlign w:val="center"/>
                </w:tcPr>
                <w:p w14:paraId="212A12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57.8</w:t>
                  </w:r>
                </w:p>
              </w:tc>
              <w:tc>
                <w:tcPr>
                  <w:tcW w:w="687" w:type="dxa"/>
                  <w:noWrap w:val="0"/>
                  <w:vAlign w:val="center"/>
                </w:tcPr>
                <w:p w14:paraId="016C24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213" w:type="pct"/>
                  <w:noWrap w:val="0"/>
                  <w:vAlign w:val="center"/>
                </w:tcPr>
                <w:p w14:paraId="42D22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61F6E25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3551C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63ECB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487" w:type="pct"/>
                  <w:noWrap w:val="0"/>
                  <w:vAlign w:val="center"/>
                </w:tcPr>
                <w:p w14:paraId="5A8B3A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szCs w:val="21"/>
                      <w:u w:val="none"/>
                      <w:lang w:val="en-US" w:eastAsia="zh-CN"/>
                    </w:rPr>
                  </w:pPr>
                  <w:r>
                    <w:rPr>
                      <w:rFonts w:hint="eastAsia"/>
                      <w:color w:val="000000"/>
                      <w:sz w:val="21"/>
                      <w:szCs w:val="21"/>
                      <w:highlight w:val="none"/>
                      <w:lang w:val="en-US" w:eastAsia="zh-CN"/>
                    </w:rPr>
                    <w:t>吊钩式抛丸机</w:t>
                  </w:r>
                </w:p>
              </w:tc>
              <w:tc>
                <w:tcPr>
                  <w:tcW w:w="282" w:type="pct"/>
                  <w:noWrap w:val="0"/>
                  <w:vAlign w:val="center"/>
                </w:tcPr>
                <w:p w14:paraId="249D9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85</w:t>
                  </w:r>
                </w:p>
              </w:tc>
              <w:tc>
                <w:tcPr>
                  <w:tcW w:w="354" w:type="pct"/>
                  <w:noWrap w:val="0"/>
                  <w:vAlign w:val="center"/>
                </w:tcPr>
                <w:p w14:paraId="7447B0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rPr>
                  </w:pPr>
                  <w:r>
                    <w:rPr>
                      <w:rFonts w:hint="eastAsia" w:ascii="Times New Roman" w:hAnsi="Times New Roman" w:cs="Times New Roman"/>
                      <w:color w:val="auto"/>
                      <w:sz w:val="21"/>
                      <w:u w:val="none"/>
                      <w:lang w:val="en-US" w:eastAsia="zh-CN"/>
                    </w:rPr>
                    <w:t>1</w:t>
                  </w:r>
                </w:p>
              </w:tc>
              <w:tc>
                <w:tcPr>
                  <w:tcW w:w="388" w:type="pct"/>
                  <w:vMerge w:val="continue"/>
                  <w:noWrap w:val="0"/>
                  <w:vAlign w:val="center"/>
                </w:tcPr>
                <w:p w14:paraId="38A0423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772ADC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15.9</w:t>
                  </w:r>
                </w:p>
              </w:tc>
              <w:tc>
                <w:tcPr>
                  <w:tcW w:w="552" w:type="dxa"/>
                  <w:noWrap w:val="0"/>
                  <w:vAlign w:val="center"/>
                </w:tcPr>
                <w:p w14:paraId="0D6751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23.5</w:t>
                  </w:r>
                </w:p>
              </w:tc>
              <w:tc>
                <w:tcPr>
                  <w:tcW w:w="186" w:type="pct"/>
                  <w:noWrap w:val="0"/>
                  <w:vAlign w:val="center"/>
                </w:tcPr>
                <w:p w14:paraId="460F24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5F5D9A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29.1</w:t>
                  </w:r>
                </w:p>
              </w:tc>
              <w:tc>
                <w:tcPr>
                  <w:tcW w:w="582" w:type="dxa"/>
                  <w:noWrap w:val="0"/>
                  <w:vAlign w:val="center"/>
                </w:tcPr>
                <w:p w14:paraId="6E2113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23.5</w:t>
                  </w:r>
                </w:p>
              </w:tc>
              <w:tc>
                <w:tcPr>
                  <w:tcW w:w="574" w:type="dxa"/>
                  <w:noWrap w:val="0"/>
                  <w:vAlign w:val="center"/>
                </w:tcPr>
                <w:p w14:paraId="372B14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15.9</w:t>
                  </w:r>
                </w:p>
              </w:tc>
              <w:tc>
                <w:tcPr>
                  <w:tcW w:w="622" w:type="dxa"/>
                  <w:noWrap w:val="0"/>
                  <w:vAlign w:val="center"/>
                </w:tcPr>
                <w:p w14:paraId="226F1A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87.6</w:t>
                  </w:r>
                </w:p>
              </w:tc>
              <w:tc>
                <w:tcPr>
                  <w:tcW w:w="582" w:type="dxa"/>
                  <w:noWrap w:val="0"/>
                  <w:vAlign w:val="center"/>
                </w:tcPr>
                <w:p w14:paraId="0BED12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55.7</w:t>
                  </w:r>
                </w:p>
              </w:tc>
              <w:tc>
                <w:tcPr>
                  <w:tcW w:w="601" w:type="dxa"/>
                  <w:noWrap w:val="0"/>
                  <w:vAlign w:val="center"/>
                </w:tcPr>
                <w:p w14:paraId="7BF582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57.6</w:t>
                  </w:r>
                </w:p>
              </w:tc>
              <w:tc>
                <w:tcPr>
                  <w:tcW w:w="563" w:type="dxa"/>
                  <w:noWrap w:val="0"/>
                  <w:vAlign w:val="center"/>
                </w:tcPr>
                <w:p w14:paraId="14E2F4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61.0</w:t>
                  </w:r>
                </w:p>
              </w:tc>
              <w:tc>
                <w:tcPr>
                  <w:tcW w:w="687" w:type="dxa"/>
                  <w:noWrap w:val="0"/>
                  <w:vAlign w:val="center"/>
                </w:tcPr>
                <w:p w14:paraId="25FDA1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46.1</w:t>
                  </w:r>
                </w:p>
              </w:tc>
              <w:tc>
                <w:tcPr>
                  <w:tcW w:w="213" w:type="pct"/>
                  <w:noWrap w:val="0"/>
                  <w:vAlign w:val="center"/>
                </w:tcPr>
                <w:p w14:paraId="36CB2B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58012EA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3C255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5817B4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1312" w:type="dxa"/>
                  <w:noWrap w:val="0"/>
                  <w:vAlign w:val="center"/>
                </w:tcPr>
                <w:p w14:paraId="454866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szCs w:val="21"/>
                      <w:u w:val="none"/>
                      <w:lang w:val="en-US" w:eastAsia="zh-CN"/>
                    </w:rPr>
                  </w:pPr>
                  <w:r>
                    <w:rPr>
                      <w:rFonts w:hint="eastAsia" w:cs="Times New Roman"/>
                      <w:color w:val="auto"/>
                      <w:spacing w:val="-2"/>
                      <w:sz w:val="21"/>
                      <w:szCs w:val="21"/>
                      <w:u w:val="none"/>
                      <w:lang w:val="en-US" w:eastAsia="zh-CN"/>
                    </w:rPr>
                    <w:t>DA001风机</w:t>
                  </w:r>
                </w:p>
              </w:tc>
              <w:tc>
                <w:tcPr>
                  <w:tcW w:w="760" w:type="dxa"/>
                  <w:noWrap w:val="0"/>
                  <w:vAlign w:val="center"/>
                </w:tcPr>
                <w:p w14:paraId="19621A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75</w:t>
                  </w:r>
                </w:p>
              </w:tc>
              <w:tc>
                <w:tcPr>
                  <w:tcW w:w="954" w:type="dxa"/>
                  <w:noWrap w:val="0"/>
                  <w:vAlign w:val="center"/>
                </w:tcPr>
                <w:p w14:paraId="4F348A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1</w:t>
                  </w:r>
                </w:p>
              </w:tc>
              <w:tc>
                <w:tcPr>
                  <w:tcW w:w="388" w:type="pct"/>
                  <w:vMerge w:val="continue"/>
                  <w:noWrap w:val="0"/>
                  <w:vAlign w:val="center"/>
                </w:tcPr>
                <w:p w14:paraId="3B9B090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799EDD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35.9</w:t>
                  </w:r>
                </w:p>
              </w:tc>
              <w:tc>
                <w:tcPr>
                  <w:tcW w:w="552" w:type="dxa"/>
                  <w:noWrap w:val="0"/>
                  <w:vAlign w:val="center"/>
                </w:tcPr>
                <w:p w14:paraId="319B58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109.0</w:t>
                  </w:r>
                </w:p>
              </w:tc>
              <w:tc>
                <w:tcPr>
                  <w:tcW w:w="186" w:type="pct"/>
                  <w:noWrap w:val="0"/>
                  <w:vAlign w:val="center"/>
                </w:tcPr>
                <w:p w14:paraId="29E733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3C6F27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w:t>
                  </w:r>
                </w:p>
              </w:tc>
              <w:tc>
                <w:tcPr>
                  <w:tcW w:w="582" w:type="dxa"/>
                  <w:noWrap w:val="0"/>
                  <w:vAlign w:val="center"/>
                </w:tcPr>
                <w:p w14:paraId="019A82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109.0</w:t>
                  </w:r>
                </w:p>
              </w:tc>
              <w:tc>
                <w:tcPr>
                  <w:tcW w:w="574" w:type="dxa"/>
                  <w:noWrap w:val="0"/>
                  <w:vAlign w:val="center"/>
                </w:tcPr>
                <w:p w14:paraId="5B1A08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35.9</w:t>
                  </w:r>
                </w:p>
              </w:tc>
              <w:tc>
                <w:tcPr>
                  <w:tcW w:w="622" w:type="dxa"/>
                  <w:noWrap w:val="0"/>
                  <w:vAlign w:val="center"/>
                </w:tcPr>
                <w:p w14:paraId="2727B7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582" w:type="dxa"/>
                  <w:noWrap w:val="0"/>
                  <w:vAlign w:val="center"/>
                </w:tcPr>
                <w:p w14:paraId="3F076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55.8</w:t>
                  </w:r>
                </w:p>
              </w:tc>
              <w:tc>
                <w:tcPr>
                  <w:tcW w:w="601" w:type="dxa"/>
                  <w:noWrap w:val="0"/>
                  <w:vAlign w:val="center"/>
                </w:tcPr>
                <w:p w14:paraId="4F38A5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34.3</w:t>
                  </w:r>
                </w:p>
              </w:tc>
              <w:tc>
                <w:tcPr>
                  <w:tcW w:w="563" w:type="dxa"/>
                  <w:noWrap w:val="0"/>
                  <w:vAlign w:val="center"/>
                </w:tcPr>
                <w:p w14:paraId="2846ED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43.9</w:t>
                  </w:r>
                </w:p>
              </w:tc>
              <w:tc>
                <w:tcPr>
                  <w:tcW w:w="687" w:type="dxa"/>
                  <w:noWrap w:val="0"/>
                  <w:vAlign w:val="center"/>
                </w:tcPr>
                <w:p w14:paraId="541407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68.6</w:t>
                  </w:r>
                </w:p>
              </w:tc>
              <w:tc>
                <w:tcPr>
                  <w:tcW w:w="574" w:type="dxa"/>
                  <w:noWrap w:val="0"/>
                  <w:vAlign w:val="center"/>
                </w:tcPr>
                <w:p w14:paraId="369F51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735B5E95">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42F5F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569120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u w:val="none"/>
                      <w:lang w:val="en-US" w:eastAsia="zh-CN"/>
                    </w:rPr>
                  </w:pPr>
                </w:p>
              </w:tc>
              <w:tc>
                <w:tcPr>
                  <w:tcW w:w="1312" w:type="dxa"/>
                  <w:noWrap w:val="0"/>
                  <w:vAlign w:val="center"/>
                </w:tcPr>
                <w:p w14:paraId="4905A70A">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u w:val="none"/>
                      <w:lang w:eastAsia="zh-CN"/>
                    </w:rPr>
                  </w:pPr>
                  <w:r>
                    <w:rPr>
                      <w:rFonts w:hint="eastAsia" w:ascii="Times New Roman" w:hAnsi="Times New Roman" w:cs="Times New Roman"/>
                      <w:color w:val="auto"/>
                      <w:sz w:val="21"/>
                      <w:u w:val="none"/>
                      <w:lang w:val="en-US" w:eastAsia="zh-CN"/>
                    </w:rPr>
                    <w:t>DA002风机</w:t>
                  </w:r>
                </w:p>
              </w:tc>
              <w:tc>
                <w:tcPr>
                  <w:tcW w:w="760" w:type="dxa"/>
                  <w:noWrap w:val="0"/>
                  <w:vAlign w:val="center"/>
                </w:tcPr>
                <w:p w14:paraId="0EE809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75</w:t>
                  </w:r>
                </w:p>
              </w:tc>
              <w:tc>
                <w:tcPr>
                  <w:tcW w:w="954" w:type="dxa"/>
                  <w:noWrap w:val="0"/>
                  <w:vAlign w:val="center"/>
                </w:tcPr>
                <w:p w14:paraId="1B8A8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eastAsiaTheme="minorEastAsia"/>
                      <w:color w:val="auto"/>
                      <w:sz w:val="21"/>
                      <w:u w:val="none"/>
                      <w:lang w:val="en-US" w:eastAsia="zh-CN"/>
                    </w:rPr>
                  </w:pPr>
                  <w:r>
                    <w:rPr>
                      <w:rFonts w:hint="eastAsia" w:cs="Times New Roman"/>
                      <w:color w:val="auto"/>
                      <w:sz w:val="21"/>
                      <w:szCs w:val="21"/>
                      <w:u w:val="none"/>
                      <w:lang w:val="en-US" w:eastAsia="zh-CN"/>
                    </w:rPr>
                    <w:t>1</w:t>
                  </w:r>
                </w:p>
              </w:tc>
              <w:tc>
                <w:tcPr>
                  <w:tcW w:w="388" w:type="pct"/>
                  <w:vMerge w:val="continue"/>
                  <w:noWrap w:val="0"/>
                  <w:vAlign w:val="center"/>
                </w:tcPr>
                <w:p w14:paraId="7769A48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28A093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43.5</w:t>
                  </w:r>
                </w:p>
              </w:tc>
              <w:tc>
                <w:tcPr>
                  <w:tcW w:w="552" w:type="dxa"/>
                  <w:noWrap w:val="0"/>
                  <w:vAlign w:val="center"/>
                </w:tcPr>
                <w:p w14:paraId="1FD5A4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81.1</w:t>
                  </w:r>
                </w:p>
              </w:tc>
              <w:tc>
                <w:tcPr>
                  <w:tcW w:w="186" w:type="pct"/>
                  <w:noWrap w:val="0"/>
                  <w:vAlign w:val="center"/>
                </w:tcPr>
                <w:p w14:paraId="657478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52E678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582" w:type="dxa"/>
                  <w:noWrap w:val="0"/>
                  <w:vAlign w:val="center"/>
                </w:tcPr>
                <w:p w14:paraId="74D40C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81.1</w:t>
                  </w:r>
                </w:p>
              </w:tc>
              <w:tc>
                <w:tcPr>
                  <w:tcW w:w="574" w:type="dxa"/>
                  <w:noWrap w:val="0"/>
                  <w:vAlign w:val="center"/>
                </w:tcPr>
                <w:p w14:paraId="010E20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43.5</w:t>
                  </w:r>
                </w:p>
              </w:tc>
              <w:tc>
                <w:tcPr>
                  <w:tcW w:w="622" w:type="dxa"/>
                  <w:noWrap w:val="0"/>
                  <w:vAlign w:val="center"/>
                </w:tcPr>
                <w:p w14:paraId="0B6CF7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582" w:type="dxa"/>
                  <w:noWrap w:val="0"/>
                  <w:vAlign w:val="center"/>
                </w:tcPr>
                <w:p w14:paraId="36463B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71.5</w:t>
                  </w:r>
                </w:p>
              </w:tc>
              <w:tc>
                <w:tcPr>
                  <w:tcW w:w="601" w:type="dxa"/>
                  <w:noWrap w:val="0"/>
                  <w:vAlign w:val="center"/>
                </w:tcPr>
                <w:p w14:paraId="4C666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36.8</w:t>
                  </w:r>
                </w:p>
              </w:tc>
              <w:tc>
                <w:tcPr>
                  <w:tcW w:w="563" w:type="dxa"/>
                  <w:noWrap w:val="0"/>
                  <w:vAlign w:val="center"/>
                </w:tcPr>
                <w:p w14:paraId="384232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szCs w:val="21"/>
                      <w:u w:val="none"/>
                      <w:lang w:eastAsia="zh-CN" w:bidi="ar"/>
                    </w:rPr>
                  </w:pPr>
                  <w:r>
                    <w:rPr>
                      <w:rFonts w:hint="default" w:ascii="Times New Roman" w:hAnsi="Times New Roman" w:eastAsia="宋体" w:cs="Times New Roman"/>
                      <w:i w:val="0"/>
                      <w:iCs w:val="0"/>
                      <w:color w:val="000000"/>
                      <w:kern w:val="0"/>
                      <w:sz w:val="21"/>
                      <w:szCs w:val="21"/>
                      <w:u w:val="none"/>
                      <w:lang w:val="en-US" w:eastAsia="zh-CN" w:bidi="ar"/>
                    </w:rPr>
                    <w:t>42.2</w:t>
                  </w:r>
                </w:p>
              </w:tc>
              <w:tc>
                <w:tcPr>
                  <w:tcW w:w="687" w:type="dxa"/>
                  <w:noWrap w:val="0"/>
                  <w:vAlign w:val="center"/>
                </w:tcPr>
                <w:p w14:paraId="0C3222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45.5</w:t>
                  </w:r>
                </w:p>
              </w:tc>
              <w:tc>
                <w:tcPr>
                  <w:tcW w:w="574" w:type="dxa"/>
                  <w:noWrap w:val="0"/>
                  <w:vAlign w:val="center"/>
                </w:tcPr>
                <w:p w14:paraId="3027A9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4E27884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34DD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5D3D41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1312" w:type="dxa"/>
                  <w:noWrap w:val="0"/>
                  <w:vAlign w:val="center"/>
                </w:tcPr>
                <w:p w14:paraId="7A0BDA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r>
                    <w:rPr>
                      <w:rFonts w:hint="eastAsia" w:cs="Times New Roman"/>
                      <w:color w:val="auto"/>
                      <w:spacing w:val="-2"/>
                      <w:sz w:val="21"/>
                      <w:szCs w:val="21"/>
                      <w:u w:val="none"/>
                      <w:lang w:val="en-US" w:eastAsia="zh-CN"/>
                    </w:rPr>
                    <w:t>DA003风机</w:t>
                  </w:r>
                </w:p>
              </w:tc>
              <w:tc>
                <w:tcPr>
                  <w:tcW w:w="760" w:type="dxa"/>
                  <w:noWrap w:val="0"/>
                  <w:vAlign w:val="center"/>
                </w:tcPr>
                <w:p w14:paraId="61517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75</w:t>
                  </w:r>
                </w:p>
              </w:tc>
              <w:tc>
                <w:tcPr>
                  <w:tcW w:w="954" w:type="dxa"/>
                  <w:noWrap w:val="0"/>
                  <w:vAlign w:val="center"/>
                </w:tcPr>
                <w:p w14:paraId="56A852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cs="Times New Roman" w:eastAsiaTheme="minorEastAsia"/>
                      <w:color w:val="auto"/>
                      <w:sz w:val="21"/>
                      <w:u w:val="none"/>
                      <w:lang w:val="en-US" w:eastAsia="zh-CN"/>
                    </w:rPr>
                  </w:pPr>
                  <w:r>
                    <w:rPr>
                      <w:rFonts w:hint="eastAsia" w:cs="Times New Roman"/>
                      <w:color w:val="auto"/>
                      <w:sz w:val="21"/>
                      <w:szCs w:val="21"/>
                      <w:u w:val="none"/>
                      <w:lang w:val="en-US" w:eastAsia="zh-CN"/>
                    </w:rPr>
                    <w:t>1</w:t>
                  </w:r>
                </w:p>
              </w:tc>
              <w:tc>
                <w:tcPr>
                  <w:tcW w:w="388" w:type="pct"/>
                  <w:vMerge w:val="continue"/>
                  <w:noWrap w:val="0"/>
                  <w:vAlign w:val="center"/>
                </w:tcPr>
                <w:p w14:paraId="498BADB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5F9B42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29.4</w:t>
                  </w:r>
                </w:p>
              </w:tc>
              <w:tc>
                <w:tcPr>
                  <w:tcW w:w="552" w:type="dxa"/>
                  <w:noWrap w:val="0"/>
                  <w:vAlign w:val="center"/>
                </w:tcPr>
                <w:p w14:paraId="07ACB0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86" w:type="pct"/>
                  <w:noWrap w:val="0"/>
                  <w:vAlign w:val="center"/>
                </w:tcPr>
                <w:p w14:paraId="78B706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4E8716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15.6</w:t>
                  </w:r>
                </w:p>
              </w:tc>
              <w:tc>
                <w:tcPr>
                  <w:tcW w:w="582" w:type="dxa"/>
                  <w:noWrap w:val="0"/>
                  <w:vAlign w:val="center"/>
                </w:tcPr>
                <w:p w14:paraId="17E194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574" w:type="dxa"/>
                  <w:noWrap w:val="0"/>
                  <w:vAlign w:val="center"/>
                </w:tcPr>
                <w:p w14:paraId="730AC6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29.4</w:t>
                  </w:r>
                </w:p>
              </w:tc>
              <w:tc>
                <w:tcPr>
                  <w:tcW w:w="622" w:type="dxa"/>
                  <w:noWrap w:val="0"/>
                  <w:vAlign w:val="center"/>
                </w:tcPr>
                <w:p w14:paraId="2FE1FA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108.3</w:t>
                  </w:r>
                </w:p>
              </w:tc>
              <w:tc>
                <w:tcPr>
                  <w:tcW w:w="582" w:type="dxa"/>
                  <w:noWrap w:val="0"/>
                  <w:vAlign w:val="center"/>
                </w:tcPr>
                <w:p w14:paraId="2071C8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51.1</w:t>
                  </w:r>
                </w:p>
              </w:tc>
              <w:tc>
                <w:tcPr>
                  <w:tcW w:w="601" w:type="dxa"/>
                  <w:noWrap w:val="0"/>
                  <w:vAlign w:val="center"/>
                </w:tcPr>
                <w:p w14:paraId="1CB10E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66.1</w:t>
                  </w:r>
                </w:p>
              </w:tc>
              <w:tc>
                <w:tcPr>
                  <w:tcW w:w="563" w:type="dxa"/>
                  <w:noWrap w:val="0"/>
                  <w:vAlign w:val="center"/>
                </w:tcPr>
                <w:p w14:paraId="7B451F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szCs w:val="21"/>
                      <w:u w:val="none"/>
                      <w:lang w:eastAsia="zh-CN" w:bidi="ar"/>
                    </w:rPr>
                  </w:pPr>
                  <w:r>
                    <w:rPr>
                      <w:rFonts w:hint="default" w:ascii="Times New Roman" w:hAnsi="Times New Roman" w:eastAsia="宋体" w:cs="Times New Roman"/>
                      <w:i w:val="0"/>
                      <w:iCs w:val="0"/>
                      <w:color w:val="000000"/>
                      <w:kern w:val="0"/>
                      <w:sz w:val="21"/>
                      <w:szCs w:val="21"/>
                      <w:u w:val="none"/>
                      <w:lang w:val="en-US" w:eastAsia="zh-CN" w:bidi="ar"/>
                    </w:rPr>
                    <w:t>45.6</w:t>
                  </w:r>
                </w:p>
              </w:tc>
              <w:tc>
                <w:tcPr>
                  <w:tcW w:w="687" w:type="dxa"/>
                  <w:noWrap w:val="0"/>
                  <w:vAlign w:val="center"/>
                </w:tcPr>
                <w:p w14:paraId="34884F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34.3</w:t>
                  </w:r>
                </w:p>
              </w:tc>
              <w:tc>
                <w:tcPr>
                  <w:tcW w:w="574" w:type="dxa"/>
                  <w:noWrap w:val="0"/>
                  <w:vAlign w:val="center"/>
                </w:tcPr>
                <w:p w14:paraId="38767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u w:val="none"/>
                      <w:lang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3E34337E">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50F06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9" w:type="pct"/>
                  <w:vMerge w:val="continue"/>
                  <w:noWrap w:val="0"/>
                  <w:vAlign w:val="center"/>
                </w:tcPr>
                <w:p w14:paraId="4EF30D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color w:val="auto"/>
                      <w:sz w:val="21"/>
                      <w:u w:val="none"/>
                      <w:lang w:eastAsia="zh-CN"/>
                    </w:rPr>
                  </w:pPr>
                </w:p>
              </w:tc>
              <w:tc>
                <w:tcPr>
                  <w:tcW w:w="1312" w:type="dxa"/>
                  <w:noWrap w:val="0"/>
                  <w:vAlign w:val="center"/>
                </w:tcPr>
                <w:p w14:paraId="37EEE498">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color w:val="auto"/>
                      <w:spacing w:val="-2"/>
                      <w:sz w:val="21"/>
                      <w:szCs w:val="21"/>
                      <w:u w:val="none"/>
                      <w:lang w:val="en-US" w:eastAsia="zh-CN"/>
                    </w:rPr>
                  </w:pPr>
                  <w:r>
                    <w:rPr>
                      <w:rFonts w:hint="eastAsia" w:ascii="Times New Roman" w:hAnsi="Times New Roman" w:cs="Times New Roman"/>
                      <w:color w:val="auto"/>
                      <w:sz w:val="21"/>
                      <w:u w:val="none"/>
                      <w:lang w:val="en-US" w:eastAsia="zh-CN"/>
                    </w:rPr>
                    <w:t>DA004风机</w:t>
                  </w:r>
                </w:p>
              </w:tc>
              <w:tc>
                <w:tcPr>
                  <w:tcW w:w="760" w:type="dxa"/>
                  <w:noWrap w:val="0"/>
                  <w:vAlign w:val="center"/>
                </w:tcPr>
                <w:p w14:paraId="197472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75</w:t>
                  </w:r>
                </w:p>
              </w:tc>
              <w:tc>
                <w:tcPr>
                  <w:tcW w:w="954" w:type="dxa"/>
                  <w:noWrap w:val="0"/>
                  <w:vAlign w:val="center"/>
                </w:tcPr>
                <w:p w14:paraId="135574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z w:val="21"/>
                      <w:u w:val="none"/>
                      <w:lang w:val="en-US" w:eastAsia="zh-CN"/>
                    </w:rPr>
                  </w:pPr>
                  <w:r>
                    <w:rPr>
                      <w:rFonts w:hint="eastAsia" w:cs="Times New Roman"/>
                      <w:color w:val="auto"/>
                      <w:sz w:val="21"/>
                      <w:szCs w:val="21"/>
                      <w:u w:val="none"/>
                      <w:lang w:val="en-US" w:eastAsia="zh-CN"/>
                    </w:rPr>
                    <w:t>1</w:t>
                  </w:r>
                </w:p>
              </w:tc>
              <w:tc>
                <w:tcPr>
                  <w:tcW w:w="388" w:type="pct"/>
                  <w:vMerge w:val="continue"/>
                  <w:noWrap w:val="0"/>
                  <w:vAlign w:val="center"/>
                </w:tcPr>
                <w:p w14:paraId="001402E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z w:val="21"/>
                      <w:szCs w:val="21"/>
                      <w:u w:val="none"/>
                      <w:lang w:eastAsia="zh-CN"/>
                    </w:rPr>
                  </w:pPr>
                </w:p>
              </w:tc>
              <w:tc>
                <w:tcPr>
                  <w:tcW w:w="563" w:type="dxa"/>
                  <w:noWrap w:val="0"/>
                  <w:vAlign w:val="center"/>
                </w:tcPr>
                <w:p w14:paraId="24613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position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16.2</w:t>
                  </w:r>
                </w:p>
              </w:tc>
              <w:tc>
                <w:tcPr>
                  <w:tcW w:w="552" w:type="dxa"/>
                  <w:noWrap w:val="0"/>
                  <w:vAlign w:val="center"/>
                </w:tcPr>
                <w:p w14:paraId="2B3AA8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color w:val="auto"/>
                      <w:spacing w:val="-2"/>
                      <w:sz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22.7</w:t>
                  </w:r>
                </w:p>
              </w:tc>
              <w:tc>
                <w:tcPr>
                  <w:tcW w:w="186" w:type="pct"/>
                  <w:noWrap w:val="0"/>
                  <w:vAlign w:val="center"/>
                </w:tcPr>
                <w:p w14:paraId="165A53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sz w:val="21"/>
                      <w:u w:val="none"/>
                      <w:lang w:val="en-US" w:eastAsia="zh-CN"/>
                    </w:rPr>
                  </w:pPr>
                  <w:r>
                    <w:rPr>
                      <w:rFonts w:hint="eastAsia" w:cs="Times New Roman"/>
                      <w:color w:val="auto"/>
                      <w:sz w:val="21"/>
                      <w:u w:val="none"/>
                      <w:lang w:val="en-US" w:eastAsia="zh-CN"/>
                    </w:rPr>
                    <w:t>0</w:t>
                  </w:r>
                </w:p>
              </w:tc>
              <w:tc>
                <w:tcPr>
                  <w:tcW w:w="574" w:type="dxa"/>
                  <w:noWrap w:val="0"/>
                  <w:vAlign w:val="center"/>
                </w:tcPr>
                <w:p w14:paraId="222D29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28.8</w:t>
                  </w:r>
                </w:p>
              </w:tc>
              <w:tc>
                <w:tcPr>
                  <w:tcW w:w="582" w:type="dxa"/>
                  <w:noWrap w:val="0"/>
                  <w:vAlign w:val="center"/>
                </w:tcPr>
                <w:p w14:paraId="6E3BE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22.7</w:t>
                  </w:r>
                </w:p>
              </w:tc>
              <w:tc>
                <w:tcPr>
                  <w:tcW w:w="574" w:type="dxa"/>
                  <w:noWrap w:val="0"/>
                  <w:vAlign w:val="center"/>
                </w:tcPr>
                <w:p w14:paraId="602939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16.2</w:t>
                  </w:r>
                </w:p>
              </w:tc>
              <w:tc>
                <w:tcPr>
                  <w:tcW w:w="622" w:type="dxa"/>
                  <w:noWrap w:val="0"/>
                  <w:vAlign w:val="center"/>
                </w:tcPr>
                <w:p w14:paraId="0CD936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88.4</w:t>
                  </w:r>
                </w:p>
              </w:tc>
              <w:tc>
                <w:tcPr>
                  <w:tcW w:w="582" w:type="dxa"/>
                  <w:noWrap w:val="0"/>
                  <w:vAlign w:val="center"/>
                </w:tcPr>
                <w:p w14:paraId="6A521B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sz w:val="21"/>
                      <w:szCs w:val="21"/>
                      <w:u w:val="none"/>
                      <w:lang w:eastAsia="zh-CN" w:bidi="ar"/>
                    </w:rPr>
                  </w:pPr>
                  <w:r>
                    <w:rPr>
                      <w:rFonts w:hint="default" w:ascii="Times New Roman" w:hAnsi="Times New Roman" w:eastAsia="宋体" w:cs="Times New Roman"/>
                      <w:i w:val="0"/>
                      <w:iCs w:val="0"/>
                      <w:color w:val="000000"/>
                      <w:kern w:val="0"/>
                      <w:sz w:val="21"/>
                      <w:szCs w:val="21"/>
                      <w:u w:val="none"/>
                      <w:lang w:val="en-US" w:eastAsia="zh-CN" w:bidi="ar"/>
                    </w:rPr>
                    <w:t>45.8</w:t>
                  </w:r>
                </w:p>
              </w:tc>
              <w:tc>
                <w:tcPr>
                  <w:tcW w:w="601" w:type="dxa"/>
                  <w:noWrap w:val="0"/>
                  <w:vAlign w:val="center"/>
                </w:tcPr>
                <w:p w14:paraId="0FBEF3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47.9</w:t>
                  </w:r>
                </w:p>
              </w:tc>
              <w:tc>
                <w:tcPr>
                  <w:tcW w:w="563" w:type="dxa"/>
                  <w:noWrap w:val="0"/>
                  <w:vAlign w:val="center"/>
                </w:tcPr>
                <w:p w14:paraId="461D8A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s="Times New Roman"/>
                      <w:sz w:val="21"/>
                      <w:szCs w:val="21"/>
                      <w:u w:val="none"/>
                      <w:lang w:eastAsia="zh-CN" w:bidi="ar"/>
                    </w:rPr>
                  </w:pPr>
                  <w:r>
                    <w:rPr>
                      <w:rFonts w:hint="default" w:ascii="Times New Roman" w:hAnsi="Times New Roman" w:eastAsia="宋体" w:cs="Times New Roman"/>
                      <w:i w:val="0"/>
                      <w:iCs w:val="0"/>
                      <w:color w:val="000000"/>
                      <w:kern w:val="0"/>
                      <w:sz w:val="21"/>
                      <w:szCs w:val="21"/>
                      <w:u w:val="none"/>
                      <w:lang w:val="en-US" w:eastAsia="zh-CN" w:bidi="ar"/>
                    </w:rPr>
                    <w:t>50.8</w:t>
                  </w:r>
                </w:p>
              </w:tc>
              <w:tc>
                <w:tcPr>
                  <w:tcW w:w="687" w:type="dxa"/>
                  <w:noWrap w:val="0"/>
                  <w:vAlign w:val="center"/>
                </w:tcPr>
                <w:p w14:paraId="433E06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36.1</w:t>
                  </w:r>
                </w:p>
              </w:tc>
              <w:tc>
                <w:tcPr>
                  <w:tcW w:w="574" w:type="dxa"/>
                  <w:noWrap w:val="0"/>
                  <w:vAlign w:val="center"/>
                </w:tcPr>
                <w:p w14:paraId="1DE975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u w:val="none"/>
                      <w:lang w:val="en-US" w:eastAsia="zh-CN" w:bidi="ar"/>
                    </w:rPr>
                  </w:pPr>
                  <w:r>
                    <w:rPr>
                      <w:rFonts w:hint="eastAsia" w:cs="Times New Roman"/>
                      <w:color w:val="auto"/>
                      <w:sz w:val="21"/>
                      <w:u w:val="none"/>
                      <w:lang w:val="en-US" w:eastAsia="zh-CN" w:bidi="ar"/>
                    </w:rPr>
                    <w:t>16</w:t>
                  </w:r>
                </w:p>
              </w:tc>
              <w:tc>
                <w:tcPr>
                  <w:tcW w:w="676" w:type="pct"/>
                  <w:vMerge w:val="continue"/>
                  <w:noWrap w:val="0"/>
                  <w:vAlign w:val="center"/>
                </w:tcPr>
                <w:p w14:paraId="0F7B7CF4">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ascii="Times New Roman" w:hAnsi="Times New Roman" w:cs="Times New Roman"/>
                      <w:color w:val="auto"/>
                      <w:spacing w:val="-5"/>
                      <w:sz w:val="21"/>
                      <w:szCs w:val="21"/>
                      <w:u w:val="none"/>
                      <w:lang w:eastAsia="zh-CN"/>
                    </w:rPr>
                  </w:pPr>
                </w:p>
              </w:tc>
            </w:tr>
            <w:tr w14:paraId="6904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000" w:type="pct"/>
                  <w:gridSpan w:val="18"/>
                  <w:noWrap w:val="0"/>
                  <w:vAlign w:val="center"/>
                </w:tcPr>
                <w:p w14:paraId="65C1A690">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both"/>
                    <w:rPr>
                      <w:rFonts w:ascii="Times New Roman" w:hAnsi="Times New Roman" w:cs="Times New Roman"/>
                      <w:color w:val="auto"/>
                      <w:spacing w:val="-5"/>
                      <w:sz w:val="21"/>
                      <w:szCs w:val="21"/>
                      <w:u w:val="none"/>
                      <w:lang w:eastAsia="zh-CN"/>
                    </w:rPr>
                  </w:pPr>
                  <w:r>
                    <w:rPr>
                      <w:rFonts w:ascii="Times New Roman" w:hAnsi="Times New Roman" w:cs="Times New Roman"/>
                      <w:color w:val="auto"/>
                      <w:sz w:val="21"/>
                      <w:szCs w:val="21"/>
                      <w:lang w:eastAsia="zh-CN"/>
                    </w:rPr>
                    <w:t>注：以厂区西南角为</w:t>
                  </w:r>
                  <w:r>
                    <w:rPr>
                      <w:rFonts w:hint="eastAsia" w:ascii="Times New Roman" w:hAnsi="Times New Roman" w:cs="Times New Roman"/>
                      <w:color w:val="auto"/>
                      <w:sz w:val="21"/>
                      <w:szCs w:val="21"/>
                      <w:lang w:val="en-US" w:eastAsia="zh-CN"/>
                    </w:rPr>
                    <w:t>坐标原点</w:t>
                  </w:r>
                  <w:r>
                    <w:rPr>
                      <w:rFonts w:ascii="Times New Roman" w:hAnsi="Times New Roman" w:cs="Times New Roman"/>
                      <w:color w:val="auto"/>
                      <w:sz w:val="21"/>
                      <w:szCs w:val="21"/>
                      <w:lang w:eastAsia="zh-CN"/>
                    </w:rPr>
                    <w:t>（0，0），</w:t>
                  </w:r>
                  <w:r>
                    <w:rPr>
                      <w:rFonts w:hint="eastAsia" w:ascii="Times New Roman" w:hAnsi="Times New Roman" w:cs="Times New Roman"/>
                      <w:color w:val="auto"/>
                      <w:sz w:val="21"/>
                      <w:szCs w:val="21"/>
                      <w:lang w:eastAsia="zh-CN"/>
                    </w:rPr>
                    <w:t>正东方向为X轴，正北方向为Y轴，</w:t>
                  </w:r>
                  <w:r>
                    <w:rPr>
                      <w:rFonts w:hint="eastAsia" w:ascii="Times New Roman" w:hAnsi="Times New Roman" w:cs="Times New Roman"/>
                      <w:color w:val="auto"/>
                      <w:sz w:val="21"/>
                      <w:szCs w:val="21"/>
                      <w:lang w:val="en-US" w:eastAsia="zh-CN"/>
                    </w:rPr>
                    <w:t>离地高度</w:t>
                  </w:r>
                  <w:r>
                    <w:rPr>
                      <w:rFonts w:hint="eastAsia" w:ascii="Times New Roman" w:hAnsi="Times New Roman" w:cs="Times New Roman"/>
                      <w:color w:val="auto"/>
                      <w:sz w:val="21"/>
                      <w:szCs w:val="21"/>
                      <w:lang w:eastAsia="zh-CN"/>
                    </w:rPr>
                    <w:t>为Z轴</w:t>
                  </w:r>
                </w:p>
              </w:tc>
            </w:tr>
          </w:tbl>
          <w:p w14:paraId="0895E1DB">
            <w:pPr>
              <w:keepNext w:val="0"/>
              <w:keepLines w:val="0"/>
              <w:pageBreakBefore w:val="0"/>
              <w:widowControl w:val="0"/>
              <w:kinsoku/>
              <w:wordWrap/>
              <w:overflowPunct/>
              <w:topLinePunct w:val="0"/>
              <w:autoSpaceDE/>
              <w:autoSpaceDN/>
              <w:bidi w:val="0"/>
              <w:adjustRightInd/>
              <w:snapToGrid/>
              <w:ind w:firstLine="0" w:firstLineChars="0"/>
              <w:jc w:val="both"/>
              <w:textAlignment w:val="auto"/>
              <w:rPr>
                <w:sz w:val="24"/>
                <w:szCs w:val="24"/>
                <w:vertAlign w:val="baseline"/>
              </w:rPr>
            </w:pPr>
          </w:p>
          <w:p w14:paraId="164DD742">
            <w:pPr>
              <w:keepNext w:val="0"/>
              <w:keepLines w:val="0"/>
              <w:pageBreakBefore w:val="0"/>
              <w:widowControl w:val="0"/>
              <w:kinsoku/>
              <w:wordWrap/>
              <w:overflowPunct/>
              <w:topLinePunct w:val="0"/>
              <w:autoSpaceDE/>
              <w:autoSpaceDN/>
              <w:bidi w:val="0"/>
              <w:adjustRightInd/>
              <w:snapToGrid/>
              <w:ind w:firstLine="0" w:firstLineChars="0"/>
              <w:jc w:val="both"/>
              <w:textAlignment w:val="auto"/>
              <w:rPr>
                <w:sz w:val="24"/>
                <w:szCs w:val="24"/>
                <w:vertAlign w:val="baseline"/>
              </w:rPr>
            </w:pPr>
          </w:p>
          <w:p w14:paraId="00A5EEE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sz w:val="24"/>
                <w:szCs w:val="24"/>
                <w:vertAlign w:val="baseline"/>
              </w:rPr>
            </w:pPr>
          </w:p>
          <w:p w14:paraId="6FC4B54A">
            <w:pPr>
              <w:widowControl/>
              <w:ind w:firstLine="480"/>
              <w:jc w:val="center"/>
              <w:rPr>
                <w:rFonts w:eastAsia="黑体"/>
                <w:color w:val="000000" w:themeColor="text1"/>
                <w14:textFill>
                  <w14:solidFill>
                    <w14:schemeClr w14:val="tx1"/>
                  </w14:solidFill>
                </w14:textFill>
              </w:rPr>
            </w:pPr>
            <w:r>
              <w:rPr>
                <w:rFonts w:eastAsia="黑体"/>
                <w:color w:val="000000" w:themeColor="text1"/>
                <w:kern w:val="0"/>
                <w:lang w:bidi="ar"/>
                <w14:textFill>
                  <w14:solidFill>
                    <w14:schemeClr w14:val="tx1"/>
                  </w14:solidFill>
                </w14:textFill>
              </w:rPr>
              <w:t>表4-</w:t>
            </w:r>
            <w:r>
              <w:rPr>
                <w:rFonts w:hint="eastAsia" w:eastAsia="黑体"/>
                <w:color w:val="000000" w:themeColor="text1"/>
                <w:kern w:val="0"/>
                <w:lang w:val="en-US" w:eastAsia="zh-CN" w:bidi="ar"/>
                <w14:textFill>
                  <w14:solidFill>
                    <w14:schemeClr w14:val="tx1"/>
                  </w14:solidFill>
                </w14:textFill>
              </w:rPr>
              <w:t>5</w:t>
            </w:r>
            <w:r>
              <w:rPr>
                <w:rFonts w:eastAsia="黑体"/>
                <w:color w:val="000000" w:themeColor="text1"/>
                <w:kern w:val="0"/>
                <w:lang w:bidi="ar"/>
                <w14:textFill>
                  <w14:solidFill>
                    <w14:schemeClr w14:val="tx1"/>
                  </w14:solidFill>
                </w14:textFill>
              </w:rPr>
              <w:t xml:space="preserve">  车间边界噪声源强一览表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2693"/>
              <w:gridCol w:w="2693"/>
              <w:gridCol w:w="2695"/>
              <w:gridCol w:w="2703"/>
            </w:tblGrid>
            <w:tr w14:paraId="3F79F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restart"/>
                  <w:vAlign w:val="center"/>
                </w:tcPr>
                <w:p w14:paraId="4E2EE5F2">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面源</w:t>
                  </w:r>
                </w:p>
              </w:tc>
              <w:tc>
                <w:tcPr>
                  <w:tcW w:w="4001" w:type="pct"/>
                  <w:gridSpan w:val="4"/>
                  <w:vAlign w:val="center"/>
                </w:tcPr>
                <w:p w14:paraId="2F131C7E">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车间边界声压级dB（A）</w:t>
                  </w:r>
                </w:p>
              </w:tc>
            </w:tr>
            <w:tr w14:paraId="26858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continue"/>
                  <w:vAlign w:val="center"/>
                </w:tcPr>
                <w:p w14:paraId="5D549484">
                  <w:pPr>
                    <w:pStyle w:val="35"/>
                    <w:rPr>
                      <w:rFonts w:hint="default"/>
                      <w:color w:val="000000" w:themeColor="text1"/>
                      <w14:textFill>
                        <w14:solidFill>
                          <w14:schemeClr w14:val="tx1"/>
                        </w14:solidFill>
                      </w14:textFill>
                    </w:rPr>
                  </w:pPr>
                </w:p>
              </w:tc>
              <w:tc>
                <w:tcPr>
                  <w:tcW w:w="999" w:type="pct"/>
                  <w:vAlign w:val="center"/>
                </w:tcPr>
                <w:p w14:paraId="566F0E87">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车间东边界</w:t>
                  </w:r>
                </w:p>
              </w:tc>
              <w:tc>
                <w:tcPr>
                  <w:tcW w:w="999" w:type="pct"/>
                  <w:vAlign w:val="center"/>
                </w:tcPr>
                <w:p w14:paraId="26197B5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车间南边界</w:t>
                  </w:r>
                </w:p>
              </w:tc>
              <w:tc>
                <w:tcPr>
                  <w:tcW w:w="1000" w:type="pct"/>
                  <w:vAlign w:val="center"/>
                </w:tcPr>
                <w:p w14:paraId="2AD6F57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车间西边界</w:t>
                  </w:r>
                </w:p>
              </w:tc>
              <w:tc>
                <w:tcPr>
                  <w:tcW w:w="1003" w:type="pct"/>
                  <w:vAlign w:val="center"/>
                </w:tcPr>
                <w:p w14:paraId="6271A9A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车间北边界</w:t>
                  </w:r>
                </w:p>
              </w:tc>
            </w:tr>
            <w:tr w14:paraId="01B3B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Align w:val="center"/>
                </w:tcPr>
                <w:p w14:paraId="5C28AE1C">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2678" w:type="dxa"/>
                  <w:shd w:val="clear" w:color="auto" w:fill="auto"/>
                  <w:vAlign w:val="center"/>
                </w:tcPr>
                <w:p w14:paraId="7D5EBE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72.2</w:t>
                  </w:r>
                </w:p>
              </w:tc>
              <w:tc>
                <w:tcPr>
                  <w:tcW w:w="2678" w:type="dxa"/>
                  <w:shd w:val="clear" w:color="auto" w:fill="auto"/>
                  <w:vAlign w:val="center"/>
                </w:tcPr>
                <w:p w14:paraId="68BE4B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68.5</w:t>
                  </w:r>
                </w:p>
              </w:tc>
              <w:tc>
                <w:tcPr>
                  <w:tcW w:w="2681" w:type="dxa"/>
                  <w:shd w:val="clear" w:color="auto" w:fill="auto"/>
                  <w:vAlign w:val="center"/>
                </w:tcPr>
                <w:p w14:paraId="0BD5AD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66.4</w:t>
                  </w:r>
                </w:p>
              </w:tc>
              <w:tc>
                <w:tcPr>
                  <w:tcW w:w="2689" w:type="dxa"/>
                  <w:shd w:val="clear" w:color="auto" w:fill="auto"/>
                  <w:vAlign w:val="center"/>
                </w:tcPr>
                <w:p w14:paraId="5B7A3F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68.8</w:t>
                  </w:r>
                </w:p>
              </w:tc>
            </w:tr>
          </w:tbl>
          <w:p w14:paraId="5B071820">
            <w:pPr>
              <w:widowControl/>
              <w:ind w:firstLine="480"/>
              <w:jc w:val="center"/>
              <w:rPr>
                <w:rFonts w:eastAsia="黑体"/>
                <w:color w:val="000000" w:themeColor="text1"/>
                <w14:textFill>
                  <w14:solidFill>
                    <w14:schemeClr w14:val="tx1"/>
                  </w14:solidFill>
                </w14:textFill>
              </w:rPr>
            </w:pPr>
            <w:r>
              <w:rPr>
                <w:rFonts w:eastAsia="黑体"/>
                <w:color w:val="000000" w:themeColor="text1"/>
                <w:kern w:val="0"/>
                <w:lang w:bidi="ar"/>
                <w14:textFill>
                  <w14:solidFill>
                    <w14:schemeClr w14:val="tx1"/>
                  </w14:solidFill>
                </w14:textFill>
              </w:rPr>
              <w:t>表4-</w:t>
            </w:r>
            <w:r>
              <w:rPr>
                <w:rFonts w:hint="eastAsia" w:eastAsia="黑体"/>
                <w:color w:val="000000" w:themeColor="text1"/>
                <w:kern w:val="0"/>
                <w:lang w:val="en-US" w:eastAsia="zh-CN" w:bidi="ar"/>
                <w14:textFill>
                  <w14:solidFill>
                    <w14:schemeClr w14:val="tx1"/>
                  </w14:solidFill>
                </w14:textFill>
              </w:rPr>
              <w:t>6</w:t>
            </w:r>
            <w:r>
              <w:rPr>
                <w:rFonts w:eastAsia="黑体"/>
                <w:color w:val="000000" w:themeColor="text1"/>
                <w:kern w:val="0"/>
                <w:lang w:bidi="ar"/>
                <w14:textFill>
                  <w14:solidFill>
                    <w14:schemeClr w14:val="tx1"/>
                  </w14:solidFill>
                </w14:textFill>
              </w:rPr>
              <w:t xml:space="preserve">  降噪后车间外噪声源强一览表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3"/>
              <w:gridCol w:w="2610"/>
              <w:gridCol w:w="2672"/>
              <w:gridCol w:w="2637"/>
              <w:gridCol w:w="2866"/>
            </w:tblGrid>
            <w:tr w14:paraId="7B02D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restart"/>
                  <w:vAlign w:val="center"/>
                </w:tcPr>
                <w:p w14:paraId="1E035EB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面源</w:t>
                  </w:r>
                </w:p>
              </w:tc>
              <w:tc>
                <w:tcPr>
                  <w:tcW w:w="4000" w:type="pct"/>
                  <w:gridSpan w:val="4"/>
                  <w:vAlign w:val="center"/>
                </w:tcPr>
                <w:p w14:paraId="6BF76A5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车间边界声压级dB（A）</w:t>
                  </w:r>
                </w:p>
              </w:tc>
            </w:tr>
            <w:tr w14:paraId="18268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continue"/>
                  <w:vAlign w:val="center"/>
                </w:tcPr>
                <w:p w14:paraId="530001AE">
                  <w:pPr>
                    <w:pStyle w:val="35"/>
                    <w:rPr>
                      <w:rFonts w:hint="default"/>
                      <w:color w:val="000000" w:themeColor="text1"/>
                      <w14:textFill>
                        <w14:solidFill>
                          <w14:schemeClr w14:val="tx1"/>
                        </w14:solidFill>
                      </w14:textFill>
                    </w:rPr>
                  </w:pPr>
                </w:p>
              </w:tc>
              <w:tc>
                <w:tcPr>
                  <w:tcW w:w="968" w:type="pct"/>
                  <w:vAlign w:val="center"/>
                </w:tcPr>
                <w:p w14:paraId="58195C1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车间东边界</w:t>
                  </w:r>
                </w:p>
              </w:tc>
              <w:tc>
                <w:tcPr>
                  <w:tcW w:w="991" w:type="pct"/>
                  <w:vAlign w:val="center"/>
                </w:tcPr>
                <w:p w14:paraId="1F7596A2">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车间南边界</w:t>
                  </w:r>
                </w:p>
              </w:tc>
              <w:tc>
                <w:tcPr>
                  <w:tcW w:w="978" w:type="pct"/>
                  <w:vAlign w:val="center"/>
                </w:tcPr>
                <w:p w14:paraId="3AFD42D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车间西边界</w:t>
                  </w:r>
                </w:p>
              </w:tc>
              <w:tc>
                <w:tcPr>
                  <w:tcW w:w="1061" w:type="pct"/>
                  <w:vAlign w:val="center"/>
                </w:tcPr>
                <w:p w14:paraId="6D2E0C9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车间北边界</w:t>
                  </w:r>
                </w:p>
              </w:tc>
            </w:tr>
            <w:tr w14:paraId="397AF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shd w:val="clear" w:color="auto" w:fill="auto"/>
                  <w:vAlign w:val="center"/>
                </w:tcPr>
                <w:p w14:paraId="015A1A51">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2610" w:type="dxa"/>
                  <w:shd w:val="clear" w:color="auto" w:fill="auto"/>
                  <w:vAlign w:val="center"/>
                </w:tcPr>
                <w:p w14:paraId="4A2F48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52.2</w:t>
                  </w:r>
                </w:p>
              </w:tc>
              <w:tc>
                <w:tcPr>
                  <w:tcW w:w="2672" w:type="dxa"/>
                  <w:shd w:val="clear" w:color="auto" w:fill="auto"/>
                  <w:vAlign w:val="center"/>
                </w:tcPr>
                <w:p w14:paraId="6F6729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48.5</w:t>
                  </w:r>
                </w:p>
              </w:tc>
              <w:tc>
                <w:tcPr>
                  <w:tcW w:w="2637" w:type="dxa"/>
                  <w:shd w:val="clear" w:color="auto" w:fill="auto"/>
                  <w:vAlign w:val="center"/>
                </w:tcPr>
                <w:p w14:paraId="6F6BF8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46.4</w:t>
                  </w:r>
                </w:p>
              </w:tc>
              <w:tc>
                <w:tcPr>
                  <w:tcW w:w="2866" w:type="dxa"/>
                  <w:shd w:val="clear" w:color="auto" w:fill="auto"/>
                  <w:vAlign w:val="center"/>
                </w:tcPr>
                <w:p w14:paraId="17EB6F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48.8</w:t>
                  </w:r>
                </w:p>
              </w:tc>
            </w:tr>
          </w:tbl>
          <w:p w14:paraId="479EFEA0">
            <w:pPr>
              <w:pStyle w:val="17"/>
              <w:spacing w:after="0"/>
              <w:ind w:left="0" w:leftChars="0" w:firstLine="480"/>
              <w:rPr>
                <w:color w:val="000000" w:themeColor="text1"/>
                <w14:textFill>
                  <w14:solidFill>
                    <w14:schemeClr w14:val="tx1"/>
                  </w14:solidFill>
                </w14:textFill>
              </w:rPr>
            </w:pPr>
            <w:r>
              <w:rPr>
                <w:color w:val="000000" w:themeColor="text1"/>
                <w14:textFill>
                  <w14:solidFill>
                    <w14:schemeClr w14:val="tx1"/>
                  </w14:solidFill>
                </w14:textFill>
              </w:rPr>
              <w:t>3.2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噪声预测模式</w:t>
            </w:r>
          </w:p>
          <w:p w14:paraId="4E90CD5D">
            <w:pPr>
              <w:pStyle w:val="17"/>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 声环境》（</w:t>
            </w:r>
            <w:r>
              <w:rPr>
                <w:color w:val="000000" w:themeColor="text1"/>
                <w14:textFill>
                  <w14:solidFill>
                    <w14:schemeClr w14:val="tx1"/>
                  </w14:solidFill>
                </w14:textFill>
              </w:rPr>
              <w:t>HJ2.4—2021</w:t>
            </w:r>
            <w:r>
              <w:rPr>
                <w:rFonts w:hint="eastAsia"/>
                <w:color w:val="000000" w:themeColor="text1"/>
                <w14:textFill>
                  <w14:solidFill>
                    <w14:schemeClr w14:val="tx1"/>
                  </w14:solidFill>
                </w14:textFill>
              </w:rPr>
              <w:t>）预测过程中考虑几何发散、大气吸收、地面效应、屏障屏蔽等引起的衰减，根据《环境影响评价技术导则 声环境》（</w:t>
            </w:r>
            <w:r>
              <w:rPr>
                <w:color w:val="000000" w:themeColor="text1"/>
                <w14:textFill>
                  <w14:solidFill>
                    <w14:schemeClr w14:val="tx1"/>
                  </w14:solidFill>
                </w14:textFill>
              </w:rPr>
              <w:t>HJ 2.4—2021</w:t>
            </w:r>
            <w:r>
              <w:rPr>
                <w:rFonts w:hint="eastAsia"/>
                <w:color w:val="000000" w:themeColor="text1"/>
                <w14:textFill>
                  <w14:solidFill>
                    <w14:schemeClr w14:val="tx1"/>
                  </w14:solidFill>
                </w14:textFill>
              </w:rPr>
              <w:t>）附录</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室内声源等效室外声源升功率级计算方法中噪声预测公式如下：</w:t>
            </w:r>
          </w:p>
          <w:p w14:paraId="3B51CC51">
            <w:pPr>
              <w:pStyle w:val="17"/>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①室外声源在预测点产生的声级计算模型</w:t>
            </w:r>
          </w:p>
          <w:p w14:paraId="699A38BD">
            <w:pPr>
              <w:pStyle w:val="17"/>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各声源对预测点的贡献值按下式计算：</w:t>
            </w:r>
          </w:p>
          <w:p w14:paraId="7D58DA02">
            <w:pPr>
              <w:pStyle w:val="17"/>
              <w:ind w:left="0" w:leftChars="0" w:firstLine="0" w:firstLineChars="0"/>
              <w:jc w:val="center"/>
              <w:rPr>
                <w:color w:val="000000" w:themeColor="text1"/>
                <w14:textFill>
                  <w14:solidFill>
                    <w14:schemeClr w14:val="tx1"/>
                  </w14:solidFill>
                </w14:textFill>
              </w:rPr>
            </w:pPr>
            <m:oMathPara>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p</m:t>
                    </m:r>
                    <m:ctrlPr>
                      <w:rPr>
                        <w:rFonts w:ascii="Cambria Math" w:hAnsi="Cambria Math"/>
                        <w:i/>
                        <w:color w:val="000000" w:themeColor="text1"/>
                        <w14:textFill>
                          <w14:solidFill>
                            <w14:schemeClr w14:val="tx1"/>
                          </w14:solidFill>
                        </w14:textFill>
                      </w:rPr>
                    </m:ctrlPr>
                  </m:sub>
                </m:sSub>
                <m:d>
                  <m:dPr>
                    <m:ctrlPr>
                      <w:rPr>
                        <w:rFonts w:ascii="Cambria Math" w:hAnsi="Cambria Math"/>
                        <w:i/>
                        <w:color w:val="000000" w:themeColor="text1"/>
                        <w14:textFill>
                          <w14:solidFill>
                            <w14:schemeClr w14:val="tx1"/>
                          </w14:solidFill>
                        </w14:textFill>
                      </w:rPr>
                    </m:ctrlPr>
                  </m:dPr>
                  <m:e>
                    <m:r>
                      <m:rPr/>
                      <w:rPr>
                        <w:rFonts w:ascii="Cambria Math" w:hAnsi="Cambria Math"/>
                        <w:color w:val="000000" w:themeColor="text1"/>
                        <w14:textFill>
                          <w14:solidFill>
                            <w14:schemeClr w14:val="tx1"/>
                          </w14:solidFill>
                        </w14:textFill>
                      </w:rPr>
                      <m:t>r</m:t>
                    </m:r>
                    <m:ctrlPr>
                      <w:rPr>
                        <w:rFonts w:ascii="Cambria Math" w:hAnsi="Cambria Math"/>
                        <w:i/>
                        <w:color w:val="000000" w:themeColor="text1"/>
                        <w14:textFill>
                          <w14:solidFill>
                            <w14:schemeClr w14:val="tx1"/>
                          </w14:solidFill>
                        </w14:textFill>
                      </w:rPr>
                    </m:ctrlPr>
                  </m:e>
                </m:d>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w</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D</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c</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d>
                  <m:dPr>
                    <m:ctrlPr>
                      <w:rPr>
                        <w:rFonts w:ascii="Cambria Math" w:hAnsi="Cambria Math" w:cs="Cambria Math"/>
                        <w:i/>
                        <w:color w:val="000000" w:themeColor="text1"/>
                        <w14:textFill>
                          <w14:solidFill>
                            <w14:schemeClr w14:val="tx1"/>
                          </w14:solidFill>
                        </w14:textFill>
                      </w:rPr>
                    </m:ctrlPr>
                  </m:dPr>
                  <m:e>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div</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atm</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gr</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bar</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minc</m:t>
                        </m:r>
                        <m:ctrlPr>
                          <w:rPr>
                            <w:rFonts w:ascii="Cambria Math" w:hAnsi="Cambria Math" w:cs="Cambria Math"/>
                            <w:i/>
                            <w:color w:val="000000" w:themeColor="text1"/>
                            <w14:textFill>
                              <w14:solidFill>
                                <w14:schemeClr w14:val="tx1"/>
                              </w14:solidFill>
                            </w14:textFill>
                          </w:rPr>
                        </m:ctrlPr>
                      </m:sub>
                    </m:sSub>
                    <m:ctrlPr>
                      <w:rPr>
                        <w:rFonts w:ascii="Cambria Math" w:hAnsi="Cambria Math" w:cs="Cambria Math"/>
                        <w:i/>
                        <w:color w:val="000000" w:themeColor="text1"/>
                        <w14:textFill>
                          <w14:solidFill>
                            <w14:schemeClr w14:val="tx1"/>
                          </w14:solidFill>
                        </w14:textFill>
                      </w:rPr>
                    </m:ctrlPr>
                  </m:e>
                </m:d>
              </m:oMath>
            </m:oMathPara>
          </w:p>
          <w:p w14:paraId="7522BDE4">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rFonts w:hint="eastAsia"/>
                <w:color w:val="000000" w:themeColor="text1"/>
                <w14:textFill>
                  <w14:solidFill>
                    <w14:schemeClr w14:val="tx1"/>
                  </w14:solidFill>
                </w14:textFill>
              </w:rPr>
              <w:t>：</w:t>
            </w: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sub>
              </m:sSub>
              <m:d>
                <m:dPr>
                  <m:ctrlPr>
                    <w:rPr>
                      <w:rFonts w:ascii="Cambria Math" w:hAnsi="Cambria Math"/>
                      <w:color w:val="000000" w:themeColor="text1"/>
                      <w14:textFill>
                        <w14:solidFill>
                          <w14:schemeClr w14:val="tx1"/>
                        </w14:solidFill>
                      </w14:textFill>
                    </w:rPr>
                  </m:ctrlPr>
                </m:dPr>
                <m:e>
                  <m:r>
                    <m:rPr>
                      <m:sty m:val="p"/>
                    </m:rPr>
                    <w:rPr>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w:t>
            </w:r>
            <w:r>
              <w:rPr>
                <w:color w:val="000000" w:themeColor="text1"/>
                <w14:textFill>
                  <w14:solidFill>
                    <w14:schemeClr w14:val="tx1"/>
                  </w14:solidFill>
                </w14:textFill>
              </w:rPr>
              <w:t>预测点处声压级，dB</w:t>
            </w:r>
            <w:r>
              <w:rPr>
                <w:rFonts w:hint="eastAsia"/>
                <w:color w:val="000000" w:themeColor="text1"/>
                <w14:textFill>
                  <w14:solidFill>
                    <w14:schemeClr w14:val="tx1"/>
                  </w14:solidFill>
                </w14:textFill>
              </w:rPr>
              <w:t>；</w:t>
            </w:r>
          </w:p>
          <w:p w14:paraId="087F006E">
            <w:pPr>
              <w:ind w:firstLine="1200" w:firstLineChars="500"/>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—由点声源产生的声功率级（A计权或倍频带），dB；</w:t>
            </w:r>
          </w:p>
          <w:p w14:paraId="7E7E9C23">
            <w:pPr>
              <w:ind w:firstLine="1200" w:firstLineChars="500"/>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D</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C</m:t>
                  </m:r>
                  <m:ctrlPr>
                    <w:rPr>
                      <w:rFonts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—指向性校正，它描述点声源的等效连续声压级与产生声功率级</w:t>
            </w: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的全向点声源在规定方向的声级的偏差程度，dB；</w:t>
            </w:r>
          </w:p>
          <w:p w14:paraId="1F008395">
            <w:pPr>
              <w:ind w:firstLine="1200" w:firstLineChars="500"/>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A</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div</m:t>
                  </m:r>
                  <m:ctrlPr>
                    <w:rPr>
                      <w:rFonts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—几何发散引起的衰减，dB；</w:t>
            </w:r>
          </w:p>
          <w:p w14:paraId="183F68EE">
            <w:pPr>
              <w:ind w:firstLine="1200" w:firstLineChars="500"/>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m:rPr>
                      <m:sty m:val="p"/>
                    </m:rPr>
                    <w:rPr>
                      <w:color w:val="000000" w:themeColor="text1"/>
                      <w14:textFill>
                        <w14:solidFill>
                          <w14:schemeClr w14:val="tx1"/>
                        </w14:solidFill>
                      </w14:textFill>
                    </w:rPr>
                    <m:t>A</m:t>
                  </m:r>
                  <m:ctrlPr>
                    <w:rPr>
                      <w:rFonts w:ascii="Cambria Math" w:hAnsi="Cambria Math"/>
                      <w:color w:val="000000" w:themeColor="text1"/>
                      <w14:textFill>
                        <w14:solidFill>
                          <w14:schemeClr w14:val="tx1"/>
                        </w14:solidFill>
                      </w14:textFill>
                    </w:rPr>
                  </m:ctrlPr>
                </m:e>
                <m:sub>
                  <m:r>
                    <m:rPr>
                      <m:sty m:val="p"/>
                    </m:rPr>
                    <w:rPr>
                      <w:color w:val="000000" w:themeColor="text1"/>
                      <w14:textFill>
                        <w14:solidFill>
                          <w14:schemeClr w14:val="tx1"/>
                        </w14:solidFill>
                      </w14:textFill>
                    </w:rPr>
                    <m:t>atm</m:t>
                  </m:r>
                  <m:ctrlPr>
                    <w:rPr>
                      <w:rFonts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—大气吸收引起的衰减，dB；</w:t>
            </w:r>
          </w:p>
          <w:p w14:paraId="0C71ABE9">
            <w:pPr>
              <w:ind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gr</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—地面效应引起的衰减，dB；</w:t>
            </w:r>
          </w:p>
          <w:p w14:paraId="7ECAEE38">
            <w:pPr>
              <w:ind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bar</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—障碍物屏蔽引起的衰减，dB；</w:t>
            </w:r>
          </w:p>
          <w:p w14:paraId="53A76CF4">
            <w:pPr>
              <w:pStyle w:val="17"/>
              <w:ind w:left="0" w:leftChars="0"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A</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minc</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—其他多方面效应引起的衰减，dB。</w:t>
            </w:r>
          </w:p>
          <w:p w14:paraId="766D89C6">
            <w:pPr>
              <w:pStyle w:val="17"/>
              <w:ind w:left="0" w:leftChars="0" w:firstLine="480"/>
              <w:rPr>
                <w:color w:val="000000" w:themeColor="text1"/>
                <w14:textFill>
                  <w14:solidFill>
                    <w14:schemeClr w14:val="tx1"/>
                  </w14:solidFill>
                </w14:textFill>
              </w:rPr>
            </w:pPr>
            <w:r>
              <w:rPr>
                <w:color w:val="000000" w:themeColor="text1"/>
                <w14:textFill>
                  <w14:solidFill>
                    <w14:schemeClr w14:val="tx1"/>
                  </w14:solidFill>
                </w14:textFill>
              </w:rPr>
              <w:t>②</w:t>
            </w:r>
            <w:r>
              <w:rPr>
                <w:rFonts w:hint="eastAsia"/>
                <w:color w:val="000000" w:themeColor="text1"/>
                <w14:textFill>
                  <w14:solidFill>
                    <w14:schemeClr w14:val="tx1"/>
                  </w14:solidFill>
                </w14:textFill>
              </w:rPr>
              <w:t>室内声源等效室外声功率级计算方法</w:t>
            </w:r>
          </w:p>
          <w:p w14:paraId="524E3018">
            <w:pPr>
              <w:pStyle w:val="17"/>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声源位于室内，室内声源可采用等效室外声功率级法进行计算。</w:t>
            </w:r>
          </w:p>
          <w:p w14:paraId="0D13974B">
            <w:pPr>
              <w:pStyle w:val="17"/>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首先计算出某一室内声源靠近围护结构处的倍频带声压级或</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声级：</w:t>
            </w:r>
          </w:p>
          <w:p w14:paraId="79DB6E86">
            <w:pPr>
              <w:pStyle w:val="17"/>
              <w:ind w:left="0" w:leftChars="0" w:firstLine="0" w:firstLineChars="0"/>
              <w:rPr>
                <w:color w:val="000000" w:themeColor="text1"/>
                <w14:textFill>
                  <w14:solidFill>
                    <w14:schemeClr w14:val="tx1"/>
                  </w14:solidFill>
                </w14:textFill>
              </w:rPr>
            </w:pPr>
            <m:oMathPara>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p1</m:t>
                    </m:r>
                    <m:ctrlPr>
                      <w:rPr>
                        <w:rFonts w:ascii="Cambria Math" w:hAnsi="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w</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+10lg</m:t>
                </m:r>
                <m:d>
                  <m:dPr>
                    <m:ctrlPr>
                      <w:rPr>
                        <w:rFonts w:ascii="Cambria Math" w:hAnsi="Cambria Math" w:cs="Cambria Math"/>
                        <w:i/>
                        <w:color w:val="000000" w:themeColor="text1"/>
                        <w14:textFill>
                          <w14:solidFill>
                            <w14:schemeClr w14:val="tx1"/>
                          </w14:solidFill>
                        </w14:textFill>
                      </w:rPr>
                    </m:ctrlPr>
                  </m:dPr>
                  <m:e>
                    <m:f>
                      <m:fPr>
                        <m:ctrlPr>
                          <w:rPr>
                            <w:rFonts w:ascii="Cambria Math" w:hAnsi="Cambria Math" w:cs="Cambria Math"/>
                            <w:i/>
                            <w:color w:val="000000" w:themeColor="text1"/>
                            <w14:textFill>
                              <w14:solidFill>
                                <w14:schemeClr w14:val="tx1"/>
                              </w14:solidFill>
                            </w14:textFill>
                          </w:rPr>
                        </m:ctrlPr>
                      </m:fPr>
                      <m:num>
                        <m:r>
                          <m:rPr/>
                          <w:rPr>
                            <w:rFonts w:ascii="Cambria Math" w:hAnsi="Cambria Math" w:cs="Cambria Math"/>
                            <w:color w:val="000000" w:themeColor="text1"/>
                            <w14:textFill>
                              <w14:solidFill>
                                <w14:schemeClr w14:val="tx1"/>
                              </w14:solidFill>
                            </w14:textFill>
                          </w:rPr>
                          <m:t>Q</m:t>
                        </m:r>
                        <m:ctrlPr>
                          <w:rPr>
                            <w:rFonts w:ascii="Cambria Math" w:hAnsi="Cambria Math" w:cs="Cambria Math"/>
                            <w:i/>
                            <w:color w:val="000000" w:themeColor="text1"/>
                            <w14:textFill>
                              <w14:solidFill>
                                <w14:schemeClr w14:val="tx1"/>
                              </w14:solidFill>
                            </w14:textFill>
                          </w:rPr>
                        </m:ctrlPr>
                      </m:num>
                      <m:den>
                        <m:r>
                          <m:rPr/>
                          <w:rPr>
                            <w:rFonts w:ascii="Cambria Math" w:hAnsi="Cambria Math" w:cs="Cambria Math"/>
                            <w:color w:val="000000" w:themeColor="text1"/>
                            <w14:textFill>
                              <w14:solidFill>
                                <w14:schemeClr w14:val="tx1"/>
                              </w14:solidFill>
                            </w14:textFill>
                          </w:rPr>
                          <m:t>4π</m:t>
                        </m:r>
                        <m:sSup>
                          <m:sSupPr>
                            <m:ctrlPr>
                              <w:rPr>
                                <w:rFonts w:ascii="Cambria Math" w:hAnsi="Cambria Math" w:cs="Cambria Math"/>
                                <w:i/>
                                <w:color w:val="000000" w:themeColor="text1"/>
                                <w14:textFill>
                                  <w14:solidFill>
                                    <w14:schemeClr w14:val="tx1"/>
                                  </w14:solidFill>
                                </w14:textFill>
                              </w:rPr>
                            </m:ctrlPr>
                          </m:sSupPr>
                          <m:e>
                            <m:r>
                              <m:rPr/>
                              <w:rPr>
                                <w:rFonts w:ascii="Cambria Math" w:hAnsi="Cambria Math" w:cs="Cambria Math"/>
                                <w:color w:val="000000" w:themeColor="text1"/>
                                <w14:textFill>
                                  <w14:solidFill>
                                    <w14:schemeClr w14:val="tx1"/>
                                  </w14:solidFill>
                                </w14:textFill>
                              </w:rPr>
                              <m:t>r</m:t>
                            </m:r>
                            <m:ctrlPr>
                              <w:rPr>
                                <w:rFonts w:ascii="Cambria Math" w:hAnsi="Cambria Math" w:cs="Cambria Math"/>
                                <w:i/>
                                <w:color w:val="000000" w:themeColor="text1"/>
                                <w14:textFill>
                                  <w14:solidFill>
                                    <w14:schemeClr w14:val="tx1"/>
                                  </w14:solidFill>
                                </w14:textFill>
                              </w:rPr>
                            </m:ctrlPr>
                          </m:e>
                          <m:sup>
                            <m:r>
                              <m:rPr/>
                              <w:rPr>
                                <w:rFonts w:ascii="Cambria Math" w:hAnsi="Cambria Math" w:cs="Cambria Math"/>
                                <w:color w:val="000000" w:themeColor="text1"/>
                                <w14:textFill>
                                  <w14:solidFill>
                                    <w14:schemeClr w14:val="tx1"/>
                                  </w14:solidFill>
                                </w14:textFill>
                              </w:rPr>
                              <m:t>2</m:t>
                            </m:r>
                            <m:ctrlPr>
                              <w:rPr>
                                <w:rFonts w:ascii="Cambria Math" w:hAnsi="Cambria Math" w:cs="Cambria Math"/>
                                <w:i/>
                                <w:color w:val="000000" w:themeColor="text1"/>
                                <w14:textFill>
                                  <w14:solidFill>
                                    <w14:schemeClr w14:val="tx1"/>
                                  </w14:solidFill>
                                </w14:textFill>
                              </w:rPr>
                            </m:ctrlPr>
                          </m:sup>
                        </m:sSup>
                        <m:ctrlPr>
                          <w:rPr>
                            <w:rFonts w:ascii="Cambria Math" w:hAnsi="Cambria Math" w:cs="Cambria Math"/>
                            <w:i/>
                            <w:color w:val="000000" w:themeColor="text1"/>
                            <w14:textFill>
                              <w14:solidFill>
                                <w14:schemeClr w14:val="tx1"/>
                              </w14:solidFill>
                            </w14:textFill>
                          </w:rPr>
                        </m:ctrlPr>
                      </m:den>
                    </m:f>
                    <m:r>
                      <m:rPr/>
                      <w:rPr>
                        <w:rFonts w:ascii="Cambria Math" w:hAnsi="Cambria Math" w:cs="Cambria Math"/>
                        <w:color w:val="000000" w:themeColor="text1"/>
                        <w14:textFill>
                          <w14:solidFill>
                            <w14:schemeClr w14:val="tx1"/>
                          </w14:solidFill>
                        </w14:textFill>
                      </w:rPr>
                      <m:t>+</m:t>
                    </m:r>
                    <m:f>
                      <m:fPr>
                        <m:ctrlPr>
                          <w:rPr>
                            <w:rFonts w:ascii="Cambria Math" w:hAnsi="Cambria Math" w:cs="Cambria Math"/>
                            <w:i/>
                            <w:color w:val="000000" w:themeColor="text1"/>
                            <w14:textFill>
                              <w14:solidFill>
                                <w14:schemeClr w14:val="tx1"/>
                              </w14:solidFill>
                            </w14:textFill>
                          </w:rPr>
                        </m:ctrlPr>
                      </m:fPr>
                      <m:num>
                        <m:r>
                          <m:rPr/>
                          <w:rPr>
                            <w:rFonts w:ascii="Cambria Math" w:hAnsi="Cambria Math" w:cs="Cambria Math"/>
                            <w:color w:val="000000" w:themeColor="text1"/>
                            <w14:textFill>
                              <w14:solidFill>
                                <w14:schemeClr w14:val="tx1"/>
                              </w14:solidFill>
                            </w14:textFill>
                          </w:rPr>
                          <m:t>4</m:t>
                        </m:r>
                        <m:ctrlPr>
                          <w:rPr>
                            <w:rFonts w:ascii="Cambria Math" w:hAnsi="Cambria Math" w:cs="Cambria Math"/>
                            <w:i/>
                            <w:color w:val="000000" w:themeColor="text1"/>
                            <w14:textFill>
                              <w14:solidFill>
                                <w14:schemeClr w14:val="tx1"/>
                              </w14:solidFill>
                            </w14:textFill>
                          </w:rPr>
                        </m:ctrlPr>
                      </m:num>
                      <m:den>
                        <m:r>
                          <m:rPr/>
                          <w:rPr>
                            <w:rFonts w:ascii="Cambria Math" w:hAnsi="Cambria Math" w:cs="Cambria Math"/>
                            <w:color w:val="000000" w:themeColor="text1"/>
                            <w14:textFill>
                              <w14:solidFill>
                                <w14:schemeClr w14:val="tx1"/>
                              </w14:solidFill>
                            </w14:textFill>
                          </w:rPr>
                          <m:t>R</m:t>
                        </m:r>
                        <m:ctrlPr>
                          <w:rPr>
                            <w:rFonts w:ascii="Cambria Math" w:hAnsi="Cambria Math" w:cs="Cambria Math"/>
                            <w:i/>
                            <w:color w:val="000000" w:themeColor="text1"/>
                            <w14:textFill>
                              <w14:solidFill>
                                <w14:schemeClr w14:val="tx1"/>
                              </w14:solidFill>
                            </w14:textFill>
                          </w:rPr>
                        </m:ctrlPr>
                      </m:den>
                    </m:f>
                    <m:ctrlPr>
                      <w:rPr>
                        <w:rFonts w:ascii="Cambria Math" w:hAnsi="Cambria Math" w:cs="Cambria Math"/>
                        <w:i/>
                        <w:color w:val="000000" w:themeColor="text1"/>
                        <w14:textFill>
                          <w14:solidFill>
                            <w14:schemeClr w14:val="tx1"/>
                          </w14:solidFill>
                        </w14:textFill>
                      </w:rPr>
                    </m:ctrlPr>
                  </m:e>
                </m:d>
              </m:oMath>
            </m:oMathPara>
          </w:p>
          <w:p w14:paraId="4525CC5D">
            <w:pPr>
              <w:pStyle w:val="17"/>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p1</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—靠近开口处(或窗户)室内某倍频带的声压级或A声级，dB;</w:t>
            </w:r>
          </w:p>
          <w:p w14:paraId="41BA45A2">
            <w:pPr>
              <w:pStyle w:val="17"/>
              <w:ind w:left="0" w:leftChars="0"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w</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—点声源声功率级(A计权或倍频带)，dB;</w:t>
            </w:r>
          </w:p>
          <w:p w14:paraId="39809E17">
            <w:pPr>
              <w:pStyle w:val="17"/>
              <w:ind w:left="1848" w:leftChars="570" w:hanging="480" w:hangingChars="200"/>
              <w:rPr>
                <w:color w:val="000000" w:themeColor="text1"/>
                <w14:textFill>
                  <w14:solidFill>
                    <w14:schemeClr w14:val="tx1"/>
                  </w14:solidFill>
                </w14:textFill>
              </w:rPr>
            </w:pPr>
            <m:oMath>
              <m:r>
                <m:rPr/>
                <w:rPr>
                  <w:rFonts w:ascii="Cambria Math" w:hAnsi="Cambria Math" w:cs="Cambria Math"/>
                  <w:color w:val="000000" w:themeColor="text1"/>
                  <w14:textFill>
                    <w14:solidFill>
                      <w14:schemeClr w14:val="tx1"/>
                    </w14:solidFill>
                  </w14:textFill>
                </w:rPr>
                <m:t>Q</m:t>
              </m:r>
            </m:oMath>
            <w:r>
              <w:rPr>
                <w:rFonts w:hint="eastAsia"/>
                <w:color w:val="000000" w:themeColor="text1"/>
                <w14:textFill>
                  <w14:solidFill>
                    <w14:schemeClr w14:val="tx1"/>
                  </w14:solidFill>
                </w14:textFill>
              </w:rPr>
              <w:t>—指向性因数；通常对无指向性声源，当声源放在房间中心时，Q=1；当放在一面墙的中心时，Q=2；当放在两面墙夹角处时，Q=4；当放在三面墙夹角处时，Q=8；</w:t>
            </w:r>
          </w:p>
          <w:p w14:paraId="2AB67F4B">
            <w:pPr>
              <w:pStyle w:val="17"/>
              <w:ind w:left="0" w:leftChars="0" w:firstLine="1200" w:firstLineChars="500"/>
              <w:rPr>
                <w:color w:val="000000" w:themeColor="text1"/>
                <w14:textFill>
                  <w14:solidFill>
                    <w14:schemeClr w14:val="tx1"/>
                  </w14:solidFill>
                </w14:textFill>
              </w:rPr>
            </w:pPr>
            <m:oMath>
              <m:r>
                <m:rPr/>
                <w:rPr>
                  <w:rFonts w:ascii="Cambria Math" w:hAnsi="Cambria Math" w:cs="Cambria Math"/>
                  <w:color w:val="000000" w:themeColor="text1"/>
                  <w14:textFill>
                    <w14:solidFill>
                      <w14:schemeClr w14:val="tx1"/>
                    </w14:solidFill>
                  </w14:textFill>
                </w:rPr>
                <m:t>R</m:t>
              </m:r>
            </m:oMath>
            <w:r>
              <w:rPr>
                <w:rFonts w:hint="eastAsia"/>
                <w:color w:val="000000" w:themeColor="text1"/>
                <w14:textFill>
                  <w14:solidFill>
                    <w14:schemeClr w14:val="tx1"/>
                  </w14:solidFill>
                </w14:textFill>
              </w:rPr>
              <w:t>—房间常数；</w:t>
            </w:r>
            <m:oMath>
              <m:r>
                <m:rPr/>
                <w:rPr>
                  <w:rFonts w:ascii="Cambria Math"/>
                  <w:color w:val="000000" w:themeColor="text1"/>
                  <w14:textFill>
                    <w14:solidFill>
                      <w14:schemeClr w14:val="tx1"/>
                    </w14:solidFill>
                  </w14:textFill>
                </w:rPr>
                <m:t>R</m:t>
              </m:r>
              <m:r>
                <m:rPr/>
                <w:rPr>
                  <w:rFonts w:ascii="Cambria Math" w:hAnsi="Cambria Math"/>
                  <w:color w:val="000000" w:themeColor="text1"/>
                  <w14:textFill>
                    <w14:solidFill>
                      <w14:schemeClr w14:val="tx1"/>
                    </w14:solidFill>
                  </w14:textFill>
                </w:rPr>
                <m:t>=S</m:t>
              </m:r>
              <m:r>
                <m:rPr/>
                <w:rPr>
                  <w:rFonts w:ascii="Cambria Math" w:hAnsi="Cambria Math" w:cs="Cambria Math"/>
                  <w:color w:val="000000" w:themeColor="text1"/>
                  <w14:textFill>
                    <w14:solidFill>
                      <w14:schemeClr w14:val="tx1"/>
                    </w14:solidFill>
                  </w14:textFill>
                </w:rPr>
                <m:t>α∕</m:t>
              </m:r>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1−α</m:t>
                  </m:r>
                  <m:ctrlPr>
                    <w:rPr>
                      <w:rFonts w:ascii="Cambria Math" w:hAnsi="Cambria Math" w:cs="Cambria Math"/>
                      <w:i/>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，S为房间内表面面积，m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；a为平均吸声系数；</w:t>
            </w:r>
          </w:p>
          <w:p w14:paraId="17C7C52D">
            <w:pPr>
              <w:pStyle w:val="17"/>
              <w:ind w:left="0" w:leftChars="0" w:firstLine="1200" w:firstLineChars="500"/>
              <w:rPr>
                <w:color w:val="000000" w:themeColor="text1"/>
                <w14:textFill>
                  <w14:solidFill>
                    <w14:schemeClr w14:val="tx1"/>
                  </w14:solidFill>
                </w14:textFill>
              </w:rPr>
            </w:pPr>
            <m:oMath>
              <m:r>
                <m:rPr/>
                <w:rPr>
                  <w:rFonts w:ascii="Cambria Math" w:hAnsi="Cambria Math" w:cs="Cambria Math"/>
                  <w:color w:val="000000" w:themeColor="text1"/>
                  <w14:textFill>
                    <w14:solidFill>
                      <w14:schemeClr w14:val="tx1"/>
                    </w14:solidFill>
                  </w14:textFill>
                </w:rPr>
                <m:t>r</m:t>
              </m:r>
            </m:oMath>
            <w:r>
              <w:rPr>
                <w:rFonts w:hint="eastAsia"/>
                <w:color w:val="000000" w:themeColor="text1"/>
                <w14:textFill>
                  <w14:solidFill>
                    <w14:schemeClr w14:val="tx1"/>
                  </w14:solidFill>
                </w14:textFill>
              </w:rPr>
              <w:t>—声源到靠近围护结构某点处的距离，m。</w:t>
            </w:r>
          </w:p>
          <w:p w14:paraId="4573EF8C">
            <w:pPr>
              <w:widowControl/>
              <w:ind w:firstLine="480"/>
              <w:jc w:val="left"/>
              <w:rPr>
                <w:color w:val="000000" w:themeColor="text1"/>
                <w14:textFill>
                  <w14:solidFill>
                    <w14:schemeClr w14:val="tx1"/>
                  </w14:solidFill>
                </w14:textFill>
              </w:rPr>
            </w:pPr>
            <w:r>
              <w:rPr>
                <w:rFonts w:hint="eastAsia" w:ascii="宋体" w:hAnsi="宋体" w:cs="宋体"/>
                <w:color w:val="000000" w:themeColor="text1"/>
                <w:kern w:val="0"/>
                <w:lang w:bidi="ar"/>
                <w14:textFill>
                  <w14:solidFill>
                    <w14:schemeClr w14:val="tx1"/>
                  </w14:solidFill>
                </w14:textFill>
              </w:rPr>
              <w:t>计算出所有室内声源的靠近围护结构处产生的</w:t>
            </w:r>
            <w:r>
              <w:rPr>
                <w:color w:val="000000" w:themeColor="text1"/>
                <w:kern w:val="0"/>
                <w:lang w:bidi="ar"/>
                <w14:textFill>
                  <w14:solidFill>
                    <w14:schemeClr w14:val="tx1"/>
                  </w14:solidFill>
                </w14:textFill>
              </w:rPr>
              <w:t>i</w:t>
            </w:r>
            <w:r>
              <w:rPr>
                <w:rFonts w:hint="eastAsia" w:ascii="宋体" w:hAnsi="宋体" w:cs="宋体"/>
                <w:color w:val="000000" w:themeColor="text1"/>
                <w:kern w:val="0"/>
                <w:lang w:bidi="ar"/>
                <w14:textFill>
                  <w14:solidFill>
                    <w14:schemeClr w14:val="tx1"/>
                  </w14:solidFill>
                </w14:textFill>
              </w:rPr>
              <w:t>倍频带叠加声压级：</w:t>
            </w:r>
          </w:p>
          <w:p w14:paraId="07D15E11">
            <w:pPr>
              <w:ind w:firstLine="480"/>
              <w:rPr>
                <w:color w:val="000000" w:themeColor="text1"/>
                <w14:textFill>
                  <w14:solidFill>
                    <w14:schemeClr w14:val="tx1"/>
                  </w14:solidFill>
                </w14:textFill>
              </w:rPr>
            </w:pPr>
            <m:oMathPara>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r>
                  <m:rPr/>
                  <w:rPr>
                    <w:rFonts w:ascii="Cambria Math" w:hAnsi="Cambria Math" w:cs="Cambria Math"/>
                    <w:color w:val="000000" w:themeColor="text1"/>
                    <w14:textFill>
                      <w14:solidFill>
                        <w14:schemeClr w14:val="tx1"/>
                      </w14:solidFill>
                    </w14:textFill>
                  </w:rPr>
                  <m:t>=10lg</m:t>
                </m:r>
                <m:d>
                  <m:dPr>
                    <m:ctrlPr>
                      <w:rPr>
                        <w:rFonts w:ascii="Cambria Math" w:hAnsi="Cambria Math" w:cs="Cambria Math"/>
                        <w:i/>
                        <w:color w:val="000000" w:themeColor="text1"/>
                        <w14:textFill>
                          <w14:solidFill>
                            <w14:schemeClr w14:val="tx1"/>
                          </w14:solidFill>
                        </w14:textFill>
                      </w:rPr>
                    </m:ctrlPr>
                  </m:dPr>
                  <m:e>
                    <m:nary>
                      <m:naryPr>
                        <m:chr m:val="∑"/>
                        <m:limLoc m:val="undOvr"/>
                        <m:ctrlPr>
                          <w:rPr>
                            <w:rFonts w:ascii="Cambria Math" w:hAnsi="Cambria Math" w:cs="Cambria Math"/>
                            <w:i/>
                            <w:color w:val="000000" w:themeColor="text1"/>
                            <w14:textFill>
                              <w14:solidFill>
                                <w14:schemeClr w14:val="tx1"/>
                              </w14:solidFill>
                            </w14:textFill>
                          </w:rPr>
                        </m:ctrlPr>
                      </m:naryPr>
                      <m:sub>
                        <m:r>
                          <m:rPr/>
                          <w:rPr>
                            <w:rFonts w:ascii="Cambria Math" w:hAnsi="Cambria Math" w:cs="Cambria Math"/>
                            <w:color w:val="000000" w:themeColor="text1"/>
                            <w14:textFill>
                              <w14:solidFill>
                                <w14:schemeClr w14:val="tx1"/>
                              </w14:solidFill>
                            </w14:textFill>
                          </w:rPr>
                          <m:t>j=i</m:t>
                        </m:r>
                        <m:ctrlPr>
                          <w:rPr>
                            <w:rFonts w:ascii="Cambria Math" w:hAnsi="Cambria Math" w:cs="Cambria Math"/>
                            <w:i/>
                            <w:color w:val="000000" w:themeColor="text1"/>
                            <w14:textFill>
                              <w14:solidFill>
                                <w14:schemeClr w14:val="tx1"/>
                              </w14:solidFill>
                            </w14:textFill>
                          </w:rPr>
                        </m:ctrlPr>
                      </m:sub>
                      <m:sup>
                        <m:r>
                          <m:rPr/>
                          <w:rPr>
                            <w:rFonts w:ascii="Cambria Math" w:hAnsi="Cambria Math" w:cs="Cambria Math"/>
                            <w:color w:val="000000" w:themeColor="text1"/>
                            <w14:textFill>
                              <w14:solidFill>
                                <w14:schemeClr w14:val="tx1"/>
                              </w14:solidFill>
                            </w14:textFill>
                          </w:rPr>
                          <m:t>N</m:t>
                        </m:r>
                        <m:ctrlPr>
                          <w:rPr>
                            <w:rFonts w:ascii="Cambria Math" w:hAnsi="Cambria Math" w:cs="Cambria Math"/>
                            <w:i/>
                            <w:color w:val="000000" w:themeColor="text1"/>
                            <w14:textFill>
                              <w14:solidFill>
                                <w14:schemeClr w14:val="tx1"/>
                              </w14:solidFill>
                            </w14:textFill>
                          </w:rPr>
                        </m:ctrlPr>
                      </m:sup>
                      <m:e>
                        <m:sSup>
                          <m:sSupPr>
                            <m:ctrlPr>
                              <w:rPr>
                                <w:rFonts w:ascii="Cambria Math" w:hAnsi="Cambria Math" w:cs="Cambria Math"/>
                                <w:i/>
                                <w:color w:val="000000" w:themeColor="text1"/>
                                <w14:textFill>
                                  <w14:solidFill>
                                    <w14:schemeClr w14:val="tx1"/>
                                  </w14:solidFill>
                                </w14:textFill>
                              </w:rPr>
                            </m:ctrlPr>
                          </m:sSupPr>
                          <m:e>
                            <m:r>
                              <m:rPr/>
                              <w:rPr>
                                <w:rFonts w:ascii="Cambria Math" w:hAnsi="Cambria Math" w:cs="Cambria Math"/>
                                <w:color w:val="000000" w:themeColor="text1"/>
                                <w14:textFill>
                                  <w14:solidFill>
                                    <w14:schemeClr w14:val="tx1"/>
                                  </w14:solidFill>
                                </w14:textFill>
                              </w:rPr>
                              <m:t>10</m:t>
                            </m:r>
                            <m:ctrlPr>
                              <w:rPr>
                                <w:rFonts w:ascii="Cambria Math" w:hAnsi="Cambria Math" w:cs="Cambria Math"/>
                                <w:i/>
                                <w:color w:val="000000" w:themeColor="text1"/>
                                <w14:textFill>
                                  <w14:solidFill>
                                    <w14:schemeClr w14:val="tx1"/>
                                  </w14:solidFill>
                                </w14:textFill>
                              </w:rPr>
                            </m:ctrlPr>
                          </m:e>
                          <m:sup>
                            <m:r>
                              <m:rPr/>
                              <w:rPr>
                                <w:rFonts w:ascii="Cambria Math" w:hAnsi="Cambria Math" w:cs="Cambria Math"/>
                                <w:color w:val="000000" w:themeColor="text1"/>
                                <w14:textFill>
                                  <w14:solidFill>
                                    <w14:schemeClr w14:val="tx1"/>
                                  </w14:solidFill>
                                </w14:textFill>
                              </w:rPr>
                              <m:t>0.1</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p1ij</m:t>
                                </m:r>
                                <m:ctrlPr>
                                  <w:rPr>
                                    <w:rFonts w:ascii="Cambria Math" w:hAnsi="Cambria Math" w:cs="Cambria Math"/>
                                    <w:i/>
                                    <w:color w:val="000000" w:themeColor="text1"/>
                                    <w14:textFill>
                                      <w14:solidFill>
                                        <w14:schemeClr w14:val="tx1"/>
                                      </w14:solidFill>
                                    </w14:textFill>
                                  </w:rPr>
                                </m:ctrlPr>
                              </m:sub>
                            </m:sSub>
                            <m:ctrlPr>
                              <w:rPr>
                                <w:rFonts w:ascii="Cambria Math" w:hAnsi="Cambria Math" w:cs="Cambria Math"/>
                                <w:i/>
                                <w:color w:val="000000" w:themeColor="text1"/>
                                <w14:textFill>
                                  <w14:solidFill>
                                    <w14:schemeClr w14:val="tx1"/>
                                  </w14:solidFill>
                                </w14:textFill>
                              </w:rPr>
                            </m:ctrlPr>
                          </m:sup>
                        </m:sSup>
                        <m:ctrlPr>
                          <w:rPr>
                            <w:rFonts w:ascii="Cambria Math" w:hAnsi="Cambria Math" w:cs="Cambria Math"/>
                            <w:i/>
                            <w:color w:val="000000" w:themeColor="text1"/>
                            <w14:textFill>
                              <w14:solidFill>
                                <w14:schemeClr w14:val="tx1"/>
                              </w14:solidFill>
                            </w14:textFill>
                          </w:rPr>
                        </m:ctrlPr>
                      </m:e>
                    </m:nary>
                    <m:ctrlPr>
                      <w:rPr>
                        <w:rFonts w:ascii="Cambria Math" w:hAnsi="Cambria Math" w:cs="Cambria Math"/>
                        <w:i/>
                        <w:color w:val="000000" w:themeColor="text1"/>
                        <w14:textFill>
                          <w14:solidFill>
                            <w14:schemeClr w14:val="tx1"/>
                          </w14:solidFill>
                        </w14:textFill>
                      </w:rPr>
                    </m:ctrlPr>
                  </m:e>
                </m:d>
              </m:oMath>
            </m:oMathPara>
          </w:p>
          <w:p w14:paraId="0B1A49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—靠近围护结构处室内N个声源i倍频带的叠加声压级，dB；</w:t>
            </w:r>
          </w:p>
          <w:p w14:paraId="16FDE3FF">
            <w:pPr>
              <w:ind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p1ij</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—室内j声源i倍频带的声压级，dB；</w:t>
            </w:r>
          </w:p>
          <w:p w14:paraId="1D6727FF">
            <w:pPr>
              <w:ind w:firstLine="1200" w:firstLineChars="500"/>
              <w:rPr>
                <w:color w:val="000000" w:themeColor="text1"/>
                <w14:textFill>
                  <w14:solidFill>
                    <w14:schemeClr w14:val="tx1"/>
                  </w14:solidFill>
                </w14:textFill>
              </w:rPr>
            </w:pPr>
            <m:oMath>
              <m:r>
                <m:rPr/>
                <w:rPr>
                  <w:rFonts w:ascii="Cambria Math" w:hAnsi="Cambria Math" w:cs="Cambria Math"/>
                  <w:color w:val="000000" w:themeColor="text1"/>
                  <w14:textFill>
                    <w14:solidFill>
                      <w14:schemeClr w14:val="tx1"/>
                    </w14:solidFill>
                  </w14:textFill>
                </w:rPr>
                <m:t>N</m:t>
              </m:r>
            </m:oMath>
            <w:r>
              <w:rPr>
                <w:rFonts w:hint="eastAsia"/>
                <w:color w:val="000000" w:themeColor="text1"/>
                <w14:textFill>
                  <w14:solidFill>
                    <w14:schemeClr w14:val="tx1"/>
                  </w14:solidFill>
                </w14:textFill>
              </w:rPr>
              <w:t>—室内声源总数。</w:t>
            </w:r>
          </w:p>
          <w:p w14:paraId="456CA3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计算出靠近室外围护结构处的声压级：</w:t>
            </w:r>
          </w:p>
          <w:p w14:paraId="4A5CE2C7">
            <w:pPr>
              <w:ind w:firstLine="480"/>
              <w:rPr>
                <w:color w:val="000000" w:themeColor="text1"/>
                <w14:textFill>
                  <w14:solidFill>
                    <w14:schemeClr w14:val="tx1"/>
                  </w14:solidFill>
                </w14:textFill>
              </w:rPr>
            </w:pPr>
            <m:oMathPara>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p2i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r>
                  <m:rPr/>
                  <w:rPr>
                    <w:rFonts w:ascii="Cambria Math" w:hAnsi="Cambria Math" w:cs="Cambria Math"/>
                    <w:color w:val="000000" w:themeColor="text1"/>
                    <w14:textFill>
                      <w14:solidFill>
                        <w14:schemeClr w14:val="tx1"/>
                      </w14:solidFill>
                    </w14:textFill>
                  </w:rPr>
                  <m:t>−</m:t>
                </m:r>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i</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+6</m:t>
                    </m:r>
                    <m:ctrlPr>
                      <w:rPr>
                        <w:rFonts w:ascii="Cambria Math" w:hAnsi="Cambria Math" w:cs="Cambria Math"/>
                        <w:i/>
                        <w:color w:val="000000" w:themeColor="text1"/>
                        <w14:textFill>
                          <w14:solidFill>
                            <w14:schemeClr w14:val="tx1"/>
                          </w14:solidFill>
                        </w14:textFill>
                      </w:rPr>
                    </m:ctrlPr>
                  </m:e>
                </m:d>
              </m:oMath>
            </m:oMathPara>
          </w:p>
          <w:p w14:paraId="1A6483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p2i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—靠近围护结构处室外N个声源i倍频带的叠加声压级，dB；</w:t>
            </w:r>
          </w:p>
          <w:p w14:paraId="743DCCF7">
            <w:pPr>
              <w:ind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p1i</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—靠近围护结构处室内N个声源i倍频带的叠加声压级，dB；</w:t>
            </w:r>
          </w:p>
          <w:p w14:paraId="2E03C40B">
            <w:pPr>
              <w:ind w:firstLine="1200" w:firstLineChars="500"/>
              <w:rPr>
                <w:color w:val="000000" w:themeColor="text1"/>
                <w14:textFill>
                  <w14:solidFill>
                    <w14:schemeClr w14:val="tx1"/>
                  </w14:solidFill>
                </w14:textFill>
              </w:rPr>
            </w:pPr>
            <m:oMath>
              <m:r>
                <m:rPr/>
                <w:rPr>
                  <w:rFonts w:ascii="Cambria Math" w:hAnsi="Cambria Math" w:cs="Cambria Math"/>
                  <w:color w:val="000000" w:themeColor="text1"/>
                  <w14:textFill>
                    <w14:solidFill>
                      <w14:schemeClr w14:val="tx1"/>
                    </w14:solidFill>
                  </w14:textFill>
                </w:rPr>
                <m:t>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i</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—围护结构i倍频带的隔声量，dB。</w:t>
            </w:r>
          </w:p>
          <w:p w14:paraId="7B35A9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将室外声源的声压级和透过面积换算成等效的室外声源，计算出中心位置位于透声面积S处的等效声源的倍频带的声功率级：</w:t>
            </w:r>
          </w:p>
          <w:p w14:paraId="1C7372DB">
            <w:pPr>
              <w:ind w:firstLine="480"/>
              <w:rPr>
                <w:color w:val="000000" w:themeColor="text1"/>
                <w14:textFill>
                  <w14:solidFill>
                    <w14:schemeClr w14:val="tx1"/>
                  </w14:solidFill>
                </w14:textFill>
              </w:rPr>
            </w:pPr>
            <m:oMathPara>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w</m:t>
                    </m:r>
                    <m:ctrlPr>
                      <w:rPr>
                        <w:rFonts w:ascii="Cambria Math" w:hAnsi="Cambria Math" w:cs="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p2</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r>
                  <m:rPr/>
                  <w:rPr>
                    <w:rFonts w:ascii="Cambria Math" w:hAnsi="Cambria Math" w:cs="Cambria Math"/>
                    <w:color w:val="000000" w:themeColor="text1"/>
                    <w14:textFill>
                      <w14:solidFill>
                        <w14:schemeClr w14:val="tx1"/>
                      </w14:solidFill>
                    </w14:textFill>
                  </w:rPr>
                  <m:t>+10lgS</m:t>
                </m:r>
              </m:oMath>
            </m:oMathPara>
          </w:p>
          <w:p w14:paraId="47CF421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w</m:t>
                  </m:r>
                  <m:ctrlPr>
                    <w:rPr>
                      <w:rFonts w:ascii="Cambria Math" w:hAnsi="Cambria Math" w:cs="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—中心位置位于透声面积（S）处的等效声源的倍频带声功率级，dB；</w:t>
            </w:r>
          </w:p>
          <w:p w14:paraId="77BDDC26">
            <w:pPr>
              <w:ind w:firstLine="1200" w:firstLineChars="500"/>
              <w:rPr>
                <w:color w:val="000000" w:themeColor="text1"/>
                <w14:textFill>
                  <w14:solidFill>
                    <w14:schemeClr w14:val="tx1"/>
                  </w14:solidFill>
                </w14:textFill>
              </w:rPr>
            </w:pPr>
            <m:oMath>
              <m:sSub>
                <m:sSubPr>
                  <m:ctrlPr>
                    <w:rPr>
                      <w:rFonts w:ascii="Cambria Math" w:hAnsi="Cambria Math" w:cs="Cambria Math"/>
                      <w:i/>
                      <w:color w:val="000000" w:themeColor="text1"/>
                      <w14:textFill>
                        <w14:solidFill>
                          <w14:schemeClr w14:val="tx1"/>
                        </w14:solidFill>
                      </w14:textFill>
                    </w:rPr>
                  </m:ctrlPr>
                </m:sSubPr>
                <m:e>
                  <m:r>
                    <m:rPr/>
                    <w:rPr>
                      <w:rFonts w:ascii="Cambria Math" w:hAnsi="Cambria Math" w:cs="Cambria Math"/>
                      <w:color w:val="000000" w:themeColor="text1"/>
                      <w14:textFill>
                        <w14:solidFill>
                          <w14:schemeClr w14:val="tx1"/>
                        </w14:solidFill>
                      </w14:textFill>
                    </w:rPr>
                    <m:t>L</m:t>
                  </m:r>
                  <m:ctrlPr>
                    <w:rPr>
                      <w:rFonts w:ascii="Cambria Math" w:hAnsi="Cambria Math" w:cs="Cambria Math"/>
                      <w:i/>
                      <w:color w:val="000000" w:themeColor="text1"/>
                      <w14:textFill>
                        <w14:solidFill>
                          <w14:schemeClr w14:val="tx1"/>
                        </w14:solidFill>
                      </w14:textFill>
                    </w:rPr>
                  </m:ctrlPr>
                </m:e>
                <m:sub>
                  <m:r>
                    <m:rPr/>
                    <w:rPr>
                      <w:rFonts w:ascii="Cambria Math" w:hAnsi="Cambria Math" w:cs="Cambria Math"/>
                      <w:color w:val="000000" w:themeColor="text1"/>
                      <w14:textFill>
                        <w14:solidFill>
                          <w14:schemeClr w14:val="tx1"/>
                        </w14:solidFill>
                      </w14:textFill>
                    </w:rPr>
                    <m:t>p2</m:t>
                  </m:r>
                  <m:ctrlPr>
                    <w:rPr>
                      <w:rFonts w:ascii="Cambria Math" w:hAnsi="Cambria Math" w:cs="Cambria Math"/>
                      <w:i/>
                      <w:color w:val="000000" w:themeColor="text1"/>
                      <w14:textFill>
                        <w14:solidFill>
                          <w14:schemeClr w14:val="tx1"/>
                        </w14:solidFill>
                      </w14:textFill>
                    </w:rPr>
                  </m:ctrlPr>
                </m:sub>
              </m:sSub>
              <m:d>
                <m:dPr>
                  <m:ctrlPr>
                    <w:rPr>
                      <w:rFonts w:ascii="Cambria Math" w:hAnsi="Cambria Math" w:cs="Cambria Math"/>
                      <w:i/>
                      <w:color w:val="000000" w:themeColor="text1"/>
                      <w14:textFill>
                        <w14:solidFill>
                          <w14:schemeClr w14:val="tx1"/>
                        </w14:solidFill>
                      </w14:textFill>
                    </w:rPr>
                  </m:ctrlPr>
                </m:dPr>
                <m:e>
                  <m:r>
                    <m:rPr/>
                    <w:rPr>
                      <w:rFonts w:ascii="Cambria Math" w:hAnsi="Cambria Math" w:cs="Cambria Math"/>
                      <w:color w:val="000000" w:themeColor="text1"/>
                      <w14:textFill>
                        <w14:solidFill>
                          <w14:schemeClr w14:val="tx1"/>
                        </w14:solidFill>
                      </w14:textFill>
                    </w:rPr>
                    <m:t>T</m:t>
                  </m:r>
                  <m:ctrlPr>
                    <w:rPr>
                      <w:rFonts w:ascii="Cambria Math" w:hAnsi="Cambria Math" w:cs="Cambria Math"/>
                      <w:i/>
                      <w:color w:val="000000" w:themeColor="text1"/>
                      <w14:textFill>
                        <w14:solidFill>
                          <w14:schemeClr w14:val="tx1"/>
                        </w14:solidFill>
                      </w14:textFill>
                    </w:rPr>
                  </m:ctrlPr>
                </m:e>
              </m:d>
            </m:oMath>
            <w:r>
              <w:rPr>
                <w:rFonts w:hint="eastAsia"/>
                <w:color w:val="000000" w:themeColor="text1"/>
                <w14:textFill>
                  <w14:solidFill>
                    <w14:schemeClr w14:val="tx1"/>
                  </w14:solidFill>
                </w14:textFill>
              </w:rPr>
              <w:t>—靠近围护结构处室外声源的声压级，dB；</w:t>
            </w:r>
          </w:p>
          <w:p w14:paraId="230059E8">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S—透声面积，m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16BB8E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然后按室外声源预测方法计算预测点处的A声级。</w:t>
            </w:r>
          </w:p>
          <w:p w14:paraId="1706DE97">
            <w:pPr>
              <w:ind w:firstLine="480"/>
              <w:rPr>
                <w:color w:val="000000" w:themeColor="text1"/>
                <w14:textFill>
                  <w14:solidFill>
                    <w14:schemeClr w14:val="tx1"/>
                  </w14:solidFill>
                </w14:textFill>
              </w:rPr>
            </w:pPr>
            <w:r>
              <w:rPr>
                <w:color w:val="000000" w:themeColor="text1"/>
                <w14:textFill>
                  <w14:solidFill>
                    <w14:schemeClr w14:val="tx1"/>
                  </w14:solidFill>
                </w14:textFill>
              </w:rPr>
              <w:t>③</w:t>
            </w:r>
            <w:r>
              <w:rPr>
                <w:rFonts w:hint="eastAsia"/>
                <w:color w:val="000000" w:themeColor="text1"/>
                <w14:textFill>
                  <w14:solidFill>
                    <w14:schemeClr w14:val="tx1"/>
                  </w14:solidFill>
                </w14:textFill>
              </w:rPr>
              <w:t>工业企业噪声计算</w:t>
            </w:r>
          </w:p>
          <w:p w14:paraId="5990D4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设第</w:t>
            </w:r>
            <m:oMath>
              <m:r>
                <m:rPr/>
                <w:rPr>
                  <w:rFonts w:ascii="Cambria Math" w:hAnsi="Cambria Math"/>
                  <w:color w:val="000000" w:themeColor="text1"/>
                  <w14:textFill>
                    <w14:solidFill>
                      <w14:schemeClr w14:val="tx1"/>
                    </w14:solidFill>
                  </w14:textFill>
                </w:rPr>
                <m:t>i</m:t>
              </m:r>
            </m:oMath>
            <w:r>
              <w:rPr>
                <w:rFonts w:hint="eastAsia"/>
                <w:color w:val="000000" w:themeColor="text1"/>
                <w14:textFill>
                  <w14:solidFill>
                    <w14:schemeClr w14:val="tx1"/>
                  </w14:solidFill>
                </w14:textFill>
              </w:rPr>
              <w:t>个室外声源在预测点产生的</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声级为</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Ai</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，在</w:t>
            </w:r>
            <m:oMath>
              <m:r>
                <m:rPr/>
                <w:rPr>
                  <w:rFonts w:ascii="Cambria Math" w:hAnsi="Cambria Math"/>
                  <w:color w:val="000000" w:themeColor="text1"/>
                  <w14:textFill>
                    <w14:solidFill>
                      <w14:schemeClr w14:val="tx1"/>
                    </w14:solidFill>
                  </w14:textFill>
                </w:rPr>
                <m:t>T</m:t>
              </m:r>
            </m:oMath>
            <w:r>
              <w:rPr>
                <w:rFonts w:hint="eastAsia"/>
                <w:color w:val="000000" w:themeColor="text1"/>
                <w14:textFill>
                  <w14:solidFill>
                    <w14:schemeClr w14:val="tx1"/>
                  </w14:solidFill>
                </w14:textFill>
              </w:rPr>
              <w:t>时间内该声源工作时间为</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i</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；第</w:t>
            </w:r>
            <m:oMath>
              <m:r>
                <m:rPr/>
                <w:rPr>
                  <w:rFonts w:ascii="Cambria Math" w:hAnsi="Cambria Math"/>
                  <w:color w:val="000000" w:themeColor="text1"/>
                  <w14:textFill>
                    <w14:solidFill>
                      <w14:schemeClr w14:val="tx1"/>
                    </w14:solidFill>
                  </w14:textFill>
                </w:rPr>
                <m:t>j</m:t>
              </m:r>
            </m:oMath>
            <w:r>
              <w:rPr>
                <w:rFonts w:hint="eastAsia"/>
                <w:color w:val="000000" w:themeColor="text1"/>
                <w14:textFill>
                  <w14:solidFill>
                    <w14:schemeClr w14:val="tx1"/>
                  </w14:solidFill>
                </w14:textFill>
              </w:rPr>
              <w:t>个等效室外声源在预测点产生的</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声级为</w:t>
            </w:r>
            <m:oMath>
              <m:sSub>
                <m:sSubPr>
                  <m:ctrlPr>
                    <w:rPr>
                      <w:rFonts w:hint="eastAsia" w:ascii="Cambria Math" w:hAnsi="Cambria Math"/>
                      <w:color w:val="000000" w:themeColor="text1"/>
                      <w14:textFill>
                        <w14:solidFill>
                          <w14:schemeClr w14:val="tx1"/>
                        </w14:solidFill>
                      </w14:textFill>
                    </w:rPr>
                  </m:ctrlPr>
                </m:sSubPr>
                <m:e>
                  <m:r>
                    <m:rPr>
                      <m:sty m:val="p"/>
                    </m:rPr>
                    <w:rPr>
                      <w:rFonts w:hint="eastAsia"/>
                      <w:color w:val="000000" w:themeColor="text1"/>
                      <w14:textFill>
                        <w14:solidFill>
                          <w14:schemeClr w14:val="tx1"/>
                        </w14:solidFill>
                      </w14:textFill>
                    </w:rPr>
                    <m:t>L</m:t>
                  </m:r>
                  <m:ctrlPr>
                    <w:rPr>
                      <w:rFonts w:hint="eastAsia" w:ascii="Cambria Math" w:hAnsi="Cambria Math"/>
                      <w:color w:val="000000" w:themeColor="text1"/>
                      <w14:textFill>
                        <w14:solidFill>
                          <w14:schemeClr w14:val="tx1"/>
                        </w14:solidFill>
                      </w14:textFill>
                    </w:rPr>
                  </m:ctrlPr>
                </m:e>
                <m:sub>
                  <m:r>
                    <m:rPr>
                      <m:sty m:val="p"/>
                    </m:rPr>
                    <w:rPr>
                      <w:rFonts w:hint="eastAsia"/>
                      <w:color w:val="000000" w:themeColor="text1"/>
                      <w14:textFill>
                        <w14:solidFill>
                          <w14:schemeClr w14:val="tx1"/>
                        </w14:solidFill>
                      </w14:textFill>
                    </w:rPr>
                    <m:t>Aj</m:t>
                  </m:r>
                  <m:ctrlPr>
                    <w:rPr>
                      <w:rFonts w:hint="eastAsia"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，在</w:t>
            </w:r>
            <m:oMath>
              <m:r>
                <m:rPr/>
                <w:rPr>
                  <w:rFonts w:ascii="Cambria Math" w:hAnsi="Cambria Math"/>
                  <w:color w:val="000000" w:themeColor="text1"/>
                  <w14:textFill>
                    <w14:solidFill>
                      <w14:schemeClr w14:val="tx1"/>
                    </w14:solidFill>
                  </w14:textFill>
                </w:rPr>
                <m:t>T</m:t>
              </m:r>
            </m:oMath>
            <w:r>
              <w:rPr>
                <w:rFonts w:hint="eastAsia"/>
                <w:color w:val="000000" w:themeColor="text1"/>
                <w14:textFill>
                  <w14:solidFill>
                    <w14:schemeClr w14:val="tx1"/>
                  </w14:solidFill>
                </w14:textFill>
              </w:rPr>
              <w:t>时间内该声源工作时间为</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j</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，则拟建工程声源对预测点产生的贡献值（</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eqg</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）为：</w:t>
            </w:r>
          </w:p>
          <w:p w14:paraId="2281134C">
            <w:pPr>
              <w:ind w:firstLine="480"/>
              <w:rPr>
                <w:color w:val="000000" w:themeColor="text1"/>
                <w14:textFill>
                  <w14:solidFill>
                    <w14:schemeClr w14:val="tx1"/>
                  </w14:solidFill>
                </w14:textFill>
              </w:rPr>
            </w:pPr>
            <m:oMathPara>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eqg</m:t>
                    </m:r>
                    <m:ctrlPr>
                      <w:rPr>
                        <w:rFonts w:ascii="Cambria Math" w:hAnsi="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r>
                  <m:rPr/>
                  <w:rPr>
                    <w:rFonts w:ascii="Cambria Math" w:hAnsi="Cambria Math"/>
                    <w:color w:val="000000" w:themeColor="text1"/>
                    <w14:textFill>
                      <w14:solidFill>
                        <w14:schemeClr w14:val="tx1"/>
                      </w14:solidFill>
                    </w14:textFill>
                  </w:rPr>
                  <m:t>10lg</m:t>
                </m:r>
                <m:d>
                  <m:dPr>
                    <m:begChr m:val="["/>
                    <m:endChr m:val="]"/>
                    <m:ctrlPr>
                      <w:rPr>
                        <w:rFonts w:ascii="Cambria Math" w:hAnsi="Cambria Math"/>
                        <w:i/>
                        <w:color w:val="000000" w:themeColor="text1"/>
                        <w14:textFill>
                          <w14:solidFill>
                            <w14:schemeClr w14:val="tx1"/>
                          </w14:solidFill>
                        </w14:textFill>
                      </w:rPr>
                    </m:ctrlPr>
                  </m:dPr>
                  <m:e>
                    <m:f>
                      <m:fPr>
                        <m:ctrlPr>
                          <w:rPr>
                            <w:rFonts w:ascii="Cambria Math" w:hAnsi="Cambria Math"/>
                            <w:i/>
                            <w:color w:val="000000" w:themeColor="text1"/>
                            <w14:textFill>
                              <w14:solidFill>
                                <w14:schemeClr w14:val="tx1"/>
                              </w14:solidFill>
                            </w14:textFill>
                          </w:rPr>
                        </m:ctrlPr>
                      </m:fPr>
                      <m:num>
                        <m:r>
                          <m:rPr/>
                          <w:rPr>
                            <w:rFonts w:ascii="Cambria Math" w:hAnsi="Cambria Math"/>
                            <w:color w:val="000000" w:themeColor="text1"/>
                            <w14:textFill>
                              <w14:solidFill>
                                <w14:schemeClr w14:val="tx1"/>
                              </w14:solidFill>
                            </w14:textFill>
                          </w:rPr>
                          <m:t>1</m:t>
                        </m:r>
                        <m:ctrlPr>
                          <w:rPr>
                            <w:rFonts w:ascii="Cambria Math" w:hAnsi="Cambria Math"/>
                            <w:i/>
                            <w:color w:val="000000" w:themeColor="text1"/>
                            <w14:textFill>
                              <w14:solidFill>
                                <w14:schemeClr w14:val="tx1"/>
                              </w14:solidFill>
                            </w14:textFill>
                          </w:rPr>
                        </m:ctrlPr>
                      </m:num>
                      <m:den>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den>
                    </m:f>
                    <m:d>
                      <m:dPr>
                        <m:ctrlPr>
                          <w:rPr>
                            <w:rFonts w:ascii="Cambria Math" w:hAnsi="Cambria Math"/>
                            <w:i/>
                            <w:color w:val="000000" w:themeColor="text1"/>
                            <w14:textFill>
                              <w14:solidFill>
                                <w14:schemeClr w14:val="tx1"/>
                              </w14:solidFill>
                            </w14:textFill>
                          </w:rPr>
                        </m:ctrlPr>
                      </m:dPr>
                      <m:e>
                        <m:nary>
                          <m:naryPr>
                            <m:chr m:val="∑"/>
                            <m:limLoc m:val="undOvr"/>
                            <m:ctrlPr>
                              <w:rPr>
                                <w:rFonts w:ascii="Cambria Math" w:hAnsi="Cambria Math"/>
                                <w:i/>
                                <w:color w:val="000000" w:themeColor="text1"/>
                                <w14:textFill>
                                  <w14:solidFill>
                                    <w14:schemeClr w14:val="tx1"/>
                                  </w14:solidFill>
                                </w14:textFill>
                              </w:rPr>
                            </m:ctrlPr>
                          </m:naryPr>
                          <m:sub>
                            <m:r>
                              <m:rPr/>
                              <w:rPr>
                                <w:rFonts w:ascii="Cambria Math" w:hAnsi="Cambria Math"/>
                                <w:color w:val="000000" w:themeColor="text1"/>
                                <w14:textFill>
                                  <w14:solidFill>
                                    <w14:schemeClr w14:val="tx1"/>
                                  </w14:solidFill>
                                </w14:textFill>
                              </w:rPr>
                              <m:t>i</m:t>
                            </m:r>
                            <m:r>
                              <m:rPr/>
                              <w:rPr>
                                <w:rFonts w:hint="eastAsia" w:ascii="Cambria Math" w:hAnsi="Cambria Math"/>
                                <w:color w:val="000000" w:themeColor="text1"/>
                                <w14:textFill>
                                  <w14:solidFill>
                                    <w14:schemeClr w14:val="tx1"/>
                                  </w14:solidFill>
                                </w14:textFill>
                              </w:rPr>
                              <m:t>=</m:t>
                            </m:r>
                            <m:r>
                              <m:rPr/>
                              <w:rPr>
                                <w:rFonts w:ascii="Cambria Math" w:hAnsi="Cambria Math"/>
                                <w:color w:val="000000" w:themeColor="text1"/>
                                <w14:textFill>
                                  <w14:solidFill>
                                    <w14:schemeClr w14:val="tx1"/>
                                  </w14:solidFill>
                                </w14:textFill>
                              </w:rPr>
                              <m:t>1</m:t>
                            </m:r>
                            <m:ctrlPr>
                              <w:rPr>
                                <w:rFonts w:ascii="Cambria Math" w:hAnsi="Cambria Math"/>
                                <w:i/>
                                <w:color w:val="000000" w:themeColor="text1"/>
                                <w14:textFill>
                                  <w14:solidFill>
                                    <w14:schemeClr w14:val="tx1"/>
                                  </w14:solidFill>
                                </w14:textFill>
                              </w:rPr>
                            </m:ctrlPr>
                          </m:sub>
                          <m:sup>
                            <m:r>
                              <m:rPr/>
                              <w:rPr>
                                <w:rFonts w:ascii="Cambria Math" w:hAnsi="Cambria Math"/>
                                <w:color w:val="000000" w:themeColor="text1"/>
                                <w14:textFill>
                                  <w14:solidFill>
                                    <w14:schemeClr w14:val="tx1"/>
                                  </w14:solidFill>
                                </w14:textFill>
                              </w:rPr>
                              <m:t>N</m:t>
                            </m:r>
                            <m:ctrlPr>
                              <w:rPr>
                                <w:rFonts w:ascii="Cambria Math" w:hAnsi="Cambria Math"/>
                                <w:i/>
                                <w:color w:val="000000" w:themeColor="text1"/>
                                <w14:textFill>
                                  <w14:solidFill>
                                    <w14:schemeClr w14:val="tx1"/>
                                  </w14:solidFill>
                                </w14:textFill>
                              </w:rPr>
                            </m:ctrlPr>
                          </m:sup>
                          <m:e>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i</m:t>
                                </m:r>
                                <m:ctrlPr>
                                  <w:rPr>
                                    <w:rFonts w:ascii="Cambria Math" w:hAnsi="Cambria Math"/>
                                    <w:i/>
                                    <w:color w:val="000000" w:themeColor="text1"/>
                                    <w14:textFill>
                                      <w14:solidFill>
                                        <w14:schemeClr w14:val="tx1"/>
                                      </w14:solidFill>
                                    </w14:textFill>
                                  </w:rPr>
                                </m:ctrlPr>
                              </m:sub>
                            </m:sSub>
                            <m:sSup>
                              <m:sSupPr>
                                <m:ctrlPr>
                                  <w:rPr>
                                    <w:rFonts w:ascii="Cambria Math" w:hAnsi="Cambria Math"/>
                                    <w:i/>
                                    <w:color w:val="000000" w:themeColor="text1"/>
                                    <w14:textFill>
                                      <w14:solidFill>
                                        <w14:schemeClr w14:val="tx1"/>
                                      </w14:solidFill>
                                    </w14:textFill>
                                  </w:rPr>
                                </m:ctrlPr>
                              </m:sSupPr>
                              <m:e>
                                <m:r>
                                  <m:rPr/>
                                  <w:rPr>
                                    <w:rFonts w:ascii="Cambria Math" w:hAnsi="Cambria Math"/>
                                    <w:color w:val="000000" w:themeColor="text1"/>
                                    <w14:textFill>
                                      <w14:solidFill>
                                        <w14:schemeClr w14:val="tx1"/>
                                      </w14:solidFill>
                                    </w14:textFill>
                                  </w:rPr>
                                  <m:t>10</m:t>
                                </m:r>
                                <m:ctrlPr>
                                  <w:rPr>
                                    <w:rFonts w:ascii="Cambria Math" w:hAnsi="Cambria Math"/>
                                    <w:i/>
                                    <w:color w:val="000000" w:themeColor="text1"/>
                                    <w14:textFill>
                                      <w14:solidFill>
                                        <w14:schemeClr w14:val="tx1"/>
                                      </w14:solidFill>
                                    </w14:textFill>
                                  </w:rPr>
                                </m:ctrlPr>
                              </m:e>
                              <m:sup>
                                <m:r>
                                  <m:rPr/>
                                  <w:rPr>
                                    <w:rFonts w:ascii="Cambria Math" w:hAnsi="Cambria Math"/>
                                    <w:color w:val="000000" w:themeColor="text1"/>
                                    <w14:textFill>
                                      <w14:solidFill>
                                        <w14:schemeClr w14:val="tx1"/>
                                      </w14:solidFill>
                                    </w14:textFill>
                                  </w:rPr>
                                  <m:t>0.1</m:t>
                                </m:r>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Ai</m:t>
                                    </m:r>
                                    <m:ctrlPr>
                                      <w:rPr>
                                        <w:rFonts w:ascii="Cambria Math" w:hAnsi="Cambria Math"/>
                                        <w:i/>
                                        <w:color w:val="000000" w:themeColor="text1"/>
                                        <w14:textFill>
                                          <w14:solidFill>
                                            <w14:schemeClr w14:val="tx1"/>
                                          </w14:solidFill>
                                        </w14:textFill>
                                      </w:rPr>
                                    </m:ctrlPr>
                                  </m:sub>
                                </m:sSub>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nary>
                        <m:r>
                          <m:rPr/>
                          <w:rPr>
                            <w:rFonts w:ascii="Cambria Math" w:hAnsi="Cambria Math"/>
                            <w:color w:val="000000" w:themeColor="text1"/>
                            <w14:textFill>
                              <w14:solidFill>
                                <w14:schemeClr w14:val="tx1"/>
                              </w14:solidFill>
                            </w14:textFill>
                          </w:rPr>
                          <m:t>+</m:t>
                        </m:r>
                        <m:nary>
                          <m:naryPr>
                            <m:chr m:val="∑"/>
                            <m:limLoc m:val="undOvr"/>
                            <m:ctrlPr>
                              <w:rPr>
                                <w:rFonts w:ascii="Cambria Math" w:hAnsi="Cambria Math"/>
                                <w:i/>
                                <w:color w:val="000000" w:themeColor="text1"/>
                                <w14:textFill>
                                  <w14:solidFill>
                                    <w14:schemeClr w14:val="tx1"/>
                                  </w14:solidFill>
                                </w14:textFill>
                              </w:rPr>
                            </m:ctrlPr>
                          </m:naryPr>
                          <m:sub>
                            <m:r>
                              <m:rPr/>
                              <w:rPr>
                                <w:rFonts w:ascii="Cambria Math" w:hAnsi="Cambria Math"/>
                                <w:color w:val="000000" w:themeColor="text1"/>
                                <w14:textFill>
                                  <w14:solidFill>
                                    <w14:schemeClr w14:val="tx1"/>
                                  </w14:solidFill>
                                </w14:textFill>
                              </w:rPr>
                              <m:t>j</m:t>
                            </m:r>
                            <m:r>
                              <m:rPr/>
                              <w:rPr>
                                <w:rFonts w:hint="eastAsia" w:ascii="Cambria Math" w:hAnsi="Cambria Math"/>
                                <w:color w:val="000000" w:themeColor="text1"/>
                                <w14:textFill>
                                  <w14:solidFill>
                                    <w14:schemeClr w14:val="tx1"/>
                                  </w14:solidFill>
                                </w14:textFill>
                              </w:rPr>
                              <m:t>=</m:t>
                            </m:r>
                            <m:r>
                              <m:rPr/>
                              <w:rPr>
                                <w:rFonts w:ascii="Cambria Math" w:hAnsi="Cambria Math"/>
                                <w:color w:val="000000" w:themeColor="text1"/>
                                <w14:textFill>
                                  <w14:solidFill>
                                    <w14:schemeClr w14:val="tx1"/>
                                  </w14:solidFill>
                                </w14:textFill>
                              </w:rPr>
                              <m:t>1</m:t>
                            </m:r>
                            <m:ctrlPr>
                              <w:rPr>
                                <w:rFonts w:ascii="Cambria Math" w:hAnsi="Cambria Math"/>
                                <w:i/>
                                <w:color w:val="000000" w:themeColor="text1"/>
                                <w14:textFill>
                                  <w14:solidFill>
                                    <w14:schemeClr w14:val="tx1"/>
                                  </w14:solidFill>
                                </w14:textFill>
                              </w:rPr>
                            </m:ctrlPr>
                          </m:sub>
                          <m:sup>
                            <m:r>
                              <m:rPr/>
                              <w:rPr>
                                <w:rFonts w:ascii="Cambria Math" w:hAnsi="Cambria Math"/>
                                <w:color w:val="000000" w:themeColor="text1"/>
                                <w14:textFill>
                                  <w14:solidFill>
                                    <w14:schemeClr w14:val="tx1"/>
                                  </w14:solidFill>
                                </w14:textFill>
                              </w:rPr>
                              <m:t>M</m:t>
                            </m:r>
                            <m:ctrlPr>
                              <w:rPr>
                                <w:rFonts w:ascii="Cambria Math" w:hAnsi="Cambria Math"/>
                                <w:i/>
                                <w:color w:val="000000" w:themeColor="text1"/>
                                <w14:textFill>
                                  <w14:solidFill>
                                    <w14:schemeClr w14:val="tx1"/>
                                  </w14:solidFill>
                                </w14:textFill>
                              </w:rPr>
                            </m:ctrlPr>
                          </m:sup>
                          <m:e>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j</m:t>
                                </m:r>
                                <m:ctrlPr>
                                  <w:rPr>
                                    <w:rFonts w:ascii="Cambria Math" w:hAnsi="Cambria Math"/>
                                    <w:i/>
                                    <w:color w:val="000000" w:themeColor="text1"/>
                                    <w14:textFill>
                                      <w14:solidFill>
                                        <w14:schemeClr w14:val="tx1"/>
                                      </w14:solidFill>
                                    </w14:textFill>
                                  </w:rPr>
                                </m:ctrlPr>
                              </m:sub>
                            </m:sSub>
                            <m:sSup>
                              <m:sSupPr>
                                <m:ctrlPr>
                                  <w:rPr>
                                    <w:rFonts w:ascii="Cambria Math" w:hAnsi="Cambria Math"/>
                                    <w:i/>
                                    <w:color w:val="000000" w:themeColor="text1"/>
                                    <w14:textFill>
                                      <w14:solidFill>
                                        <w14:schemeClr w14:val="tx1"/>
                                      </w14:solidFill>
                                    </w14:textFill>
                                  </w:rPr>
                                </m:ctrlPr>
                              </m:sSupPr>
                              <m:e>
                                <m:r>
                                  <m:rPr/>
                                  <w:rPr>
                                    <w:rFonts w:ascii="Cambria Math" w:hAnsi="Cambria Math"/>
                                    <w:color w:val="000000" w:themeColor="text1"/>
                                    <w14:textFill>
                                      <w14:solidFill>
                                        <w14:schemeClr w14:val="tx1"/>
                                      </w14:solidFill>
                                    </w14:textFill>
                                  </w:rPr>
                                  <m:t>10</m:t>
                                </m:r>
                                <m:ctrlPr>
                                  <w:rPr>
                                    <w:rFonts w:ascii="Cambria Math" w:hAnsi="Cambria Math"/>
                                    <w:i/>
                                    <w:color w:val="000000" w:themeColor="text1"/>
                                    <w14:textFill>
                                      <w14:solidFill>
                                        <w14:schemeClr w14:val="tx1"/>
                                      </w14:solidFill>
                                    </w14:textFill>
                                  </w:rPr>
                                </m:ctrlPr>
                              </m:e>
                              <m:sup>
                                <m:r>
                                  <m:rPr/>
                                  <w:rPr>
                                    <w:rFonts w:ascii="Cambria Math" w:hAnsi="Cambria Math"/>
                                    <w:color w:val="000000" w:themeColor="text1"/>
                                    <w14:textFill>
                                      <w14:solidFill>
                                        <w14:schemeClr w14:val="tx1"/>
                                      </w14:solidFill>
                                    </w14:textFill>
                                  </w:rPr>
                                  <m:t>0.1</m:t>
                                </m:r>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Aj</m:t>
                                    </m:r>
                                    <m:ctrlPr>
                                      <w:rPr>
                                        <w:rFonts w:ascii="Cambria Math" w:hAnsi="Cambria Math"/>
                                        <w:i/>
                                        <w:color w:val="000000" w:themeColor="text1"/>
                                        <w14:textFill>
                                          <w14:solidFill>
                                            <w14:schemeClr w14:val="tx1"/>
                                          </w14:solidFill>
                                        </w14:textFill>
                                      </w:rPr>
                                    </m:ctrlPr>
                                  </m:sub>
                                </m:sSub>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nary>
                        <m:ctrlPr>
                          <w:rPr>
                            <w:rFonts w:ascii="Cambria Math" w:hAnsi="Cambria Math"/>
                            <w:i/>
                            <w:color w:val="000000" w:themeColor="text1"/>
                            <w14:textFill>
                              <w14:solidFill>
                                <w14:schemeClr w14:val="tx1"/>
                              </w14:solidFill>
                            </w14:textFill>
                          </w:rPr>
                        </m:ctrlPr>
                      </m:e>
                    </m:d>
                    <m:ctrlPr>
                      <w:rPr>
                        <w:rFonts w:ascii="Cambria Math" w:hAnsi="Cambria Math"/>
                        <w:i/>
                        <w:color w:val="000000" w:themeColor="text1"/>
                        <w14:textFill>
                          <w14:solidFill>
                            <w14:schemeClr w14:val="tx1"/>
                          </w14:solidFill>
                        </w14:textFill>
                      </w:rPr>
                    </m:ctrlPr>
                  </m:e>
                </m:d>
              </m:oMath>
            </m:oMathPara>
          </w:p>
          <w:p w14:paraId="7C4620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eqg</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—建设项目声源在预测点产生的噪声贡献值，dB；</w:t>
            </w:r>
          </w:p>
          <w:p w14:paraId="47D8E495">
            <w:pPr>
              <w:ind w:firstLine="1200" w:firstLineChars="500"/>
              <w:rPr>
                <w:color w:val="000000" w:themeColor="text1"/>
                <w14:textFill>
                  <w14:solidFill>
                    <w14:schemeClr w14:val="tx1"/>
                  </w14:solidFill>
                </w14:textFill>
              </w:rPr>
            </w:pPr>
            <m:oMath>
              <m:r>
                <m:rPr/>
                <w:rPr>
                  <w:rFonts w:ascii="Cambria Math" w:hAnsi="Cambria Math"/>
                  <w:color w:val="000000" w:themeColor="text1"/>
                  <w14:textFill>
                    <w14:solidFill>
                      <w14:schemeClr w14:val="tx1"/>
                    </w14:solidFill>
                  </w14:textFill>
                </w:rPr>
                <m:t>T</m:t>
              </m:r>
            </m:oMath>
            <w:r>
              <w:rPr>
                <w:rFonts w:hint="eastAsia"/>
                <w:color w:val="000000" w:themeColor="text1"/>
                <w14:textFill>
                  <w14:solidFill>
                    <w14:schemeClr w14:val="tx1"/>
                  </w14:solidFill>
                </w14:textFill>
              </w:rPr>
              <w:t>—用于计算等效声级的时间，s；</w:t>
            </w:r>
          </w:p>
          <w:p w14:paraId="2A1ED655">
            <w:pPr>
              <w:ind w:firstLine="1200" w:firstLineChars="500"/>
              <w:rPr>
                <w:color w:val="000000" w:themeColor="text1"/>
                <w14:textFill>
                  <w14:solidFill>
                    <w14:schemeClr w14:val="tx1"/>
                  </w14:solidFill>
                </w14:textFill>
              </w:rPr>
            </w:pPr>
            <m:oMath>
              <m:r>
                <m:rPr/>
                <w:rPr>
                  <w:rFonts w:ascii="Cambria Math" w:hAnsi="Cambria Math"/>
                  <w:color w:val="000000" w:themeColor="text1"/>
                  <w14:textFill>
                    <w14:solidFill>
                      <w14:schemeClr w14:val="tx1"/>
                    </w14:solidFill>
                  </w14:textFill>
                </w:rPr>
                <m:t>N</m:t>
              </m:r>
            </m:oMath>
            <w:r>
              <w:rPr>
                <w:rFonts w:hint="eastAsia"/>
                <w:color w:val="000000" w:themeColor="text1"/>
                <w14:textFill>
                  <w14:solidFill>
                    <w14:schemeClr w14:val="tx1"/>
                  </w14:solidFill>
                </w14:textFill>
              </w:rPr>
              <w:t>—室外声源个数；</w:t>
            </w:r>
          </w:p>
          <w:p w14:paraId="5D0DA5EC">
            <w:pPr>
              <w:ind w:firstLine="1200" w:firstLineChars="500"/>
              <w:rPr>
                <w:color w:val="000000" w:themeColor="text1"/>
                <w14:textFill>
                  <w14:solidFill>
                    <w14:schemeClr w14:val="tx1"/>
                  </w14:solidFill>
                </w14:textFill>
              </w:rPr>
            </w:pP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i</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—在T时间内i声源工作时间，s；</w:t>
            </w:r>
          </w:p>
          <w:p w14:paraId="29B1647B">
            <w:pPr>
              <w:ind w:firstLine="1200" w:firstLineChars="500"/>
              <w:rPr>
                <w:color w:val="000000" w:themeColor="text1"/>
                <w14:textFill>
                  <w14:solidFill>
                    <w14:schemeClr w14:val="tx1"/>
                  </w14:solidFill>
                </w14:textFill>
              </w:rPr>
            </w:pPr>
            <m:oMath>
              <m:r>
                <m:rPr/>
                <w:rPr>
                  <w:rFonts w:ascii="Cambria Math" w:hAnsi="Cambria Math"/>
                  <w:color w:val="000000" w:themeColor="text1"/>
                  <w14:textFill>
                    <w14:solidFill>
                      <w14:schemeClr w14:val="tx1"/>
                    </w14:solidFill>
                  </w14:textFill>
                </w:rPr>
                <m:t>M</m:t>
              </m:r>
            </m:oMath>
            <w:r>
              <w:rPr>
                <w:rFonts w:hint="eastAsia"/>
                <w:color w:val="000000" w:themeColor="text1"/>
                <w14:textFill>
                  <w14:solidFill>
                    <w14:schemeClr w14:val="tx1"/>
                  </w14:solidFill>
                </w14:textFill>
              </w:rPr>
              <w:t>—等效室外声源个数；</w:t>
            </w:r>
          </w:p>
          <w:p w14:paraId="207135FA">
            <w:pPr>
              <w:ind w:firstLine="1200" w:firstLineChars="500"/>
              <w:rPr>
                <w:color w:val="000000" w:themeColor="text1"/>
                <w14:textFill>
                  <w14:solidFill>
                    <w14:schemeClr w14:val="tx1"/>
                  </w14:solidFill>
                </w14:textFill>
              </w:rPr>
            </w:pP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t</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j</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—在T时间内j声源工作时间，S。</w:t>
            </w:r>
          </w:p>
          <w:p w14:paraId="0874E79C">
            <w:pPr>
              <w:pStyle w:val="17"/>
              <w:spacing w:after="0"/>
              <w:ind w:left="0" w:leftChars="0" w:firstLine="48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rFonts w:hint="eastAsia"/>
                <w:color w:val="000000" w:themeColor="text1"/>
                <w14:textFill>
                  <w14:solidFill>
                    <w14:schemeClr w14:val="tx1"/>
                  </w14:solidFill>
                </w14:textFill>
              </w:rPr>
              <w:t>预测值计算</w:t>
            </w:r>
          </w:p>
          <w:p w14:paraId="2876EF5D">
            <w:pPr>
              <w:pStyle w:val="17"/>
              <w:spacing w:after="0"/>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预测点的贡献值和背景值按能量叠加方法计算得到的声级。</w:t>
            </w:r>
          </w:p>
          <w:p w14:paraId="77CF209E">
            <w:pPr>
              <w:pStyle w:val="17"/>
              <w:spacing w:after="0"/>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噪声预测值(L)计算公式为：</w:t>
            </w:r>
          </w:p>
          <w:p w14:paraId="4998EC19">
            <w:pPr>
              <w:pStyle w:val="17"/>
              <w:spacing w:after="0"/>
              <w:ind w:left="0" w:leftChars="0" w:firstLine="480"/>
              <w:rPr>
                <w:color w:val="000000" w:themeColor="text1"/>
                <w14:textFill>
                  <w14:solidFill>
                    <w14:schemeClr w14:val="tx1"/>
                  </w14:solidFill>
                </w14:textFill>
              </w:rPr>
            </w:pPr>
            <m:oMathPara>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m:t>
                    </m:r>
                    <m:ctrlPr>
                      <w:rPr>
                        <w:rFonts w:ascii="Cambria Math" w:hAnsi="Cambria Math"/>
                        <w:i/>
                        <w:color w:val="000000" w:themeColor="text1"/>
                        <w14:textFill>
                          <w14:solidFill>
                            <w14:schemeClr w14:val="tx1"/>
                          </w14:solidFill>
                        </w14:textFill>
                      </w:rPr>
                    </m:ctrlPr>
                  </m:sub>
                </m:sSub>
                <m:r>
                  <m:rPr/>
                  <w:rPr>
                    <w:rFonts w:ascii="Cambria Math" w:hAnsi="Cambria Math" w:cs="Cambria Math"/>
                    <w:color w:val="000000" w:themeColor="text1"/>
                    <w14:textFill>
                      <w14:solidFill>
                        <w14:schemeClr w14:val="tx1"/>
                      </w14:solidFill>
                    </w14:textFill>
                  </w:rPr>
                  <m:t>=</m:t>
                </m:r>
                <m:r>
                  <m:rPr/>
                  <w:rPr>
                    <w:rFonts w:ascii="Cambria Math" w:hAnsi="Cambria Math"/>
                    <w:color w:val="000000" w:themeColor="text1"/>
                    <w14:textFill>
                      <w14:solidFill>
                        <w14:schemeClr w14:val="tx1"/>
                      </w14:solidFill>
                    </w14:textFill>
                  </w:rPr>
                  <m:t>10lg</m:t>
                </m:r>
                <m:d>
                  <m:dPr>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m:rPr/>
                          <w:rPr>
                            <w:rFonts w:ascii="Cambria Math" w:hAnsi="Cambria Math"/>
                            <w:color w:val="000000" w:themeColor="text1"/>
                            <w14:textFill>
                              <w14:solidFill>
                                <w14:schemeClr w14:val="tx1"/>
                              </w14:solidFill>
                            </w14:textFill>
                          </w:rPr>
                          <m:t>10</m:t>
                        </m:r>
                        <m:ctrlPr>
                          <w:rPr>
                            <w:rFonts w:ascii="Cambria Math" w:hAnsi="Cambria Math"/>
                            <w:i/>
                            <w:color w:val="000000" w:themeColor="text1"/>
                            <w14:textFill>
                              <w14:solidFill>
                                <w14:schemeClr w14:val="tx1"/>
                              </w14:solidFill>
                            </w14:textFill>
                          </w:rPr>
                        </m:ctrlPr>
                      </m:e>
                      <m:sup>
                        <m:r>
                          <m:rPr/>
                          <w:rPr>
                            <w:rFonts w:ascii="Cambria Math" w:hAnsi="Cambria Math"/>
                            <w:color w:val="000000" w:themeColor="text1"/>
                            <w14:textFill>
                              <w14:solidFill>
                                <w14:schemeClr w14:val="tx1"/>
                              </w14:solidFill>
                            </w14:textFill>
                          </w:rPr>
                          <m:t>0.1</m:t>
                        </m:r>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eqg</m:t>
                            </m:r>
                            <m:ctrlPr>
                              <w:rPr>
                                <w:rFonts w:ascii="Cambria Math" w:hAnsi="Cambria Math"/>
                                <w:i/>
                                <w:color w:val="000000" w:themeColor="text1"/>
                                <w14:textFill>
                                  <w14:solidFill>
                                    <w14:schemeClr w14:val="tx1"/>
                                  </w14:solidFill>
                                </w14:textFill>
                              </w:rPr>
                            </m:ctrlPr>
                          </m:sub>
                        </m:sSub>
                        <m:ctrlPr>
                          <w:rPr>
                            <w:rFonts w:ascii="Cambria Math" w:hAnsi="Cambria Math"/>
                            <w:i/>
                            <w:color w:val="000000" w:themeColor="text1"/>
                            <w14:textFill>
                              <w14:solidFill>
                                <w14:schemeClr w14:val="tx1"/>
                              </w14:solidFill>
                            </w14:textFill>
                          </w:rPr>
                        </m:ctrlPr>
                      </m:sup>
                    </m:sSup>
                    <m:r>
                      <m:rPr/>
                      <w:rPr>
                        <w:rFonts w:ascii="Cambria Math" w:hAnsi="Cambria Math"/>
                        <w:color w:val="000000" w:themeColor="text1"/>
                        <w14:textFill>
                          <w14:solidFill>
                            <w14:schemeClr w14:val="tx1"/>
                          </w14:solidFill>
                        </w14:textFill>
                      </w:rPr>
                      <m:t>+</m:t>
                    </m:r>
                    <m:sSup>
                      <m:sSupPr>
                        <m:ctrlPr>
                          <w:rPr>
                            <w:rFonts w:ascii="Cambria Math" w:hAnsi="Cambria Math"/>
                            <w:i/>
                            <w:color w:val="000000" w:themeColor="text1"/>
                            <w14:textFill>
                              <w14:solidFill>
                                <w14:schemeClr w14:val="tx1"/>
                              </w14:solidFill>
                            </w14:textFill>
                          </w:rPr>
                        </m:ctrlPr>
                      </m:sSupPr>
                      <m:e>
                        <m:r>
                          <m:rPr/>
                          <w:rPr>
                            <w:rFonts w:ascii="Cambria Math" w:hAnsi="Cambria Math"/>
                            <w:color w:val="000000" w:themeColor="text1"/>
                            <w14:textFill>
                              <w14:solidFill>
                                <w14:schemeClr w14:val="tx1"/>
                              </w14:solidFill>
                            </w14:textFill>
                          </w:rPr>
                          <m:t>10</m:t>
                        </m:r>
                        <m:ctrlPr>
                          <w:rPr>
                            <w:rFonts w:ascii="Cambria Math" w:hAnsi="Cambria Math"/>
                            <w:i/>
                            <w:color w:val="000000" w:themeColor="text1"/>
                            <w14:textFill>
                              <w14:solidFill>
                                <w14:schemeClr w14:val="tx1"/>
                              </w14:solidFill>
                            </w14:textFill>
                          </w:rPr>
                        </m:ctrlPr>
                      </m:e>
                      <m:sup>
                        <m:r>
                          <m:rPr/>
                          <w:rPr>
                            <w:rFonts w:ascii="Cambria Math" w:hAnsi="Cambria Math"/>
                            <w:color w:val="000000" w:themeColor="text1"/>
                            <w14:textFill>
                              <w14:solidFill>
                                <w14:schemeClr w14:val="tx1"/>
                              </w14:solidFill>
                            </w14:textFill>
                          </w:rPr>
                          <m:t>0.1</m:t>
                        </m:r>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eqd</m:t>
                            </m:r>
                            <m:ctrlPr>
                              <w:rPr>
                                <w:rFonts w:ascii="Cambria Math" w:hAnsi="Cambria Math"/>
                                <w:i/>
                                <w:color w:val="000000" w:themeColor="text1"/>
                                <w14:textFill>
                                  <w14:solidFill>
                                    <w14:schemeClr w14:val="tx1"/>
                                  </w14:solidFill>
                                </w14:textFill>
                              </w:rPr>
                            </m:ctrlPr>
                          </m:sub>
                        </m:sSub>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m:oMathPara>
          </w:p>
          <w:p w14:paraId="0AF53AFE">
            <w:pPr>
              <w:pStyle w:val="17"/>
              <w:spacing w:after="0"/>
              <w:ind w:left="0" w:leftChars="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—预测点的噪声预测值，dB；</w:t>
            </w:r>
          </w:p>
          <w:p w14:paraId="3FEDF6E8">
            <w:pPr>
              <w:pStyle w:val="17"/>
              <w:spacing w:after="0"/>
              <w:ind w:left="0" w:leftChars="0" w:firstLine="1200" w:firstLineChars="500"/>
              <w:rPr>
                <w:color w:val="000000" w:themeColor="text1"/>
                <w14:textFill>
                  <w14:solidFill>
                    <w14:schemeClr w14:val="tx1"/>
                  </w14:solidFill>
                </w14:textFill>
              </w:rPr>
            </w:pPr>
            <m:oMath>
              <m:sSub>
                <m:sSubPr>
                  <m:ctrlPr>
                    <w:rPr>
                      <w:rFonts w:hint="eastAsia" w:ascii="Cambria Math" w:hAnsi="Cambria Math"/>
                      <w:color w:val="000000" w:themeColor="text1"/>
                      <w14:textFill>
                        <w14:solidFill>
                          <w14:schemeClr w14:val="tx1"/>
                        </w14:solidFill>
                      </w14:textFill>
                    </w:rPr>
                  </m:ctrlPr>
                </m:sSubPr>
                <m:e>
                  <m:r>
                    <m:rPr>
                      <m:sty m:val="p"/>
                    </m:rPr>
                    <w:rPr>
                      <w:rFonts w:hint="eastAsia"/>
                      <w:color w:val="000000" w:themeColor="text1"/>
                      <w14:textFill>
                        <w14:solidFill>
                          <w14:schemeClr w14:val="tx1"/>
                        </w14:solidFill>
                      </w14:textFill>
                    </w:rPr>
                    <m:t>L</m:t>
                  </m:r>
                  <m:ctrlPr>
                    <w:rPr>
                      <w:rFonts w:hint="eastAsia" w:ascii="Cambria Math" w:hAnsi="Cambria Math"/>
                      <w:color w:val="000000" w:themeColor="text1"/>
                      <w14:textFill>
                        <w14:solidFill>
                          <w14:schemeClr w14:val="tx1"/>
                        </w14:solidFill>
                      </w14:textFill>
                    </w:rPr>
                  </m:ctrlPr>
                </m:e>
                <m:sub>
                  <m:r>
                    <m:rPr>
                      <m:sty m:val="p"/>
                    </m:rPr>
                    <w:rPr>
                      <w:rFonts w:hint="eastAsia"/>
                      <w:color w:val="000000" w:themeColor="text1"/>
                      <w14:textFill>
                        <w14:solidFill>
                          <w14:schemeClr w14:val="tx1"/>
                        </w14:solidFill>
                      </w14:textFill>
                    </w:rPr>
                    <m:t>eqg</m:t>
                  </m:r>
                  <m:ctrlPr>
                    <w:rPr>
                      <w:rFonts w:hint="eastAsia" w:ascii="Cambria Math" w:hAnsi="Cambria Math"/>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—建设项目声源在预测点产生的噪声贡献值，dB；</w:t>
            </w:r>
          </w:p>
          <w:p w14:paraId="51FFC5B3">
            <w:pPr>
              <w:pStyle w:val="17"/>
              <w:spacing w:after="0"/>
              <w:ind w:left="0" w:leftChars="0" w:firstLine="1200" w:firstLineChars="500"/>
              <w:rPr>
                <w:color w:val="000000" w:themeColor="text1"/>
                <w14:textFill>
                  <w14:solidFill>
                    <w14:schemeClr w14:val="tx1"/>
                  </w14:solidFill>
                </w14:textFill>
              </w:rPr>
            </w:pPr>
            <m:oMath>
              <m:sSub>
                <m:sSubPr>
                  <m:ctrlPr>
                    <w:rPr>
                      <w:rFonts w:ascii="Cambria Math" w:hAnsi="Cambria Math"/>
                      <w:i/>
                      <w:color w:val="000000" w:themeColor="text1"/>
                      <w14:textFill>
                        <w14:solidFill>
                          <w14:schemeClr w14:val="tx1"/>
                        </w14:solidFill>
                      </w14:textFill>
                    </w:rPr>
                  </m:ctrlPr>
                </m:sSubPr>
                <m:e>
                  <m:r>
                    <m:rPr/>
                    <w:rPr>
                      <w:rFonts w:ascii="Cambria Math" w:hAnsi="Cambria Math"/>
                      <w:color w:val="000000" w:themeColor="text1"/>
                      <w14:textFill>
                        <w14:solidFill>
                          <w14:schemeClr w14:val="tx1"/>
                        </w14:solidFill>
                      </w14:textFill>
                    </w:rPr>
                    <m:t>L</m:t>
                  </m:r>
                  <m:ctrlPr>
                    <w:rPr>
                      <w:rFonts w:ascii="Cambria Math" w:hAnsi="Cambria Math"/>
                      <w:i/>
                      <w:color w:val="000000" w:themeColor="text1"/>
                      <w14:textFill>
                        <w14:solidFill>
                          <w14:schemeClr w14:val="tx1"/>
                        </w14:solidFill>
                      </w14:textFill>
                    </w:rPr>
                  </m:ctrlPr>
                </m:e>
                <m:sub>
                  <m:r>
                    <m:rPr/>
                    <w:rPr>
                      <w:rFonts w:ascii="Cambria Math" w:hAnsi="Cambria Math"/>
                      <w:color w:val="000000" w:themeColor="text1"/>
                      <w14:textFill>
                        <w14:solidFill>
                          <w14:schemeClr w14:val="tx1"/>
                        </w14:solidFill>
                      </w14:textFill>
                    </w:rPr>
                    <m:t>eqd</m:t>
                  </m:r>
                  <m:ctrlPr>
                    <w:rPr>
                      <w:rFonts w:ascii="Cambria Math" w:hAnsi="Cambria Math"/>
                      <w:i/>
                      <w:color w:val="000000" w:themeColor="text1"/>
                      <w14:textFill>
                        <w14:solidFill>
                          <w14:schemeClr w14:val="tx1"/>
                        </w14:solidFill>
                      </w14:textFill>
                    </w:rPr>
                  </m:ctrlPr>
                </m:sub>
              </m:sSub>
            </m:oMath>
            <w:r>
              <w:rPr>
                <w:rFonts w:hint="eastAsia"/>
                <w:color w:val="000000" w:themeColor="text1"/>
                <w14:textFill>
                  <w14:solidFill>
                    <w14:schemeClr w14:val="tx1"/>
                  </w14:solidFill>
                </w14:textFill>
              </w:rPr>
              <w:t>—预测点的背景噪声值，dB。</w:t>
            </w:r>
          </w:p>
          <w:p w14:paraId="65F079D4">
            <w:pPr>
              <w:pStyle w:val="17"/>
              <w:spacing w:after="0"/>
              <w:ind w:left="0" w:leftChars="0" w:firstLine="480"/>
              <w:rPr>
                <w:color w:val="000000" w:themeColor="text1"/>
                <w14:textFill>
                  <w14:solidFill>
                    <w14:schemeClr w14:val="tx1"/>
                  </w14:solidFill>
                </w14:textFill>
              </w:rPr>
            </w:pPr>
            <w:r>
              <w:rPr>
                <w:color w:val="000000" w:themeColor="text1"/>
                <w14:textFill>
                  <w14:solidFill>
                    <w14:schemeClr w14:val="tx1"/>
                  </w14:solidFill>
                </w14:textFill>
              </w:rPr>
              <w:t>3.3预测结果及分析</w:t>
            </w:r>
          </w:p>
          <w:p w14:paraId="14701654">
            <w:pPr>
              <w:pStyle w:val="17"/>
              <w:spacing w:after="0"/>
              <w:ind w:left="0" w:leftChars="0" w:firstLine="480"/>
              <w:rPr>
                <w:color w:val="000000" w:themeColor="text1"/>
                <w14:textFill>
                  <w14:solidFill>
                    <w14:schemeClr w14:val="tx1"/>
                  </w14:solidFill>
                </w14:textFill>
              </w:rPr>
            </w:pPr>
            <w:r>
              <w:rPr>
                <w:color w:val="000000" w:themeColor="text1"/>
                <w14:textFill>
                  <w14:solidFill>
                    <w14:schemeClr w14:val="tx1"/>
                  </w14:solidFill>
                </w14:textFill>
              </w:rPr>
              <w:t>本项目生产噪声对四周厂界</w:t>
            </w:r>
            <w:r>
              <w:rPr>
                <w:rFonts w:hint="eastAsia"/>
                <w:color w:val="000000" w:themeColor="text1"/>
                <w14:textFill>
                  <w14:solidFill>
                    <w14:schemeClr w14:val="tx1"/>
                  </w14:solidFill>
                </w14:textFill>
              </w:rPr>
              <w:t>及周边环境敏感点</w:t>
            </w:r>
            <w:r>
              <w:rPr>
                <w:color w:val="000000" w:themeColor="text1"/>
                <w14:textFill>
                  <w14:solidFill>
                    <w14:schemeClr w14:val="tx1"/>
                  </w14:solidFill>
                </w14:textFill>
              </w:rPr>
              <w:t>的噪声预测结果见下表。</w:t>
            </w:r>
          </w:p>
          <w:p w14:paraId="28FC9067">
            <w:pPr>
              <w:pStyle w:val="27"/>
              <w:spacing w:after="0"/>
              <w:ind w:firstLine="0" w:firstLineChars="0"/>
              <w:jc w:val="center"/>
              <w:rPr>
                <w:rFonts w:ascii="Times New Roman" w:hAnsi="Times New Roman" w:eastAsia="黑体" w:cs="Times New Roman"/>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表4-</w:t>
            </w:r>
            <w:r>
              <w:rPr>
                <w:rFonts w:hint="eastAsia" w:eastAsia="黑体" w:cs="Times New Roman"/>
                <w:color w:val="000000" w:themeColor="text1"/>
                <w:sz w:val="24"/>
                <w:lang w:val="en-US" w:eastAsia="zh-CN"/>
                <w14:textFill>
                  <w14:solidFill>
                    <w14:schemeClr w14:val="tx1"/>
                  </w14:solidFill>
                </w14:textFill>
              </w:rPr>
              <w:t>7</w:t>
            </w:r>
            <w:r>
              <w:rPr>
                <w:rFonts w:ascii="Times New Roman" w:hAnsi="Times New Roman" w:eastAsia="黑体" w:cs="Times New Roman"/>
                <w:color w:val="000000" w:themeColor="text1"/>
                <w:sz w:val="24"/>
                <w14:textFill>
                  <w14:solidFill>
                    <w14:schemeClr w14:val="tx1"/>
                  </w14:solidFill>
                </w14:textFill>
              </w:rPr>
              <w:t xml:space="preserve">  各厂界噪声贡献值结果统计表</w:t>
            </w:r>
          </w:p>
          <w:tbl>
            <w:tblPr>
              <w:tblStyle w:val="2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4"/>
              <w:gridCol w:w="2010"/>
              <w:gridCol w:w="1425"/>
              <w:gridCol w:w="1555"/>
              <w:gridCol w:w="2439"/>
              <w:gridCol w:w="1649"/>
              <w:gridCol w:w="1948"/>
              <w:gridCol w:w="1385"/>
            </w:tblGrid>
            <w:tr w14:paraId="3890B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7315F14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评价点</w:t>
                  </w:r>
                </w:p>
              </w:tc>
              <w:tc>
                <w:tcPr>
                  <w:tcW w:w="746" w:type="pct"/>
                  <w:vAlign w:val="center"/>
                </w:tcPr>
                <w:p w14:paraId="521C4F07">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污染源名称</w:t>
                  </w:r>
                </w:p>
              </w:tc>
              <w:tc>
                <w:tcPr>
                  <w:tcW w:w="529" w:type="pct"/>
                  <w:vAlign w:val="center"/>
                </w:tcPr>
                <w:p w14:paraId="572EF32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源强dB（A）</w:t>
                  </w:r>
                </w:p>
              </w:tc>
              <w:tc>
                <w:tcPr>
                  <w:tcW w:w="577" w:type="pct"/>
                  <w:vAlign w:val="center"/>
                </w:tcPr>
                <w:p w14:paraId="488C2A28">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衰减距离（m）</w:t>
                  </w:r>
                </w:p>
              </w:tc>
              <w:tc>
                <w:tcPr>
                  <w:tcW w:w="905" w:type="pct"/>
                  <w:vAlign w:val="center"/>
                </w:tcPr>
                <w:p w14:paraId="305D1FF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预测点位影响值dB（A）</w:t>
                  </w:r>
                </w:p>
              </w:tc>
              <w:tc>
                <w:tcPr>
                  <w:tcW w:w="612" w:type="pct"/>
                  <w:vAlign w:val="center"/>
                </w:tcPr>
                <w:p w14:paraId="5FF4488E">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现状值dB（A）</w:t>
                  </w:r>
                </w:p>
              </w:tc>
              <w:tc>
                <w:tcPr>
                  <w:tcW w:w="723" w:type="pct"/>
                  <w:vAlign w:val="center"/>
                </w:tcPr>
                <w:p w14:paraId="76582BA6">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贡献叠加值dB（A）</w:t>
                  </w:r>
                </w:p>
              </w:tc>
              <w:tc>
                <w:tcPr>
                  <w:tcW w:w="514" w:type="pct"/>
                  <w:vAlign w:val="center"/>
                </w:tcPr>
                <w:p w14:paraId="1C4F1CC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标准值</w:t>
                  </w:r>
                </w:p>
              </w:tc>
            </w:tr>
            <w:tr w14:paraId="1D5E3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4FA62267">
                  <w:pPr>
                    <w:pStyle w:val="35"/>
                    <w:rPr>
                      <w:rFonts w:hint="default"/>
                      <w:color w:val="000000" w:themeColor="text1"/>
                      <w14:textFill>
                        <w14:solidFill>
                          <w14:schemeClr w14:val="tx1"/>
                        </w14:solidFill>
                      </w14:textFill>
                    </w:rPr>
                  </w:pPr>
                  <w:r>
                    <w:rPr>
                      <w:color w:val="000000" w:themeColor="text1"/>
                      <w:lang w:val="zh-CN"/>
                      <w14:textFill>
                        <w14:solidFill>
                          <w14:schemeClr w14:val="tx1"/>
                        </w14:solidFill>
                      </w14:textFill>
                    </w:rPr>
                    <w:t>东厂界</w:t>
                  </w:r>
                </w:p>
              </w:tc>
              <w:tc>
                <w:tcPr>
                  <w:tcW w:w="746" w:type="pct"/>
                  <w:shd w:val="clear" w:color="auto" w:fill="auto"/>
                  <w:vAlign w:val="center"/>
                </w:tcPr>
                <w:p w14:paraId="7833FF6F">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529" w:type="pct"/>
                  <w:shd w:val="clear" w:color="auto" w:fill="auto"/>
                  <w:vAlign w:val="center"/>
                </w:tcPr>
                <w:p w14:paraId="54D91B95">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52.2</w:t>
                  </w:r>
                </w:p>
              </w:tc>
              <w:tc>
                <w:tcPr>
                  <w:tcW w:w="577" w:type="pct"/>
                  <w:vAlign w:val="center"/>
                </w:tcPr>
                <w:p w14:paraId="6FF58D26">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2.3</w:t>
                  </w:r>
                </w:p>
              </w:tc>
              <w:tc>
                <w:tcPr>
                  <w:tcW w:w="905" w:type="pct"/>
                  <w:vAlign w:val="center"/>
                </w:tcPr>
                <w:p w14:paraId="16C32F18">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45.0</w:t>
                  </w:r>
                </w:p>
              </w:tc>
              <w:tc>
                <w:tcPr>
                  <w:tcW w:w="612" w:type="pct"/>
                  <w:vAlign w:val="center"/>
                </w:tcPr>
                <w:p w14:paraId="3F3FB72E">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w:t>
                  </w:r>
                </w:p>
              </w:tc>
              <w:tc>
                <w:tcPr>
                  <w:tcW w:w="1948" w:type="dxa"/>
                  <w:vAlign w:val="center"/>
                </w:tcPr>
                <w:p w14:paraId="0CDEB91F">
                  <w:pPr>
                    <w:pStyle w:val="35"/>
                    <w:ind w:firstLine="0" w:firstLineChars="0"/>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45.0</w:t>
                  </w:r>
                </w:p>
              </w:tc>
              <w:tc>
                <w:tcPr>
                  <w:tcW w:w="514" w:type="pct"/>
                  <w:vAlign w:val="center"/>
                </w:tcPr>
                <w:p w14:paraId="2049BF9B">
                  <w:pPr>
                    <w:pStyle w:val="35"/>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60</w:t>
                  </w:r>
                  <w:r>
                    <w:rPr>
                      <w:rFonts w:hint="eastAsia"/>
                      <w:color w:val="000000" w:themeColor="text1"/>
                      <w:lang w:val="en-US" w:eastAsia="zh-CN"/>
                      <w14:textFill>
                        <w14:solidFill>
                          <w14:schemeClr w14:val="tx1"/>
                        </w14:solidFill>
                      </w14:textFill>
                    </w:rPr>
                    <w:t>/50</w:t>
                  </w:r>
                </w:p>
              </w:tc>
            </w:tr>
            <w:tr w14:paraId="56091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14DEDC93">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南</w:t>
                  </w:r>
                  <w:r>
                    <w:rPr>
                      <w:color w:val="000000" w:themeColor="text1"/>
                      <w:lang w:val="zh-CN"/>
                      <w14:textFill>
                        <w14:solidFill>
                          <w14:schemeClr w14:val="tx1"/>
                        </w14:solidFill>
                      </w14:textFill>
                    </w:rPr>
                    <w:t>厂界</w:t>
                  </w:r>
                </w:p>
              </w:tc>
              <w:tc>
                <w:tcPr>
                  <w:tcW w:w="746" w:type="pct"/>
                  <w:shd w:val="clear" w:color="auto" w:fill="auto"/>
                  <w:vAlign w:val="center"/>
                </w:tcPr>
                <w:p w14:paraId="7F35B66E">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529" w:type="pct"/>
                  <w:shd w:val="clear" w:color="auto" w:fill="auto"/>
                  <w:vAlign w:val="center"/>
                </w:tcPr>
                <w:p w14:paraId="171DC330">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48.5</w:t>
                  </w:r>
                </w:p>
              </w:tc>
              <w:tc>
                <w:tcPr>
                  <w:tcW w:w="577" w:type="pct"/>
                  <w:vAlign w:val="center"/>
                </w:tcPr>
                <w:p w14:paraId="3FEB698D">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32.8</w:t>
                  </w:r>
                </w:p>
              </w:tc>
              <w:tc>
                <w:tcPr>
                  <w:tcW w:w="905" w:type="pct"/>
                  <w:vAlign w:val="center"/>
                </w:tcPr>
                <w:p w14:paraId="69B5F2F6">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18.2</w:t>
                  </w:r>
                </w:p>
              </w:tc>
              <w:tc>
                <w:tcPr>
                  <w:tcW w:w="612" w:type="pct"/>
                  <w:vAlign w:val="center"/>
                </w:tcPr>
                <w:p w14:paraId="7C2FD8C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w:t>
                  </w:r>
                </w:p>
              </w:tc>
              <w:tc>
                <w:tcPr>
                  <w:tcW w:w="1948" w:type="dxa"/>
                  <w:vAlign w:val="center"/>
                </w:tcPr>
                <w:p w14:paraId="37E0B026">
                  <w:pPr>
                    <w:pStyle w:val="35"/>
                    <w:ind w:firstLine="0" w:firstLineChars="0"/>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18.2</w:t>
                  </w:r>
                </w:p>
              </w:tc>
              <w:tc>
                <w:tcPr>
                  <w:tcW w:w="514" w:type="pct"/>
                  <w:vAlign w:val="center"/>
                </w:tcPr>
                <w:p w14:paraId="4304413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60</w:t>
                  </w:r>
                  <w:r>
                    <w:rPr>
                      <w:rFonts w:hint="eastAsia"/>
                      <w:color w:val="000000" w:themeColor="text1"/>
                      <w:lang w:val="en-US" w:eastAsia="zh-CN"/>
                      <w14:textFill>
                        <w14:solidFill>
                          <w14:schemeClr w14:val="tx1"/>
                        </w14:solidFill>
                      </w14:textFill>
                    </w:rPr>
                    <w:t>/50</w:t>
                  </w:r>
                </w:p>
              </w:tc>
            </w:tr>
            <w:tr w14:paraId="50C3E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73DA63A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西</w:t>
                  </w:r>
                  <w:r>
                    <w:rPr>
                      <w:color w:val="000000" w:themeColor="text1"/>
                      <w:lang w:val="zh-CN"/>
                      <w14:textFill>
                        <w14:solidFill>
                          <w14:schemeClr w14:val="tx1"/>
                        </w14:solidFill>
                      </w14:textFill>
                    </w:rPr>
                    <w:t>厂界</w:t>
                  </w:r>
                </w:p>
              </w:tc>
              <w:tc>
                <w:tcPr>
                  <w:tcW w:w="746" w:type="pct"/>
                  <w:shd w:val="clear" w:color="auto" w:fill="auto"/>
                  <w:vAlign w:val="center"/>
                </w:tcPr>
                <w:p w14:paraId="082588C2">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529" w:type="pct"/>
                  <w:shd w:val="clear" w:color="auto" w:fill="auto"/>
                  <w:vAlign w:val="center"/>
                </w:tcPr>
                <w:p w14:paraId="5F586A19">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46.4</w:t>
                  </w:r>
                </w:p>
              </w:tc>
              <w:tc>
                <w:tcPr>
                  <w:tcW w:w="577" w:type="pct"/>
                  <w:vAlign w:val="center"/>
                </w:tcPr>
                <w:p w14:paraId="59371B77">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12.2</w:t>
                  </w:r>
                </w:p>
              </w:tc>
              <w:tc>
                <w:tcPr>
                  <w:tcW w:w="905" w:type="pct"/>
                  <w:vAlign w:val="center"/>
                </w:tcPr>
                <w:p w14:paraId="7101F148">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24.7</w:t>
                  </w:r>
                </w:p>
              </w:tc>
              <w:tc>
                <w:tcPr>
                  <w:tcW w:w="612" w:type="pct"/>
                  <w:vAlign w:val="center"/>
                </w:tcPr>
                <w:p w14:paraId="1C6A1AE7">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w:t>
                  </w:r>
                </w:p>
              </w:tc>
              <w:tc>
                <w:tcPr>
                  <w:tcW w:w="1948" w:type="dxa"/>
                  <w:vAlign w:val="center"/>
                </w:tcPr>
                <w:p w14:paraId="229E89D6">
                  <w:pPr>
                    <w:pStyle w:val="35"/>
                    <w:ind w:firstLine="0" w:firstLineChars="0"/>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24.7</w:t>
                  </w:r>
                </w:p>
              </w:tc>
              <w:tc>
                <w:tcPr>
                  <w:tcW w:w="514" w:type="pct"/>
                  <w:vAlign w:val="center"/>
                </w:tcPr>
                <w:p w14:paraId="1D6987FC">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60</w:t>
                  </w:r>
                  <w:r>
                    <w:rPr>
                      <w:rFonts w:hint="eastAsia"/>
                      <w:color w:val="000000" w:themeColor="text1"/>
                      <w:lang w:val="en-US" w:eastAsia="zh-CN"/>
                      <w14:textFill>
                        <w14:solidFill>
                          <w14:schemeClr w14:val="tx1"/>
                        </w14:solidFill>
                      </w14:textFill>
                    </w:rPr>
                    <w:t>/50</w:t>
                  </w:r>
                </w:p>
              </w:tc>
            </w:tr>
            <w:tr w14:paraId="13C9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01EF280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北</w:t>
                  </w:r>
                  <w:r>
                    <w:rPr>
                      <w:color w:val="000000" w:themeColor="text1"/>
                      <w:lang w:val="zh-CN"/>
                      <w14:textFill>
                        <w14:solidFill>
                          <w14:schemeClr w14:val="tx1"/>
                        </w14:solidFill>
                      </w14:textFill>
                    </w:rPr>
                    <w:t>厂界</w:t>
                  </w:r>
                </w:p>
              </w:tc>
              <w:tc>
                <w:tcPr>
                  <w:tcW w:w="746" w:type="pct"/>
                  <w:shd w:val="clear" w:color="auto" w:fill="auto"/>
                  <w:vAlign w:val="center"/>
                </w:tcPr>
                <w:p w14:paraId="69F3B9A1">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生产车间</w:t>
                  </w:r>
                </w:p>
              </w:tc>
              <w:tc>
                <w:tcPr>
                  <w:tcW w:w="529" w:type="pct"/>
                  <w:shd w:val="clear" w:color="auto" w:fill="auto"/>
                  <w:vAlign w:val="center"/>
                </w:tcPr>
                <w:p w14:paraId="6F0053A1">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48.8</w:t>
                  </w:r>
                </w:p>
              </w:tc>
              <w:tc>
                <w:tcPr>
                  <w:tcW w:w="577" w:type="pct"/>
                  <w:vAlign w:val="center"/>
                </w:tcPr>
                <w:p w14:paraId="60CAFB18">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15.8</w:t>
                  </w:r>
                </w:p>
              </w:tc>
              <w:tc>
                <w:tcPr>
                  <w:tcW w:w="905" w:type="pct"/>
                  <w:vAlign w:val="center"/>
                </w:tcPr>
                <w:p w14:paraId="7EB33221">
                  <w:pPr>
                    <w:pStyle w:val="35"/>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24.8</w:t>
                  </w:r>
                </w:p>
              </w:tc>
              <w:tc>
                <w:tcPr>
                  <w:tcW w:w="612" w:type="pct"/>
                  <w:vAlign w:val="center"/>
                </w:tcPr>
                <w:p w14:paraId="529208D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w:t>
                  </w:r>
                </w:p>
              </w:tc>
              <w:tc>
                <w:tcPr>
                  <w:tcW w:w="1948" w:type="dxa"/>
                  <w:vAlign w:val="center"/>
                </w:tcPr>
                <w:p w14:paraId="4F96B6EB">
                  <w:pPr>
                    <w:pStyle w:val="35"/>
                    <w:ind w:firstLine="0" w:firstLineChars="0"/>
                    <w:rPr>
                      <w:rFonts w:hint="default"/>
                      <w:color w:val="000000" w:themeColor="text1"/>
                      <w14:textFill>
                        <w14:solidFill>
                          <w14:schemeClr w14:val="tx1"/>
                        </w14:solidFill>
                      </w14:textFill>
                    </w:rPr>
                  </w:pPr>
                  <w:r>
                    <w:rPr>
                      <w:rFonts w:hint="default" w:ascii="Times New Roman" w:hAnsi="Times New Roman" w:eastAsia="宋体" w:cs="Times New Roman"/>
                      <w:i w:val="0"/>
                      <w:iCs w:val="0"/>
                      <w:color w:val="000000"/>
                      <w:kern w:val="0"/>
                      <w:sz w:val="22"/>
                      <w:szCs w:val="22"/>
                      <w:u w:val="none"/>
                      <w:lang w:val="en-US" w:eastAsia="zh-CN" w:bidi="ar"/>
                    </w:rPr>
                    <w:t>24.8</w:t>
                  </w:r>
                </w:p>
              </w:tc>
              <w:tc>
                <w:tcPr>
                  <w:tcW w:w="514" w:type="pct"/>
                  <w:vAlign w:val="center"/>
                </w:tcPr>
                <w:p w14:paraId="5D9231F2">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60</w:t>
                  </w:r>
                  <w:r>
                    <w:rPr>
                      <w:rFonts w:hint="eastAsia"/>
                      <w:color w:val="000000" w:themeColor="text1"/>
                      <w:lang w:val="en-US" w:eastAsia="zh-CN"/>
                      <w14:textFill>
                        <w14:solidFill>
                          <w14:schemeClr w14:val="tx1"/>
                        </w14:solidFill>
                      </w14:textFill>
                    </w:rPr>
                    <w:t>/50</w:t>
                  </w:r>
                </w:p>
              </w:tc>
            </w:tr>
          </w:tbl>
          <w:p w14:paraId="484F3104">
            <w:pPr>
              <w:keepNext/>
              <w:keepLines/>
              <w:widowControl/>
              <w:adjustRightInd w:val="0"/>
              <w:snapToGrid w:val="0"/>
              <w:ind w:firstLine="480"/>
              <w:outlineLvl w:val="2"/>
              <w:rPr>
                <w:rFonts w:hint="eastAsia"/>
                <w:color w:val="000000" w:themeColor="text1"/>
                <w:kern w:val="0"/>
                <w:szCs w:val="21"/>
                <w14:textFill>
                  <w14:solidFill>
                    <w14:schemeClr w14:val="tx1"/>
                  </w14:solidFill>
                </w14:textFill>
              </w:rPr>
            </w:pPr>
            <w:bookmarkStart w:id="31" w:name="_Toc364"/>
            <w:r>
              <w:rPr>
                <w:color w:val="000000" w:themeColor="text1"/>
                <w14:textFill>
                  <w14:solidFill>
                    <w14:schemeClr w14:val="tx1"/>
                  </w14:solidFill>
                </w14:textFill>
              </w:rPr>
              <w:t>由上表预测结果可知，本项目营运期生产噪声对东、南、西、北厂界的贡献值可以满足《工业企业厂界环境噪声排放标准》（GB12348-2008）中</w:t>
            </w:r>
            <w:r>
              <w:rPr>
                <w:rFonts w:hint="eastAsia"/>
                <w:color w:val="000000" w:themeColor="text1"/>
                <w14:textFill>
                  <w14:solidFill>
                    <w14:schemeClr w14:val="tx1"/>
                  </w14:solidFill>
                </w14:textFill>
              </w:rPr>
              <w:t>2类</w:t>
            </w:r>
            <w:r>
              <w:rPr>
                <w:color w:val="000000" w:themeColor="text1"/>
                <w14:textFill>
                  <w14:solidFill>
                    <w14:schemeClr w14:val="tx1"/>
                  </w14:solidFill>
                </w14:textFill>
              </w:rPr>
              <w:t>标准要求。因此项目产生的噪声对周围环境的影响在可接受范围内。</w:t>
            </w:r>
            <w:bookmarkEnd w:id="31"/>
          </w:p>
          <w:p w14:paraId="720AA557">
            <w:pPr>
              <w:tabs>
                <w:tab w:val="left" w:pos="1081"/>
              </w:tabs>
              <w:adjustRightInd w:val="0"/>
              <w:snapToGrid w:val="0"/>
              <w:ind w:firstLine="480"/>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3.4声环境监测计划</w:t>
            </w:r>
          </w:p>
          <w:p w14:paraId="3E84C8B4">
            <w:pPr>
              <w:tabs>
                <w:tab w:val="left" w:pos="1081"/>
              </w:tabs>
              <w:adjustRightInd w:val="0"/>
              <w:snapToGrid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根据《排污单位自行监测技术指南 总则》（HJ819-2017）、《排污单位自行监测技术指南 金属铸造工业》</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HJ1251-2022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和</w:t>
            </w:r>
            <w:r>
              <w:rPr>
                <w:rFonts w:hint="eastAsia"/>
                <w:color w:val="000000" w:themeColor="text1"/>
                <w14:textFill>
                  <w14:solidFill>
                    <w14:schemeClr w14:val="tx1"/>
                  </w14:solidFill>
                </w14:textFill>
              </w:rPr>
              <w:t>《排污许可证申请与核发技术规范 工业噪声》（HJ 1301-2023）自行监测计划，项目噪声自行监测计划如下：</w:t>
            </w:r>
          </w:p>
          <w:p w14:paraId="64F755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表4-</w:t>
            </w:r>
            <w:r>
              <w:rPr>
                <w:rFonts w:hint="default" w:ascii="Times New Roman" w:hAnsi="Times New Roman" w:eastAsia="黑体" w:cs="Times New Roman"/>
                <w:lang w:val="en-US" w:eastAsia="zh-CN"/>
              </w:rPr>
              <w:t>8</w:t>
            </w:r>
            <w:r>
              <w:rPr>
                <w:rFonts w:hint="default" w:ascii="Times New Roman" w:hAnsi="Times New Roman" w:eastAsia="黑体" w:cs="Times New Roman"/>
              </w:rPr>
              <w:t xml:space="preserve">  声环境监测计划一览表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61"/>
              <w:gridCol w:w="2957"/>
              <w:gridCol w:w="1820"/>
              <w:gridCol w:w="1359"/>
              <w:gridCol w:w="1655"/>
              <w:gridCol w:w="4521"/>
            </w:tblGrid>
            <w:tr w14:paraId="0BDAB7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vAlign w:val="center"/>
                </w:tcPr>
                <w:p w14:paraId="57240573">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97" w:type="pct"/>
                  <w:vAlign w:val="center"/>
                </w:tcPr>
                <w:p w14:paraId="786401B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675" w:type="pct"/>
                  <w:vAlign w:val="center"/>
                </w:tcPr>
                <w:p w14:paraId="64CD101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504" w:type="pct"/>
                  <w:vAlign w:val="center"/>
                </w:tcPr>
                <w:p w14:paraId="23D7006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频率</w:t>
                  </w:r>
                </w:p>
              </w:tc>
              <w:tc>
                <w:tcPr>
                  <w:tcW w:w="614" w:type="pct"/>
                  <w:tcBorders>
                    <w:bottom w:val="single" w:color="auto" w:sz="4" w:space="0"/>
                  </w:tcBorders>
                  <w:vAlign w:val="center"/>
                </w:tcPr>
                <w:p w14:paraId="0B463ED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实施单位</w:t>
                  </w:r>
                </w:p>
              </w:tc>
              <w:tc>
                <w:tcPr>
                  <w:tcW w:w="1677" w:type="pct"/>
                  <w:tcBorders>
                    <w:bottom w:val="single" w:color="auto" w:sz="4" w:space="0"/>
                  </w:tcBorders>
                  <w:vAlign w:val="center"/>
                </w:tcPr>
                <w:p w14:paraId="7B48E19C">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执行标准</w:t>
                  </w:r>
                </w:p>
              </w:tc>
            </w:tr>
            <w:tr w14:paraId="075E99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vAlign w:val="center"/>
                </w:tcPr>
                <w:p w14:paraId="4E12C67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w:t>
                  </w:r>
                </w:p>
              </w:tc>
              <w:tc>
                <w:tcPr>
                  <w:tcW w:w="1097" w:type="pct"/>
                  <w:vAlign w:val="center"/>
                </w:tcPr>
                <w:p w14:paraId="0C93B17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东、南、西、北四厂界各设一个监测点</w:t>
                  </w:r>
                </w:p>
              </w:tc>
              <w:tc>
                <w:tcPr>
                  <w:tcW w:w="1838" w:type="dxa"/>
                  <w:vAlign w:val="center"/>
                </w:tcPr>
                <w:p w14:paraId="5E1A5155">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等效连续A声级、最大声级</w:t>
                  </w:r>
                </w:p>
              </w:tc>
              <w:tc>
                <w:tcPr>
                  <w:tcW w:w="1372" w:type="dxa"/>
                  <w:vAlign w:val="center"/>
                </w:tcPr>
                <w:p w14:paraId="0ABD48CF">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1次/季度</w:t>
                  </w:r>
                </w:p>
              </w:tc>
              <w:tc>
                <w:tcPr>
                  <w:tcW w:w="614" w:type="pct"/>
                  <w:vAlign w:val="center"/>
                </w:tcPr>
                <w:p w14:paraId="5F64496B">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有资质的监测单位</w:t>
                  </w:r>
                </w:p>
              </w:tc>
              <w:tc>
                <w:tcPr>
                  <w:tcW w:w="1677" w:type="pct"/>
                  <w:vAlign w:val="center"/>
                </w:tcPr>
                <w:p w14:paraId="3A76CE62">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《工业企业厂界环境噪声排放标准》（GB12348-2008）2类标准</w:t>
                  </w:r>
                </w:p>
              </w:tc>
            </w:tr>
          </w:tbl>
          <w:p w14:paraId="5E00F951">
            <w:pPr>
              <w:widowControl/>
              <w:adjustRightInd w:val="0"/>
              <w:snapToGrid w:val="0"/>
              <w:ind w:firstLine="0" w:firstLineChars="0"/>
              <w:rPr>
                <w:color w:val="000000" w:themeColor="text1"/>
                <w14:textFill>
                  <w14:solidFill>
                    <w14:schemeClr w14:val="tx1"/>
                  </w14:solidFill>
                </w14:textFill>
              </w:rPr>
            </w:pPr>
          </w:p>
          <w:p w14:paraId="7826A3F3">
            <w:pPr>
              <w:keepNext w:val="0"/>
              <w:keepLines w:val="0"/>
              <w:pageBreakBefore w:val="0"/>
              <w:widowControl w:val="0"/>
              <w:kinsoku/>
              <w:wordWrap/>
              <w:overflowPunct/>
              <w:topLinePunct w:val="0"/>
              <w:autoSpaceDE/>
              <w:autoSpaceDN/>
              <w:bidi w:val="0"/>
              <w:adjustRightInd/>
              <w:snapToGrid/>
              <w:ind w:firstLine="0" w:firstLineChars="0"/>
              <w:jc w:val="both"/>
              <w:textAlignment w:val="auto"/>
              <w:rPr>
                <w:sz w:val="24"/>
                <w:szCs w:val="24"/>
                <w:vertAlign w:val="baseline"/>
              </w:rPr>
            </w:pPr>
          </w:p>
        </w:tc>
      </w:tr>
    </w:tbl>
    <w:p w14:paraId="57F81A63">
      <w:pPr>
        <w:ind w:left="0" w:leftChars="0" w:firstLine="0" w:firstLineChars="0"/>
        <w:jc w:val="both"/>
        <w:sectPr>
          <w:pgSz w:w="16838" w:h="11906" w:orient="landscape"/>
          <w:pgMar w:top="1440" w:right="1440" w:bottom="1440" w:left="1440" w:header="851" w:footer="992" w:gutter="0"/>
          <w:cols w:space="0" w:num="1"/>
          <w:rtlGutter w:val="0"/>
          <w:docGrid w:type="lines" w:linePitch="312" w:charSpace="0"/>
        </w:sect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autofit"/>
        <w:tblCellMar>
          <w:top w:w="0" w:type="dxa"/>
          <w:left w:w="108" w:type="dxa"/>
          <w:bottom w:w="0" w:type="dxa"/>
          <w:right w:w="108" w:type="dxa"/>
        </w:tblCellMar>
      </w:tblPr>
      <w:tblGrid>
        <w:gridCol w:w="455"/>
        <w:gridCol w:w="8787"/>
      </w:tblGrid>
      <w:tr w14:paraId="65C64A79">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895" w:hRule="atLeast"/>
        </w:trPr>
        <w:tc>
          <w:tcPr>
            <w:tcW w:w="246" w:type="pct"/>
            <w:vAlign w:val="center"/>
          </w:tcPr>
          <w:p w14:paraId="62946E15">
            <w:pPr>
              <w:pStyle w:val="1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b w:val="0"/>
                <w:bCs w:val="0"/>
                <w:color w:val="000000" w:themeColor="text1"/>
                <w:sz w:val="24"/>
                <w:szCs w:val="24"/>
                <w14:textFill>
                  <w14:solidFill>
                    <w14:schemeClr w14:val="tx1"/>
                  </w14:solidFill>
                </w14:textFill>
              </w:rPr>
            </w:pPr>
          </w:p>
        </w:tc>
        <w:tc>
          <w:tcPr>
            <w:tcW w:w="4753" w:type="pct"/>
          </w:tcPr>
          <w:p w14:paraId="417CFA70">
            <w:pPr>
              <w:autoSpaceDE w:val="0"/>
              <w:autoSpaceDN w:val="0"/>
              <w:ind w:firstLine="0" w:firstLineChars="0"/>
              <w:rPr>
                <w:rFonts w:hint="default" w:ascii="Times New Roman" w:hAnsi="Times New Roman" w:eastAsia="黑体" w:cs="Times New Roman"/>
                <w:b w:val="0"/>
                <w:bCs/>
                <w:color w:val="000000" w:themeColor="text1"/>
                <w14:textFill>
                  <w14:solidFill>
                    <w14:schemeClr w14:val="tx1"/>
                  </w14:solidFill>
                </w14:textFill>
              </w:rPr>
            </w:pPr>
            <w:r>
              <w:rPr>
                <w:rFonts w:hint="default" w:ascii="Times New Roman" w:hAnsi="Times New Roman" w:eastAsia="黑体" w:cs="Times New Roman"/>
                <w:b w:val="0"/>
                <w:bCs/>
                <w:color w:val="000000" w:themeColor="text1"/>
                <w14:textFill>
                  <w14:solidFill>
                    <w14:schemeClr w14:val="tx1"/>
                  </w14:solidFill>
                </w14:textFill>
              </w:rPr>
              <w:t>4、营运期固体废物环境影响和保护措施</w:t>
            </w:r>
          </w:p>
          <w:p w14:paraId="0A26254A">
            <w:pPr>
              <w:bidi w:val="0"/>
            </w:pPr>
            <w:r>
              <w:t>项目营运期固废主要为生活垃圾、一般固废及危险废物等。</w:t>
            </w:r>
          </w:p>
          <w:p w14:paraId="101CD18A">
            <w:pPr>
              <w:bidi w:val="0"/>
            </w:pPr>
            <w:r>
              <w:t>（1）职工生活垃圾</w:t>
            </w:r>
          </w:p>
          <w:p w14:paraId="23CCBF36">
            <w:pPr>
              <w:bidi w:val="0"/>
            </w:pPr>
            <w:r>
              <w:t>本项目</w:t>
            </w:r>
            <w:r>
              <w:rPr>
                <w:rFonts w:hint="eastAsia"/>
              </w:rPr>
              <w:t>全厂</w:t>
            </w:r>
            <w:r>
              <w:t>劳动定员</w:t>
            </w:r>
            <w:r>
              <w:rPr>
                <w:rFonts w:hint="eastAsia"/>
                <w:lang w:val="en-US" w:eastAsia="zh-CN"/>
              </w:rPr>
              <w:t>15</w:t>
            </w:r>
            <w:r>
              <w:t>人，均不在厂区食宿，以每人每天产生生活垃圾0.5kg计，年工作时间为</w:t>
            </w:r>
            <w:r>
              <w:rPr>
                <w:rFonts w:hint="eastAsia"/>
                <w:lang w:val="en-US" w:eastAsia="zh-CN"/>
              </w:rPr>
              <w:t>330</w:t>
            </w:r>
            <w:r>
              <w:t>天，生活垃圾年产生量为</w:t>
            </w:r>
            <w:r>
              <w:rPr>
                <w:rFonts w:hint="eastAsia"/>
                <w:lang w:val="en-US" w:eastAsia="zh-CN"/>
              </w:rPr>
              <w:t>2.475</w:t>
            </w:r>
            <w:r>
              <w:t>t。生活垃圾集中收集于垃圾箱后委托环卫部门定期清运处理。</w:t>
            </w:r>
          </w:p>
          <w:p w14:paraId="4970992C">
            <w:pPr>
              <w:bidi w:val="0"/>
            </w:pPr>
            <w:r>
              <w:t>（2）化粪池污泥</w:t>
            </w:r>
          </w:p>
          <w:p w14:paraId="7295C34D">
            <w:pPr>
              <w:bidi w:val="0"/>
            </w:pPr>
            <w:r>
              <w:t>根据《建筑给水排水设计规范》（2009修订版）中表4.8.6，化粪池污泥产生量为0.3L/人·d，化粪池污泥比重约为1.2L/kg，本项目</w:t>
            </w:r>
            <w:r>
              <w:rPr>
                <w:rFonts w:hint="eastAsia"/>
              </w:rPr>
              <w:t>全厂</w:t>
            </w:r>
            <w:r>
              <w:t>劳动定员</w:t>
            </w:r>
            <w:r>
              <w:rPr>
                <w:rFonts w:hint="eastAsia"/>
                <w:lang w:val="en-US" w:eastAsia="zh-CN"/>
              </w:rPr>
              <w:t>15</w:t>
            </w:r>
            <w:r>
              <w:t>人，年工作时间</w:t>
            </w:r>
            <w:r>
              <w:rPr>
                <w:rFonts w:hint="eastAsia"/>
                <w:lang w:val="en-US" w:eastAsia="zh-CN"/>
              </w:rPr>
              <w:t>330</w:t>
            </w:r>
            <w:r>
              <w:t>天，则本项目化粪池污泥产生量约为</w:t>
            </w:r>
            <w:r>
              <w:rPr>
                <w:rFonts w:hint="eastAsia"/>
                <w:lang w:val="en-US" w:eastAsia="zh-CN"/>
              </w:rPr>
              <w:t>1.238</w:t>
            </w:r>
            <w:r>
              <w:t>t/a，化粪池污泥</w:t>
            </w:r>
            <w:r>
              <w:rPr>
                <w:rFonts w:hint="default"/>
              </w:rPr>
              <w:t>由专用吸污车定期清掏，干化后委托环卫部门清运处理</w:t>
            </w:r>
            <w:r>
              <w:t>。</w:t>
            </w:r>
          </w:p>
          <w:p w14:paraId="1C214688">
            <w:pPr>
              <w:bidi w:val="0"/>
            </w:pPr>
            <w:r>
              <w:t>（3）一般固废</w:t>
            </w:r>
          </w:p>
          <w:p w14:paraId="22929CA1">
            <w:pPr>
              <w:bidi w:val="0"/>
            </w:pPr>
            <w:r>
              <w:rPr>
                <w:rFonts w:hint="eastAsia"/>
              </w:rPr>
              <w:t>①</w:t>
            </w:r>
            <w:r>
              <w:t>不合格品</w:t>
            </w:r>
          </w:p>
          <w:p w14:paraId="390EE8BC">
            <w:pPr>
              <w:bidi w:val="0"/>
            </w:pPr>
            <w:r>
              <w:t>本项目检验过程不合格产品产生量约为</w:t>
            </w:r>
            <w:r>
              <w:rPr>
                <w:rFonts w:hint="eastAsia"/>
                <w:lang w:val="en-US" w:eastAsia="zh-CN"/>
              </w:rPr>
              <w:t>6</w:t>
            </w:r>
            <w:r>
              <w:rPr>
                <w:rFonts w:hint="eastAsia"/>
              </w:rPr>
              <w:t>0</w:t>
            </w:r>
            <w:r>
              <w:t>0t/a，</w:t>
            </w:r>
            <w:r>
              <w:rPr>
                <w:color w:val="000000"/>
                <w:sz w:val="24"/>
              </w:rPr>
              <w:t>集中收集后回用于生产</w:t>
            </w:r>
            <w:r>
              <w:t>。根据《固体废物分类与代码目录（2024版）》可知，不合格品的一般固体废物代码为</w:t>
            </w:r>
            <w:r>
              <w:rPr>
                <w:rFonts w:hint="eastAsia"/>
              </w:rPr>
              <w:t>900-00</w:t>
            </w:r>
            <w:r>
              <w:rPr>
                <w:rFonts w:hint="eastAsia"/>
                <w:lang w:val="en-US" w:eastAsia="zh-CN"/>
              </w:rPr>
              <w:t>1</w:t>
            </w:r>
            <w:r>
              <w:rPr>
                <w:rFonts w:hint="eastAsia"/>
              </w:rPr>
              <w:t>-S17</w:t>
            </w:r>
            <w:r>
              <w:t>。</w:t>
            </w:r>
          </w:p>
          <w:p w14:paraId="361FB5A9">
            <w:pPr>
              <w:bidi w:val="0"/>
            </w:pPr>
            <w:r>
              <w:rPr>
                <w:rFonts w:hint="eastAsia"/>
              </w:rPr>
              <w:t>②废砂</w:t>
            </w:r>
          </w:p>
          <w:p w14:paraId="1D5814B3">
            <w:pPr>
              <w:bidi w:val="0"/>
              <w:rPr>
                <w:rFonts w:hint="eastAsia"/>
              </w:rPr>
            </w:pPr>
            <w:r>
              <w:t>根据上文物料平衡分析可知，项目</w:t>
            </w:r>
            <w:r>
              <w:rPr>
                <w:rFonts w:hint="eastAsia"/>
              </w:rPr>
              <w:t>废砂</w:t>
            </w:r>
            <w:r>
              <w:t>产生量约为</w:t>
            </w:r>
            <w:r>
              <w:rPr>
                <w:rFonts w:hint="eastAsia"/>
                <w:lang w:val="en-US" w:eastAsia="zh-CN"/>
              </w:rPr>
              <w:t>1757.537</w:t>
            </w:r>
            <w:r>
              <w:t>t/a，成分</w:t>
            </w:r>
            <w:r>
              <w:rPr>
                <w:rFonts w:hint="eastAsia"/>
              </w:rPr>
              <w:t>均</w:t>
            </w:r>
            <w:r>
              <w:t>为石英砂，</w:t>
            </w:r>
            <w:r>
              <w:rPr>
                <w:rFonts w:hint="eastAsia"/>
              </w:rPr>
              <w:t>废砂集中收集后</w:t>
            </w:r>
            <w:r>
              <w:rPr>
                <w:rFonts w:hint="eastAsia"/>
                <w:lang w:val="en-US" w:eastAsia="zh-CN"/>
              </w:rPr>
              <w:t>外售做建材</w:t>
            </w:r>
            <w:r>
              <w:rPr>
                <w:rFonts w:hint="eastAsia"/>
              </w:rPr>
              <w:t>。</w:t>
            </w:r>
            <w:r>
              <w:t>根据《固体废物分类与代码目录（2024版）》可知，</w:t>
            </w:r>
            <w:r>
              <w:rPr>
                <w:rFonts w:hint="eastAsia"/>
              </w:rPr>
              <w:t>废砂</w:t>
            </w:r>
            <w:r>
              <w:t>的一般固体废物代码为900-</w:t>
            </w:r>
            <w:r>
              <w:rPr>
                <w:rFonts w:hint="eastAsia"/>
              </w:rPr>
              <w:t>001-S59</w:t>
            </w:r>
            <w:r>
              <w:t>。</w:t>
            </w:r>
          </w:p>
          <w:p w14:paraId="26F8480C">
            <w:pPr>
              <w:spacing w:line="360" w:lineRule="auto"/>
              <w:ind w:firstLine="480" w:firstLineChars="200"/>
              <w:rPr>
                <w:color w:val="000000"/>
                <w:sz w:val="24"/>
              </w:rPr>
            </w:pPr>
            <w:r>
              <w:rPr>
                <w:rFonts w:hint="eastAsia"/>
                <w:color w:val="000000"/>
                <w:sz w:val="24"/>
              </w:rPr>
              <w:t>③</w:t>
            </w:r>
            <w:r>
              <w:rPr>
                <w:color w:val="000000"/>
                <w:sz w:val="24"/>
              </w:rPr>
              <w:t>废</w:t>
            </w:r>
            <w:r>
              <w:rPr>
                <w:rFonts w:hint="eastAsia"/>
                <w:color w:val="000000"/>
                <w:sz w:val="24"/>
                <w:lang w:val="en-US" w:eastAsia="zh-CN"/>
              </w:rPr>
              <w:t>铁</w:t>
            </w:r>
            <w:r>
              <w:rPr>
                <w:color w:val="000000"/>
                <w:sz w:val="24"/>
              </w:rPr>
              <w:t>屑</w:t>
            </w:r>
          </w:p>
          <w:p w14:paraId="24FB4BAC">
            <w:pPr>
              <w:spacing w:line="360" w:lineRule="auto"/>
              <w:ind w:firstLine="520" w:firstLineChars="200"/>
              <w:rPr>
                <w:color w:val="000000"/>
                <w:sz w:val="24"/>
              </w:rPr>
            </w:pPr>
            <w:r>
              <w:rPr>
                <w:color w:val="000000"/>
                <w:spacing w:val="10"/>
                <w:sz w:val="24"/>
              </w:rPr>
              <w:t>项目</w:t>
            </w:r>
            <w:r>
              <w:rPr>
                <w:rFonts w:hint="eastAsia"/>
                <w:color w:val="000000"/>
                <w:spacing w:val="10"/>
                <w:sz w:val="24"/>
                <w:lang w:val="en-US" w:eastAsia="zh-CN"/>
              </w:rPr>
              <w:t>磁选工</w:t>
            </w:r>
            <w:r>
              <w:rPr>
                <w:rFonts w:hint="eastAsia"/>
                <w:color w:val="000000"/>
                <w:spacing w:val="10"/>
                <w:sz w:val="24"/>
              </w:rPr>
              <w:t>序</w:t>
            </w:r>
            <w:r>
              <w:rPr>
                <w:color w:val="000000"/>
                <w:spacing w:val="5"/>
                <w:sz w:val="24"/>
              </w:rPr>
              <w:t>会产生一定量的</w:t>
            </w:r>
            <w:r>
              <w:rPr>
                <w:color w:val="000000"/>
                <w:sz w:val="24"/>
              </w:rPr>
              <w:t>废</w:t>
            </w:r>
            <w:r>
              <w:rPr>
                <w:rFonts w:hint="eastAsia"/>
                <w:color w:val="000000"/>
                <w:sz w:val="24"/>
                <w:lang w:val="en-US" w:eastAsia="zh-CN"/>
              </w:rPr>
              <w:t>铁</w:t>
            </w:r>
            <w:r>
              <w:rPr>
                <w:color w:val="000000"/>
                <w:sz w:val="24"/>
              </w:rPr>
              <w:t>屑</w:t>
            </w:r>
            <w:r>
              <w:rPr>
                <w:color w:val="000000"/>
                <w:spacing w:val="5"/>
                <w:sz w:val="24"/>
              </w:rPr>
              <w:t>，产生量为</w:t>
            </w:r>
            <w:r>
              <w:rPr>
                <w:rFonts w:hint="eastAsia"/>
                <w:color w:val="000000"/>
                <w:spacing w:val="5"/>
                <w:sz w:val="24"/>
                <w:lang w:val="en-US" w:eastAsia="zh-CN"/>
              </w:rPr>
              <w:t>3</w:t>
            </w:r>
            <w:r>
              <w:rPr>
                <w:rFonts w:hint="eastAsia"/>
                <w:color w:val="000000"/>
                <w:spacing w:val="5"/>
                <w:sz w:val="24"/>
              </w:rPr>
              <w:t>60</w:t>
            </w:r>
            <w:r>
              <w:rPr>
                <w:color w:val="000000"/>
                <w:sz w:val="24"/>
              </w:rPr>
              <w:t>t</w:t>
            </w:r>
            <w:r>
              <w:rPr>
                <w:color w:val="000000"/>
                <w:spacing w:val="5"/>
                <w:sz w:val="24"/>
              </w:rPr>
              <w:t>/</w:t>
            </w:r>
            <w:r>
              <w:rPr>
                <w:color w:val="000000"/>
                <w:sz w:val="24"/>
              </w:rPr>
              <w:t>a</w:t>
            </w:r>
            <w:r>
              <w:rPr>
                <w:color w:val="000000"/>
                <w:spacing w:val="5"/>
                <w:sz w:val="24"/>
              </w:rPr>
              <w:t>，</w:t>
            </w:r>
            <w:r>
              <w:rPr>
                <w:color w:val="000000"/>
                <w:sz w:val="24"/>
              </w:rPr>
              <w:t>集中收集后回用于生产。根据《固体废物分类与代码目录（2024版）》可知，废</w:t>
            </w:r>
            <w:r>
              <w:rPr>
                <w:rFonts w:hint="eastAsia"/>
                <w:color w:val="000000"/>
                <w:sz w:val="24"/>
                <w:lang w:val="en-US" w:eastAsia="zh-CN"/>
              </w:rPr>
              <w:t>铁</w:t>
            </w:r>
            <w:r>
              <w:rPr>
                <w:color w:val="000000"/>
                <w:sz w:val="24"/>
              </w:rPr>
              <w:t>屑的一般固体废物代码为</w:t>
            </w:r>
            <w:r>
              <w:rPr>
                <w:rFonts w:hint="eastAsia"/>
                <w:color w:val="000000"/>
                <w:sz w:val="24"/>
              </w:rPr>
              <w:t>900-00</w:t>
            </w:r>
            <w:r>
              <w:rPr>
                <w:rFonts w:hint="eastAsia"/>
                <w:color w:val="000000"/>
                <w:sz w:val="24"/>
                <w:lang w:val="en-US" w:eastAsia="zh-CN"/>
              </w:rPr>
              <w:t>1</w:t>
            </w:r>
            <w:r>
              <w:rPr>
                <w:rFonts w:hint="eastAsia"/>
                <w:color w:val="000000"/>
                <w:sz w:val="24"/>
              </w:rPr>
              <w:t>-S17</w:t>
            </w:r>
            <w:r>
              <w:rPr>
                <w:color w:val="000000"/>
                <w:sz w:val="24"/>
              </w:rPr>
              <w:t>。</w:t>
            </w:r>
          </w:p>
          <w:p w14:paraId="0DD81CC3">
            <w:pPr>
              <w:spacing w:line="360" w:lineRule="auto"/>
              <w:ind w:firstLine="480" w:firstLineChars="200"/>
              <w:rPr>
                <w:rFonts w:hint="eastAsia" w:eastAsia="宋体"/>
                <w:color w:val="000000"/>
                <w:sz w:val="24"/>
                <w:lang w:val="en-US" w:eastAsia="zh-CN"/>
              </w:rPr>
            </w:pPr>
            <w:r>
              <w:rPr>
                <w:rFonts w:hint="eastAsia"/>
                <w:color w:val="000000"/>
                <w:sz w:val="24"/>
              </w:rPr>
              <w:t>④</w:t>
            </w:r>
            <w:r>
              <w:rPr>
                <w:color w:val="000000"/>
                <w:spacing w:val="5"/>
                <w:sz w:val="24"/>
              </w:rPr>
              <w:t>废</w:t>
            </w:r>
            <w:r>
              <w:rPr>
                <w:rFonts w:hint="eastAsia"/>
                <w:color w:val="000000"/>
                <w:spacing w:val="5"/>
                <w:sz w:val="24"/>
                <w:lang w:val="en-US" w:eastAsia="zh-CN"/>
              </w:rPr>
              <w:t>钢丸</w:t>
            </w:r>
          </w:p>
          <w:p w14:paraId="511D7CA2">
            <w:pPr>
              <w:spacing w:line="360" w:lineRule="auto"/>
              <w:ind w:firstLine="520" w:firstLineChars="200"/>
              <w:rPr>
                <w:color w:val="000000"/>
                <w:sz w:val="24"/>
              </w:rPr>
            </w:pPr>
            <w:r>
              <w:rPr>
                <w:color w:val="000000"/>
                <w:spacing w:val="10"/>
                <w:sz w:val="24"/>
              </w:rPr>
              <w:t>项目抛丸</w:t>
            </w:r>
            <w:r>
              <w:rPr>
                <w:color w:val="000000"/>
                <w:spacing w:val="6"/>
                <w:sz w:val="24"/>
              </w:rPr>
              <w:t>过</w:t>
            </w:r>
            <w:r>
              <w:rPr>
                <w:color w:val="000000"/>
                <w:spacing w:val="5"/>
                <w:sz w:val="24"/>
              </w:rPr>
              <w:t>程会产生一定量的废</w:t>
            </w:r>
            <w:r>
              <w:rPr>
                <w:rFonts w:hint="eastAsia"/>
                <w:color w:val="000000"/>
                <w:spacing w:val="5"/>
                <w:sz w:val="24"/>
                <w:lang w:val="en-US" w:eastAsia="zh-CN"/>
              </w:rPr>
              <w:t>钢丸</w:t>
            </w:r>
            <w:r>
              <w:rPr>
                <w:color w:val="000000"/>
                <w:spacing w:val="5"/>
                <w:sz w:val="24"/>
              </w:rPr>
              <w:t>，产生量为</w:t>
            </w:r>
            <w:r>
              <w:rPr>
                <w:rFonts w:hint="eastAsia"/>
                <w:color w:val="000000"/>
                <w:spacing w:val="5"/>
                <w:sz w:val="24"/>
                <w:lang w:val="en-US" w:eastAsia="zh-CN"/>
              </w:rPr>
              <w:t>20</w:t>
            </w:r>
            <w:r>
              <w:rPr>
                <w:color w:val="000000"/>
                <w:sz w:val="24"/>
              </w:rPr>
              <w:t>t</w:t>
            </w:r>
            <w:r>
              <w:rPr>
                <w:color w:val="000000"/>
                <w:spacing w:val="5"/>
                <w:sz w:val="24"/>
              </w:rPr>
              <w:t>/</w:t>
            </w:r>
            <w:r>
              <w:rPr>
                <w:color w:val="000000"/>
                <w:sz w:val="24"/>
              </w:rPr>
              <w:t>a</w:t>
            </w:r>
            <w:r>
              <w:rPr>
                <w:color w:val="000000"/>
                <w:spacing w:val="5"/>
                <w:sz w:val="24"/>
              </w:rPr>
              <w:t>，</w:t>
            </w:r>
            <w:r>
              <w:rPr>
                <w:rFonts w:hint="eastAsia" w:hAnsi="宋体"/>
                <w:b w:val="0"/>
                <w:bCs w:val="0"/>
                <w:u w:val="none"/>
                <w:lang w:val="en-US" w:eastAsia="zh-CN"/>
              </w:rPr>
              <w:t>集中收集后外售综合利用</w:t>
            </w:r>
            <w:r>
              <w:rPr>
                <w:color w:val="000000"/>
                <w:sz w:val="24"/>
              </w:rPr>
              <w:t>。根据《固体废物分类与代码目录（2024版）》可知，</w:t>
            </w:r>
            <w:r>
              <w:rPr>
                <w:color w:val="000000"/>
                <w:spacing w:val="5"/>
                <w:sz w:val="24"/>
              </w:rPr>
              <w:t>废</w:t>
            </w:r>
            <w:r>
              <w:rPr>
                <w:rFonts w:hint="eastAsia"/>
                <w:color w:val="000000"/>
                <w:spacing w:val="5"/>
                <w:sz w:val="24"/>
                <w:lang w:val="en-US" w:eastAsia="zh-CN"/>
              </w:rPr>
              <w:t>钢丸</w:t>
            </w:r>
            <w:r>
              <w:rPr>
                <w:color w:val="000000"/>
                <w:sz w:val="24"/>
              </w:rPr>
              <w:t>的一般固体废物代码为</w:t>
            </w:r>
            <w:r>
              <w:rPr>
                <w:rFonts w:hint="eastAsia"/>
                <w:color w:val="000000"/>
                <w:sz w:val="24"/>
              </w:rPr>
              <w:t>900-00</w:t>
            </w:r>
            <w:r>
              <w:rPr>
                <w:rFonts w:hint="eastAsia"/>
                <w:color w:val="000000"/>
                <w:sz w:val="24"/>
                <w:lang w:val="en-US" w:eastAsia="zh-CN"/>
              </w:rPr>
              <w:t>1</w:t>
            </w:r>
            <w:r>
              <w:rPr>
                <w:rFonts w:hint="eastAsia"/>
                <w:color w:val="000000"/>
                <w:sz w:val="24"/>
              </w:rPr>
              <w:t>-S17</w:t>
            </w:r>
            <w:r>
              <w:rPr>
                <w:color w:val="000000"/>
                <w:sz w:val="24"/>
              </w:rPr>
              <w:t>。</w:t>
            </w:r>
          </w:p>
          <w:p w14:paraId="63E514A8">
            <w:pPr>
              <w:bidi w:val="0"/>
              <w:rPr>
                <w:rFonts w:hint="eastAsia"/>
              </w:rPr>
            </w:pPr>
          </w:p>
          <w:p w14:paraId="576A12AA">
            <w:pPr>
              <w:bidi w:val="0"/>
            </w:pPr>
            <w:r>
              <w:rPr>
                <w:rFonts w:hint="eastAsia"/>
              </w:rPr>
              <w:t>⑤石英砂</w:t>
            </w:r>
            <w:r>
              <w:rPr>
                <w:rFonts w:hint="eastAsia"/>
                <w:lang w:eastAsia="zh-CN"/>
              </w:rPr>
              <w:t>、</w:t>
            </w:r>
            <w:r>
              <w:rPr>
                <w:rFonts w:hint="eastAsia"/>
                <w:lang w:val="en-US" w:eastAsia="zh-CN"/>
              </w:rPr>
              <w:t>除渣剂</w:t>
            </w:r>
            <w:r>
              <w:rPr>
                <w:rFonts w:hint="eastAsia"/>
              </w:rPr>
              <w:t>废包装材料</w:t>
            </w:r>
          </w:p>
          <w:p w14:paraId="31C99DB9">
            <w:pPr>
              <w:bidi w:val="0"/>
            </w:pPr>
            <w:r>
              <w:t>经类比同行业数据调查分析，并结合本项目实际情况和企业提供资料，项目</w:t>
            </w:r>
            <w:r>
              <w:rPr>
                <w:rFonts w:hint="eastAsia"/>
              </w:rPr>
              <w:t>石英砂</w:t>
            </w:r>
            <w:r>
              <w:rPr>
                <w:rFonts w:hint="eastAsia"/>
                <w:lang w:eastAsia="zh-CN"/>
              </w:rPr>
              <w:t>、</w:t>
            </w:r>
            <w:r>
              <w:rPr>
                <w:rFonts w:hint="eastAsia"/>
                <w:lang w:val="en-US" w:eastAsia="zh-CN"/>
              </w:rPr>
              <w:t>除渣剂</w:t>
            </w:r>
            <w:r>
              <w:rPr>
                <w:rFonts w:hint="eastAsia"/>
              </w:rPr>
              <w:t>废包装材料</w:t>
            </w:r>
            <w:r>
              <w:t>产生</w:t>
            </w:r>
            <w:r>
              <w:rPr>
                <w:rFonts w:hint="eastAsia"/>
              </w:rPr>
              <w:t>量</w:t>
            </w:r>
            <w:r>
              <w:t>约</w:t>
            </w:r>
            <w:r>
              <w:rPr>
                <w:rFonts w:hint="eastAsia"/>
                <w:lang w:val="en-US" w:eastAsia="zh-CN"/>
              </w:rPr>
              <w:t>3.0</w:t>
            </w:r>
            <w:r>
              <w:t>t/a，</w:t>
            </w:r>
            <w:r>
              <w:rPr>
                <w:rFonts w:hint="eastAsia" w:hAnsi="宋体"/>
                <w:b w:val="0"/>
                <w:bCs w:val="0"/>
                <w:u w:val="none"/>
                <w:lang w:val="en-US" w:eastAsia="zh-CN"/>
              </w:rPr>
              <w:t>集中收集后外售综合利用。</w:t>
            </w:r>
            <w:r>
              <w:t>根据《固体废物分类与代码目录（2024版）》可知，</w:t>
            </w:r>
            <w:r>
              <w:rPr>
                <w:rFonts w:hint="eastAsia"/>
              </w:rPr>
              <w:t>废包装材料</w:t>
            </w:r>
            <w:r>
              <w:t>的一般固体废物代码为</w:t>
            </w:r>
            <w:r>
              <w:rPr>
                <w:rFonts w:hint="eastAsia"/>
              </w:rPr>
              <w:t>900-003-S17</w:t>
            </w:r>
            <w:r>
              <w:t>。</w:t>
            </w:r>
          </w:p>
          <w:p w14:paraId="365BBAE0">
            <w:pPr>
              <w:bidi w:val="0"/>
            </w:pPr>
            <w:r>
              <w:t>⑥袋式除尘器收集的粉尘</w:t>
            </w:r>
          </w:p>
          <w:p w14:paraId="431DF7DA">
            <w:pPr>
              <w:bidi w:val="0"/>
            </w:pPr>
            <w:r>
              <w:t>由</w:t>
            </w:r>
            <w:r>
              <w:rPr>
                <w:rFonts w:hint="eastAsia"/>
              </w:rPr>
              <w:t>上文分析</w:t>
            </w:r>
            <w:r>
              <w:t>可知，</w:t>
            </w:r>
            <w:r>
              <w:rPr>
                <w:rFonts w:hint="eastAsia" w:hAnsi="宋体"/>
                <w:b w:val="0"/>
                <w:bCs w:val="0"/>
                <w:u w:val="none"/>
                <w:lang w:val="en-US" w:eastAsia="zh-CN"/>
              </w:rPr>
              <w:t>本项目除尘灰总产生量约100.883t/a</w:t>
            </w:r>
            <w:r>
              <w:t>。除尘灰主要成分为</w:t>
            </w:r>
            <w:r>
              <w:rPr>
                <w:rFonts w:hint="eastAsia" w:hAnsi="宋体"/>
                <w:b w:val="0"/>
                <w:bCs w:val="0"/>
                <w:u w:val="none"/>
                <w:lang w:val="en-US" w:eastAsia="zh-CN"/>
              </w:rPr>
              <w:t>金属氧化物、石英砂粉等</w:t>
            </w:r>
            <w:r>
              <w:t>，根据《固体废物分类与代码目录（2024版）》可知，袋式除尘器收集的粉尘一般固体废物代码为900-</w:t>
            </w:r>
            <w:r>
              <w:rPr>
                <w:rFonts w:hint="eastAsia"/>
              </w:rPr>
              <w:t>001-S59</w:t>
            </w:r>
            <w:r>
              <w:t>，</w:t>
            </w:r>
            <w:r>
              <w:rPr>
                <w:rFonts w:hint="eastAsia" w:hAnsi="宋体"/>
                <w:b w:val="0"/>
                <w:bCs w:val="0"/>
                <w:u w:val="none"/>
                <w:lang w:val="en-US" w:eastAsia="zh-CN"/>
              </w:rPr>
              <w:t>集中收集后外售综合利用</w:t>
            </w:r>
            <w:r>
              <w:t>。</w:t>
            </w:r>
          </w:p>
          <w:p w14:paraId="27DAF5A0">
            <w:pPr>
              <w:keepNext w:val="0"/>
              <w:keepLines w:val="0"/>
              <w:widowControl/>
              <w:suppressLineNumbers w:val="0"/>
              <w:jc w:val="left"/>
              <w:rPr>
                <w:rFonts w:hint="eastAsia" w:ascii="宋体" w:hAnsi="宋体" w:eastAsia="宋体" w:cs="宋体"/>
                <w:lang w:val="en-US" w:eastAsia="zh-CN"/>
              </w:rPr>
            </w:pPr>
            <w:r>
              <w:rPr>
                <w:rFonts w:hint="eastAsia" w:ascii="宋体" w:hAnsi="宋体" w:eastAsia="宋体" w:cs="宋体"/>
              </w:rPr>
              <w:t>⑦</w:t>
            </w:r>
            <w:r>
              <w:rPr>
                <w:rFonts w:hint="eastAsia" w:ascii="宋体" w:hAnsi="宋体" w:eastAsia="宋体" w:cs="宋体"/>
                <w:lang w:val="en-US" w:eastAsia="zh-CN"/>
              </w:rPr>
              <w:t>炉渣</w:t>
            </w:r>
          </w:p>
          <w:p w14:paraId="5F8B285E">
            <w:pPr>
              <w:bidi w:val="0"/>
            </w:pPr>
            <w:r>
              <w:rPr>
                <w:rFonts w:hint="eastAsia"/>
                <w:lang w:val="en-US" w:eastAsia="zh-CN"/>
              </w:rPr>
              <w:t>金属熔化过程中炉料中的杂质、金属氧化物等酸性物质结合成熔点较低的炉渣。熔化的炉渣浮在铁水上，经出渣口排出。炉渣产生量约占产品产量的1.0</w:t>
            </w:r>
            <w:r>
              <w:rPr>
                <w:rFonts w:hint="default"/>
                <w:lang w:val="en-US" w:eastAsia="zh-CN"/>
              </w:rPr>
              <w:t>%</w:t>
            </w:r>
            <w:r>
              <w:rPr>
                <w:rFonts w:hint="eastAsia"/>
                <w:lang w:val="en-US" w:eastAsia="zh-CN"/>
              </w:rPr>
              <w:t>，本项目年产12</w:t>
            </w:r>
            <w:r>
              <w:rPr>
                <w:rFonts w:hint="default"/>
                <w:lang w:val="en-US" w:eastAsia="zh-CN"/>
              </w:rPr>
              <w:t>000</w:t>
            </w:r>
            <w:r>
              <w:rPr>
                <w:rFonts w:hint="eastAsia"/>
                <w:lang w:val="en-US" w:eastAsia="zh-CN"/>
              </w:rPr>
              <w:t>t铸件，则炉渣产生量为12</w:t>
            </w:r>
            <w:r>
              <w:rPr>
                <w:rFonts w:hint="default"/>
                <w:lang w:val="en-US" w:eastAsia="zh-CN"/>
              </w:rPr>
              <w:t>0t/a</w:t>
            </w:r>
            <w:r>
              <w:rPr>
                <w:rFonts w:hint="eastAsia"/>
                <w:lang w:val="en-US" w:eastAsia="zh-CN"/>
              </w:rPr>
              <w:t>。</w:t>
            </w:r>
            <w:r>
              <w:t>根据《固体废物分类与代码目录（2024版）》可知</w:t>
            </w:r>
            <w:r>
              <w:rPr>
                <w:rFonts w:hint="eastAsia"/>
                <w:lang w:val="en-US" w:eastAsia="zh-CN"/>
              </w:rPr>
              <w:t>，</w:t>
            </w:r>
            <w:r>
              <w:rPr>
                <w:rFonts w:hint="eastAsia" w:ascii="宋体" w:hAnsi="宋体" w:eastAsia="宋体" w:cs="宋体"/>
                <w:lang w:val="en-US" w:eastAsia="zh-CN"/>
              </w:rPr>
              <w:t>炉渣</w:t>
            </w:r>
            <w:r>
              <w:t>一般固体废物代码为</w:t>
            </w:r>
            <w:r>
              <w:rPr>
                <w:rFonts w:hint="default"/>
                <w:lang w:val="en-US" w:eastAsia="zh-CN"/>
              </w:rPr>
              <w:t>900-099-S03</w:t>
            </w:r>
            <w:r>
              <w:rPr>
                <w:rFonts w:hint="eastAsia"/>
                <w:lang w:val="en-US" w:eastAsia="zh-CN"/>
              </w:rPr>
              <w:t>，</w:t>
            </w:r>
            <w:r>
              <w:rPr>
                <w:rFonts w:hint="eastAsia" w:hAnsi="宋体"/>
                <w:b w:val="0"/>
                <w:bCs w:val="0"/>
                <w:u w:val="none"/>
                <w:lang w:val="en-US" w:eastAsia="zh-CN"/>
              </w:rPr>
              <w:t>集中收集后外售综合利用</w:t>
            </w:r>
            <w:r>
              <w:rPr>
                <w:rFonts w:hint="eastAsia"/>
                <w:lang w:val="en-US" w:eastAsia="zh-CN"/>
              </w:rPr>
              <w:t>。</w:t>
            </w:r>
          </w:p>
          <w:p w14:paraId="652BF40F">
            <w:pPr>
              <w:ind w:firstLine="0" w:firstLineChars="0"/>
              <w:jc w:val="center"/>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表4-</w:t>
            </w:r>
            <w:r>
              <w:rPr>
                <w:rFonts w:hint="eastAsia" w:eastAsia="黑体"/>
                <w:color w:val="000000" w:themeColor="text1"/>
                <w:lang w:val="en-US" w:eastAsia="zh-CN"/>
                <w14:textFill>
                  <w14:solidFill>
                    <w14:schemeClr w14:val="tx1"/>
                  </w14:solidFill>
                </w14:textFill>
              </w:rPr>
              <w:t>9</w:t>
            </w:r>
            <w:r>
              <w:rPr>
                <w:rFonts w:eastAsia="黑体"/>
                <w:color w:val="000000" w:themeColor="text1"/>
                <w14:textFill>
                  <w14:solidFill>
                    <w14:schemeClr w14:val="tx1"/>
                  </w14:solidFill>
                </w14:textFill>
              </w:rPr>
              <w:t xml:space="preserve">  项目固废产排情况及处理措施一览表</w:t>
            </w:r>
          </w:p>
          <w:tbl>
            <w:tblPr>
              <w:tblStyle w:val="29"/>
              <w:tblW w:w="498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466"/>
              <w:gridCol w:w="426"/>
              <w:gridCol w:w="636"/>
              <w:gridCol w:w="426"/>
              <w:gridCol w:w="426"/>
              <w:gridCol w:w="1004"/>
              <w:gridCol w:w="890"/>
              <w:gridCol w:w="1004"/>
              <w:gridCol w:w="1943"/>
              <w:gridCol w:w="1313"/>
            </w:tblGrid>
            <w:tr w14:paraId="29522B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5DD3AE2F">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固废名称</w:t>
                  </w:r>
                </w:p>
              </w:tc>
              <w:tc>
                <w:tcPr>
                  <w:tcW w:w="260" w:type="pct"/>
                  <w:tcBorders>
                    <w:tl2br w:val="nil"/>
                    <w:tr2bl w:val="nil"/>
                  </w:tcBorders>
                  <w:vAlign w:val="center"/>
                </w:tcPr>
                <w:p w14:paraId="45346860">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产生点位</w:t>
                  </w:r>
                </w:p>
              </w:tc>
              <w:tc>
                <w:tcPr>
                  <w:tcW w:w="253" w:type="pct"/>
                  <w:tcBorders>
                    <w:tl2br w:val="nil"/>
                    <w:tr2bl w:val="nil"/>
                  </w:tcBorders>
                  <w:vAlign w:val="center"/>
                </w:tcPr>
                <w:p w14:paraId="0520CD78">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主要成分</w:t>
                  </w:r>
                </w:p>
              </w:tc>
              <w:tc>
                <w:tcPr>
                  <w:tcW w:w="249" w:type="pct"/>
                  <w:tcBorders>
                    <w:tl2br w:val="nil"/>
                    <w:tr2bl w:val="nil"/>
                  </w:tcBorders>
                  <w:vAlign w:val="center"/>
                </w:tcPr>
                <w:p w14:paraId="58567121">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物理性质</w:t>
                  </w:r>
                </w:p>
              </w:tc>
              <w:tc>
                <w:tcPr>
                  <w:tcW w:w="249" w:type="pct"/>
                  <w:tcBorders>
                    <w:tl2br w:val="nil"/>
                    <w:tr2bl w:val="nil"/>
                  </w:tcBorders>
                  <w:vAlign w:val="center"/>
                </w:tcPr>
                <w:p w14:paraId="15539207">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固废种类</w:t>
                  </w:r>
                </w:p>
              </w:tc>
              <w:tc>
                <w:tcPr>
                  <w:tcW w:w="688" w:type="pct"/>
                  <w:tcBorders>
                    <w:tl2br w:val="nil"/>
                    <w:tr2bl w:val="nil"/>
                  </w:tcBorders>
                  <w:vAlign w:val="center"/>
                </w:tcPr>
                <w:p w14:paraId="0B76EF9A">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产生量t/a</w:t>
                  </w:r>
                </w:p>
              </w:tc>
              <w:tc>
                <w:tcPr>
                  <w:tcW w:w="746" w:type="pct"/>
                  <w:tcBorders>
                    <w:tl2br w:val="nil"/>
                    <w:tr2bl w:val="nil"/>
                  </w:tcBorders>
                  <w:vAlign w:val="center"/>
                </w:tcPr>
                <w:p w14:paraId="4980D51E">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利用处置方式和去向</w:t>
                  </w:r>
                </w:p>
              </w:tc>
              <w:tc>
                <w:tcPr>
                  <w:tcW w:w="604" w:type="pct"/>
                  <w:tcBorders>
                    <w:tl2br w:val="nil"/>
                    <w:tr2bl w:val="nil"/>
                  </w:tcBorders>
                  <w:vAlign w:val="center"/>
                </w:tcPr>
                <w:p w14:paraId="7C918C49">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利用或处置量</w:t>
                  </w:r>
                </w:p>
              </w:tc>
              <w:tc>
                <w:tcPr>
                  <w:tcW w:w="797" w:type="pct"/>
                  <w:tcBorders>
                    <w:tl2br w:val="nil"/>
                    <w:tr2bl w:val="nil"/>
                  </w:tcBorders>
                  <w:vAlign w:val="center"/>
                </w:tcPr>
                <w:p w14:paraId="14196DCE">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环境管理要求</w:t>
                  </w:r>
                </w:p>
              </w:tc>
              <w:tc>
                <w:tcPr>
                  <w:tcW w:w="769" w:type="pct"/>
                  <w:tcBorders>
                    <w:tl2br w:val="nil"/>
                    <w:tr2bl w:val="nil"/>
                  </w:tcBorders>
                  <w:vAlign w:val="center"/>
                </w:tcPr>
                <w:p w14:paraId="252A6D33">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代码</w:t>
                  </w:r>
                </w:p>
              </w:tc>
            </w:tr>
            <w:tr w14:paraId="416E76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3E8466A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职工生活垃圾</w:t>
                  </w:r>
                </w:p>
              </w:tc>
              <w:tc>
                <w:tcPr>
                  <w:tcW w:w="260" w:type="pct"/>
                  <w:tcBorders>
                    <w:tl2br w:val="nil"/>
                    <w:tr2bl w:val="nil"/>
                  </w:tcBorders>
                  <w:vAlign w:val="center"/>
                </w:tcPr>
                <w:p w14:paraId="36DC706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职工生活</w:t>
                  </w:r>
                </w:p>
              </w:tc>
              <w:tc>
                <w:tcPr>
                  <w:tcW w:w="253" w:type="pct"/>
                  <w:tcBorders>
                    <w:tl2br w:val="nil"/>
                    <w:tr2bl w:val="nil"/>
                  </w:tcBorders>
                  <w:vAlign w:val="center"/>
                </w:tcPr>
                <w:p w14:paraId="1251506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249" w:type="pct"/>
                  <w:tcBorders>
                    <w:tl2br w:val="nil"/>
                    <w:tr2bl w:val="nil"/>
                  </w:tcBorders>
                  <w:vAlign w:val="center"/>
                </w:tcPr>
                <w:p w14:paraId="7930B2D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固态</w:t>
                  </w:r>
                </w:p>
              </w:tc>
              <w:tc>
                <w:tcPr>
                  <w:tcW w:w="249" w:type="pct"/>
                  <w:tcBorders>
                    <w:tl2br w:val="nil"/>
                    <w:tr2bl w:val="nil"/>
                  </w:tcBorders>
                  <w:vAlign w:val="center"/>
                </w:tcPr>
                <w:p w14:paraId="1F7D61F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一般工业固废</w:t>
                  </w:r>
                </w:p>
              </w:tc>
              <w:tc>
                <w:tcPr>
                  <w:tcW w:w="688" w:type="pct"/>
                  <w:tcBorders>
                    <w:tl2br w:val="nil"/>
                    <w:tr2bl w:val="nil"/>
                  </w:tcBorders>
                  <w:vAlign w:val="center"/>
                </w:tcPr>
                <w:p w14:paraId="3041F82E">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2.475</w:t>
                  </w:r>
                </w:p>
              </w:tc>
              <w:tc>
                <w:tcPr>
                  <w:tcW w:w="746" w:type="pct"/>
                  <w:tcBorders>
                    <w:tl2br w:val="nil"/>
                    <w:tr2bl w:val="nil"/>
                  </w:tcBorders>
                  <w:vAlign w:val="center"/>
                </w:tcPr>
                <w:p w14:paraId="27187F55">
                  <w:pPr>
                    <w:pStyle w:val="35"/>
                    <w:rPr>
                      <w:rFonts w:hint="default"/>
                      <w:color w:val="000000" w:themeColor="text1"/>
                      <w14:textFill>
                        <w14:solidFill>
                          <w14:schemeClr w14:val="tx1"/>
                        </w14:solidFill>
                      </w14:textFill>
                    </w:rPr>
                  </w:pPr>
                  <w:r>
                    <w:rPr>
                      <w:color w:val="000000" w:themeColor="text1"/>
                      <w:kern w:val="0"/>
                      <w:szCs w:val="24"/>
                      <w14:textFill>
                        <w14:solidFill>
                          <w14:schemeClr w14:val="tx1"/>
                        </w14:solidFill>
                      </w14:textFill>
                    </w:rPr>
                    <w:t>集中收集于垃圾箱后委托环卫部门定期清运处理</w:t>
                  </w:r>
                </w:p>
              </w:tc>
              <w:tc>
                <w:tcPr>
                  <w:tcW w:w="604" w:type="pct"/>
                  <w:tcBorders>
                    <w:tl2br w:val="nil"/>
                    <w:tr2bl w:val="nil"/>
                  </w:tcBorders>
                  <w:vAlign w:val="center"/>
                </w:tcPr>
                <w:p w14:paraId="760D63E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2.475</w:t>
                  </w:r>
                </w:p>
              </w:tc>
              <w:tc>
                <w:tcPr>
                  <w:tcW w:w="797" w:type="pct"/>
                  <w:vMerge w:val="restart"/>
                  <w:tcBorders>
                    <w:tl2br w:val="nil"/>
                    <w:tr2bl w:val="nil"/>
                  </w:tcBorders>
                  <w:vAlign w:val="center"/>
                </w:tcPr>
                <w:p w14:paraId="1F2F64B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执行《一般工业固体废物贮存和填埋污染控制标准》（GB18599-2020）</w:t>
                  </w:r>
                </w:p>
              </w:tc>
              <w:tc>
                <w:tcPr>
                  <w:tcW w:w="769" w:type="pct"/>
                  <w:tcBorders>
                    <w:tl2br w:val="nil"/>
                    <w:tr2bl w:val="nil"/>
                  </w:tcBorders>
                  <w:vAlign w:val="center"/>
                </w:tcPr>
                <w:p w14:paraId="456F86C6">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900-099-S64</w:t>
                  </w:r>
                </w:p>
              </w:tc>
            </w:tr>
            <w:tr w14:paraId="37F242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54B66C1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化粪池污泥</w:t>
                  </w:r>
                </w:p>
              </w:tc>
              <w:tc>
                <w:tcPr>
                  <w:tcW w:w="260" w:type="pct"/>
                  <w:tcBorders>
                    <w:tl2br w:val="nil"/>
                    <w:tr2bl w:val="nil"/>
                  </w:tcBorders>
                  <w:vAlign w:val="center"/>
                </w:tcPr>
                <w:p w14:paraId="413158DB">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化粪池</w:t>
                  </w:r>
                </w:p>
              </w:tc>
              <w:tc>
                <w:tcPr>
                  <w:tcW w:w="253" w:type="pct"/>
                  <w:tcBorders>
                    <w:tl2br w:val="nil"/>
                    <w:tr2bl w:val="nil"/>
                  </w:tcBorders>
                  <w:vAlign w:val="center"/>
                </w:tcPr>
                <w:p w14:paraId="10FC3AE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污泥</w:t>
                  </w:r>
                </w:p>
              </w:tc>
              <w:tc>
                <w:tcPr>
                  <w:tcW w:w="249" w:type="pct"/>
                  <w:tcBorders>
                    <w:tl2br w:val="nil"/>
                    <w:tr2bl w:val="nil"/>
                  </w:tcBorders>
                  <w:vAlign w:val="center"/>
                </w:tcPr>
                <w:p w14:paraId="2CBD877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半固态</w:t>
                  </w:r>
                </w:p>
              </w:tc>
              <w:tc>
                <w:tcPr>
                  <w:tcW w:w="249" w:type="pct"/>
                  <w:tcBorders>
                    <w:tl2br w:val="nil"/>
                    <w:tr2bl w:val="nil"/>
                  </w:tcBorders>
                  <w:vAlign w:val="center"/>
                </w:tcPr>
                <w:p w14:paraId="6F1BAFB3">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一般工业固废</w:t>
                  </w:r>
                </w:p>
              </w:tc>
              <w:tc>
                <w:tcPr>
                  <w:tcW w:w="688" w:type="pct"/>
                  <w:tcBorders>
                    <w:tl2br w:val="nil"/>
                    <w:tr2bl w:val="nil"/>
                  </w:tcBorders>
                  <w:vAlign w:val="center"/>
                </w:tcPr>
                <w:p w14:paraId="44FE0D8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1.238</w:t>
                  </w:r>
                </w:p>
              </w:tc>
              <w:tc>
                <w:tcPr>
                  <w:tcW w:w="746" w:type="pct"/>
                  <w:tcBorders>
                    <w:tl2br w:val="nil"/>
                    <w:tr2bl w:val="nil"/>
                  </w:tcBorders>
                  <w:vAlign w:val="center"/>
                </w:tcPr>
                <w:p w14:paraId="60775E7C">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由专用吸污车定期清掏，干化后委托环卫部门清运处理</w:t>
                  </w:r>
                </w:p>
              </w:tc>
              <w:tc>
                <w:tcPr>
                  <w:tcW w:w="604" w:type="pct"/>
                  <w:tcBorders>
                    <w:tl2br w:val="nil"/>
                    <w:tr2bl w:val="nil"/>
                  </w:tcBorders>
                  <w:vAlign w:val="center"/>
                </w:tcPr>
                <w:p w14:paraId="0FD78BE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1.238</w:t>
                  </w:r>
                </w:p>
              </w:tc>
              <w:tc>
                <w:tcPr>
                  <w:tcW w:w="797" w:type="pct"/>
                  <w:vMerge w:val="continue"/>
                  <w:tcBorders>
                    <w:tl2br w:val="nil"/>
                    <w:tr2bl w:val="nil"/>
                  </w:tcBorders>
                  <w:vAlign w:val="center"/>
                </w:tcPr>
                <w:p w14:paraId="2B52279B">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41E81E0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900-099-S07</w:t>
                  </w:r>
                </w:p>
              </w:tc>
            </w:tr>
            <w:tr w14:paraId="346842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17E68FE5">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不合格品</w:t>
                  </w:r>
                </w:p>
              </w:tc>
              <w:tc>
                <w:tcPr>
                  <w:tcW w:w="260" w:type="pct"/>
                  <w:tcBorders>
                    <w:tl2br w:val="nil"/>
                    <w:tr2bl w:val="nil"/>
                  </w:tcBorders>
                  <w:vAlign w:val="center"/>
                </w:tcPr>
                <w:p w14:paraId="7588D4E2">
                  <w:pPr>
                    <w:pStyle w:val="35"/>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检验</w:t>
                  </w:r>
                  <w:r>
                    <w:rPr>
                      <w:rFonts w:hint="default"/>
                      <w:color w:val="000000" w:themeColor="text1"/>
                      <w14:textFill>
                        <w14:solidFill>
                          <w14:schemeClr w14:val="tx1"/>
                        </w14:solidFill>
                      </w14:textFill>
                    </w:rPr>
                    <w:t>过程</w:t>
                  </w:r>
                </w:p>
              </w:tc>
              <w:tc>
                <w:tcPr>
                  <w:tcW w:w="253" w:type="pct"/>
                  <w:tcBorders>
                    <w:tl2br w:val="nil"/>
                    <w:tr2bl w:val="nil"/>
                  </w:tcBorders>
                  <w:vAlign w:val="center"/>
                </w:tcPr>
                <w:p w14:paraId="063685E1">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生铁、废钢</w:t>
                  </w:r>
                </w:p>
              </w:tc>
              <w:tc>
                <w:tcPr>
                  <w:tcW w:w="249" w:type="pct"/>
                  <w:tcBorders>
                    <w:tl2br w:val="nil"/>
                    <w:tr2bl w:val="nil"/>
                  </w:tcBorders>
                  <w:vAlign w:val="center"/>
                </w:tcPr>
                <w:p w14:paraId="6EF7A37C">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固态</w:t>
                  </w:r>
                </w:p>
              </w:tc>
              <w:tc>
                <w:tcPr>
                  <w:tcW w:w="249" w:type="pct"/>
                  <w:tcBorders>
                    <w:tl2br w:val="nil"/>
                    <w:tr2bl w:val="nil"/>
                  </w:tcBorders>
                  <w:vAlign w:val="center"/>
                </w:tcPr>
                <w:p w14:paraId="4620D7B3">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0FEE0977">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6</w:t>
                  </w:r>
                  <w:r>
                    <w:rPr>
                      <w:rFonts w:hint="default"/>
                      <w:color w:val="000000" w:themeColor="text1"/>
                      <w14:textFill>
                        <w14:solidFill>
                          <w14:schemeClr w14:val="tx1"/>
                        </w14:solidFill>
                      </w14:textFill>
                    </w:rPr>
                    <w:t>00</w:t>
                  </w:r>
                </w:p>
              </w:tc>
              <w:tc>
                <w:tcPr>
                  <w:tcW w:w="746" w:type="pct"/>
                  <w:tcBorders>
                    <w:tl2br w:val="nil"/>
                    <w:tr2bl w:val="nil"/>
                  </w:tcBorders>
                  <w:vAlign w:val="center"/>
                </w:tcPr>
                <w:p w14:paraId="379848FF">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集中收集后回用于生产</w:t>
                  </w:r>
                </w:p>
              </w:tc>
              <w:tc>
                <w:tcPr>
                  <w:tcW w:w="604" w:type="pct"/>
                  <w:tcBorders>
                    <w:tl2br w:val="nil"/>
                    <w:tr2bl w:val="nil"/>
                  </w:tcBorders>
                  <w:vAlign w:val="center"/>
                </w:tcPr>
                <w:p w14:paraId="0F04ECC1">
                  <w:pPr>
                    <w:pStyle w:val="35"/>
                    <w:rPr>
                      <w:rFonts w:hint="default"/>
                      <w:color w:val="000000" w:themeColor="text1"/>
                      <w14:textFill>
                        <w14:solidFill>
                          <w14:schemeClr w14:val="tx1"/>
                        </w14:solidFill>
                      </w14:textFill>
                    </w:rPr>
                  </w:pPr>
                  <w:r>
                    <w:rPr>
                      <w:rFonts w:hint="eastAsia"/>
                      <w:lang w:val="en-US" w:eastAsia="zh-CN"/>
                    </w:rPr>
                    <w:t>6</w:t>
                  </w:r>
                  <w:r>
                    <w:rPr>
                      <w:rFonts w:hint="eastAsia"/>
                    </w:rPr>
                    <w:t>0</w:t>
                  </w:r>
                  <w:r>
                    <w:t>0</w:t>
                  </w:r>
                </w:p>
              </w:tc>
              <w:tc>
                <w:tcPr>
                  <w:tcW w:w="797" w:type="pct"/>
                  <w:vMerge w:val="continue"/>
                  <w:tcBorders>
                    <w:tl2br w:val="nil"/>
                    <w:tr2bl w:val="nil"/>
                  </w:tcBorders>
                  <w:vAlign w:val="center"/>
                </w:tcPr>
                <w:p w14:paraId="1798901F">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7FE1B22A">
                  <w:pPr>
                    <w:pStyle w:val="35"/>
                    <w:rPr>
                      <w:rFonts w:hint="default"/>
                      <w:color w:val="000000" w:themeColor="text1"/>
                      <w14:textFill>
                        <w14:solidFill>
                          <w14:schemeClr w14:val="tx1"/>
                        </w14:solidFill>
                      </w14:textFill>
                    </w:rPr>
                  </w:pPr>
                  <w:r>
                    <w:rPr>
                      <w:rFonts w:hint="eastAsia"/>
                    </w:rPr>
                    <w:t>900-00</w:t>
                  </w:r>
                  <w:r>
                    <w:rPr>
                      <w:rFonts w:hint="eastAsia"/>
                      <w:lang w:val="en-US" w:eastAsia="zh-CN"/>
                    </w:rPr>
                    <w:t>1</w:t>
                  </w:r>
                  <w:r>
                    <w:rPr>
                      <w:rFonts w:hint="eastAsia"/>
                    </w:rPr>
                    <w:t>-S17</w:t>
                  </w:r>
                </w:p>
              </w:tc>
            </w:tr>
            <w:tr w14:paraId="3E23B9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4045EE6A">
                  <w:pPr>
                    <w:pStyle w:val="35"/>
                    <w:rPr>
                      <w:rFonts w:hint="default"/>
                      <w:color w:val="000000" w:themeColor="text1"/>
                      <w14:textFill>
                        <w14:solidFill>
                          <w14:schemeClr w14:val="tx1"/>
                        </w14:solidFill>
                      </w14:textFill>
                    </w:rPr>
                  </w:pPr>
                  <w:r>
                    <w:rPr>
                      <w:rFonts w:hint="eastAsia"/>
                    </w:rPr>
                    <w:t>废砂</w:t>
                  </w:r>
                </w:p>
              </w:tc>
              <w:tc>
                <w:tcPr>
                  <w:tcW w:w="260" w:type="pct"/>
                  <w:vMerge w:val="restart"/>
                  <w:tcBorders>
                    <w:tl2br w:val="nil"/>
                    <w:tr2bl w:val="nil"/>
                  </w:tcBorders>
                  <w:vAlign w:val="center"/>
                </w:tcPr>
                <w:p w14:paraId="37FBD997">
                  <w:pPr>
                    <w:pStyle w:val="35"/>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砂处理</w:t>
                  </w:r>
                  <w:r>
                    <w:rPr>
                      <w:rFonts w:hint="default"/>
                      <w:color w:val="000000" w:themeColor="text1"/>
                      <w14:textFill>
                        <w14:solidFill>
                          <w14:schemeClr w14:val="tx1"/>
                        </w14:solidFill>
                      </w14:textFill>
                    </w:rPr>
                    <w:t>工序</w:t>
                  </w:r>
                </w:p>
              </w:tc>
              <w:tc>
                <w:tcPr>
                  <w:tcW w:w="253" w:type="pct"/>
                  <w:tcBorders>
                    <w:tl2br w:val="nil"/>
                    <w:tr2bl w:val="nil"/>
                  </w:tcBorders>
                  <w:vAlign w:val="center"/>
                </w:tcPr>
                <w:p w14:paraId="5A3FBEC1">
                  <w:pPr>
                    <w:pStyle w:val="35"/>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石英砂</w:t>
                  </w:r>
                </w:p>
              </w:tc>
              <w:tc>
                <w:tcPr>
                  <w:tcW w:w="249" w:type="pct"/>
                  <w:tcBorders>
                    <w:tl2br w:val="nil"/>
                    <w:tr2bl w:val="nil"/>
                  </w:tcBorders>
                  <w:vAlign w:val="center"/>
                </w:tcPr>
                <w:p w14:paraId="278AC294">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固态</w:t>
                  </w:r>
                </w:p>
              </w:tc>
              <w:tc>
                <w:tcPr>
                  <w:tcW w:w="249" w:type="pct"/>
                  <w:tcBorders>
                    <w:tl2br w:val="nil"/>
                    <w:tr2bl w:val="nil"/>
                  </w:tcBorders>
                  <w:vAlign w:val="center"/>
                </w:tcPr>
                <w:p w14:paraId="1601588D">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38F13DB2">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1757.537</w:t>
                  </w:r>
                </w:p>
              </w:tc>
              <w:tc>
                <w:tcPr>
                  <w:tcW w:w="746" w:type="pct"/>
                  <w:tcBorders>
                    <w:tl2br w:val="nil"/>
                    <w:tr2bl w:val="nil"/>
                  </w:tcBorders>
                  <w:vAlign w:val="center"/>
                </w:tcPr>
                <w:p w14:paraId="59E31B24">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集中收集后</w:t>
                  </w:r>
                  <w:r>
                    <w:rPr>
                      <w:rFonts w:hint="default"/>
                      <w:color w:val="000000" w:themeColor="text1"/>
                      <w:lang w:val="en-US" w:eastAsia="zh-CN"/>
                      <w14:textFill>
                        <w14:solidFill>
                          <w14:schemeClr w14:val="tx1"/>
                        </w14:solidFill>
                      </w14:textFill>
                    </w:rPr>
                    <w:t>外售做建材</w:t>
                  </w:r>
                </w:p>
              </w:tc>
              <w:tc>
                <w:tcPr>
                  <w:tcW w:w="604" w:type="pct"/>
                  <w:tcBorders>
                    <w:tl2br w:val="nil"/>
                    <w:tr2bl w:val="nil"/>
                  </w:tcBorders>
                  <w:vAlign w:val="center"/>
                </w:tcPr>
                <w:p w14:paraId="552030E8">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1757.537</w:t>
                  </w:r>
                </w:p>
              </w:tc>
              <w:tc>
                <w:tcPr>
                  <w:tcW w:w="797" w:type="pct"/>
                  <w:vMerge w:val="continue"/>
                  <w:tcBorders>
                    <w:tl2br w:val="nil"/>
                    <w:tr2bl w:val="nil"/>
                  </w:tcBorders>
                  <w:vAlign w:val="center"/>
                </w:tcPr>
                <w:p w14:paraId="2DE561C9">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5C40E32A">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900-001-S59</w:t>
                  </w:r>
                </w:p>
              </w:tc>
            </w:tr>
            <w:tr w14:paraId="01B89D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1B21BEC3">
                  <w:pPr>
                    <w:pStyle w:val="35"/>
                    <w:rPr>
                      <w:rFonts w:ascii="宋体" w:hAnsi="宋体" w:cs="宋体"/>
                      <w:color w:val="000000" w:themeColor="text1"/>
                      <w:kern w:val="0"/>
                      <w:lang w:bidi="ar"/>
                      <w14:textFill>
                        <w14:solidFill>
                          <w14:schemeClr w14:val="tx1"/>
                        </w14:solidFill>
                      </w14:textFill>
                    </w:rPr>
                  </w:pPr>
                  <w:r>
                    <w:rPr>
                      <w:rFonts w:ascii="宋体" w:hAnsi="宋体" w:cs="宋体"/>
                      <w:color w:val="000000" w:themeColor="text1"/>
                      <w:kern w:val="0"/>
                      <w:lang w:bidi="ar"/>
                      <w14:textFill>
                        <w14:solidFill>
                          <w14:schemeClr w14:val="tx1"/>
                        </w14:solidFill>
                      </w14:textFill>
                    </w:rPr>
                    <w:t>废</w:t>
                  </w:r>
                  <w:r>
                    <w:rPr>
                      <w:rFonts w:hint="eastAsia" w:ascii="宋体" w:hAnsi="宋体" w:cs="宋体"/>
                      <w:color w:val="000000" w:themeColor="text1"/>
                      <w:kern w:val="0"/>
                      <w:lang w:val="en-US" w:eastAsia="zh-CN" w:bidi="ar"/>
                      <w14:textFill>
                        <w14:solidFill>
                          <w14:schemeClr w14:val="tx1"/>
                        </w14:solidFill>
                      </w14:textFill>
                    </w:rPr>
                    <w:t>铁</w:t>
                  </w:r>
                  <w:r>
                    <w:rPr>
                      <w:rFonts w:ascii="宋体" w:hAnsi="宋体" w:cs="宋体"/>
                      <w:color w:val="000000" w:themeColor="text1"/>
                      <w:kern w:val="0"/>
                      <w:lang w:bidi="ar"/>
                      <w14:textFill>
                        <w14:solidFill>
                          <w14:schemeClr w14:val="tx1"/>
                        </w14:solidFill>
                      </w14:textFill>
                    </w:rPr>
                    <w:t>屑</w:t>
                  </w:r>
                </w:p>
              </w:tc>
              <w:tc>
                <w:tcPr>
                  <w:tcW w:w="260" w:type="pct"/>
                  <w:vMerge w:val="continue"/>
                  <w:tcBorders>
                    <w:tl2br w:val="nil"/>
                    <w:tr2bl w:val="nil"/>
                  </w:tcBorders>
                  <w:vAlign w:val="center"/>
                </w:tcPr>
                <w:p w14:paraId="497DEDC1">
                  <w:pPr>
                    <w:pStyle w:val="35"/>
                    <w:rPr>
                      <w:color w:val="000000" w:themeColor="text1"/>
                      <w14:textFill>
                        <w14:solidFill>
                          <w14:schemeClr w14:val="tx1"/>
                        </w14:solidFill>
                      </w14:textFill>
                    </w:rPr>
                  </w:pPr>
                </w:p>
              </w:tc>
              <w:tc>
                <w:tcPr>
                  <w:tcW w:w="253" w:type="pct"/>
                  <w:tcBorders>
                    <w:tl2br w:val="nil"/>
                    <w:tr2bl w:val="nil"/>
                  </w:tcBorders>
                  <w:vAlign w:val="center"/>
                </w:tcPr>
                <w:p w14:paraId="2289E6D3">
                  <w:pPr>
                    <w:pStyle w:val="35"/>
                    <w:rPr>
                      <w:color w:val="000000" w:themeColor="text1"/>
                      <w14:textFill>
                        <w14:solidFill>
                          <w14:schemeClr w14:val="tx1"/>
                        </w14:solidFill>
                      </w14:textFill>
                    </w:rPr>
                  </w:pPr>
                  <w:r>
                    <w:rPr>
                      <w:rFonts w:ascii="宋体" w:hAnsi="宋体" w:cs="宋体"/>
                      <w:color w:val="000000" w:themeColor="text1"/>
                      <w:kern w:val="0"/>
                      <w:lang w:bidi="ar"/>
                      <w14:textFill>
                        <w14:solidFill>
                          <w14:schemeClr w14:val="tx1"/>
                        </w14:solidFill>
                      </w14:textFill>
                    </w:rPr>
                    <w:t>废</w:t>
                  </w:r>
                  <w:r>
                    <w:rPr>
                      <w:rFonts w:hint="eastAsia" w:ascii="宋体" w:hAnsi="宋体" w:cs="宋体"/>
                      <w:color w:val="000000" w:themeColor="text1"/>
                      <w:kern w:val="0"/>
                      <w:lang w:val="en-US" w:eastAsia="zh-CN" w:bidi="ar"/>
                      <w14:textFill>
                        <w14:solidFill>
                          <w14:schemeClr w14:val="tx1"/>
                        </w14:solidFill>
                      </w14:textFill>
                    </w:rPr>
                    <w:t>铁</w:t>
                  </w:r>
                  <w:r>
                    <w:rPr>
                      <w:rFonts w:ascii="宋体" w:hAnsi="宋体" w:cs="宋体"/>
                      <w:color w:val="000000" w:themeColor="text1"/>
                      <w:kern w:val="0"/>
                      <w:lang w:bidi="ar"/>
                      <w14:textFill>
                        <w14:solidFill>
                          <w14:schemeClr w14:val="tx1"/>
                        </w14:solidFill>
                      </w14:textFill>
                    </w:rPr>
                    <w:t>屑</w:t>
                  </w:r>
                </w:p>
              </w:tc>
              <w:tc>
                <w:tcPr>
                  <w:tcW w:w="249" w:type="pct"/>
                  <w:tcBorders>
                    <w:tl2br w:val="nil"/>
                    <w:tr2bl w:val="nil"/>
                  </w:tcBorders>
                  <w:vAlign w:val="center"/>
                </w:tcPr>
                <w:p w14:paraId="7120A1E2">
                  <w:pPr>
                    <w:pStyle w:val="35"/>
                    <w:ind w:firstLine="0" w:firstLineChars="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固态</w:t>
                  </w:r>
                </w:p>
              </w:tc>
              <w:tc>
                <w:tcPr>
                  <w:tcW w:w="249" w:type="pct"/>
                  <w:tcBorders>
                    <w:tl2br w:val="nil"/>
                    <w:tr2bl w:val="nil"/>
                  </w:tcBorders>
                  <w:vAlign w:val="center"/>
                </w:tcPr>
                <w:p w14:paraId="045FAFC7">
                  <w:pPr>
                    <w:pStyle w:val="35"/>
                    <w:ind w:firstLine="0" w:firstLineChars="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659F73D7">
                  <w:pPr>
                    <w:pStyle w:val="3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360</w:t>
                  </w:r>
                </w:p>
              </w:tc>
              <w:tc>
                <w:tcPr>
                  <w:tcW w:w="746" w:type="pct"/>
                  <w:tcBorders>
                    <w:tl2br w:val="nil"/>
                    <w:tr2bl w:val="nil"/>
                  </w:tcBorders>
                  <w:vAlign w:val="center"/>
                </w:tcPr>
                <w:p w14:paraId="6CEE19F7">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集中收集后回用于生产</w:t>
                  </w:r>
                </w:p>
              </w:tc>
              <w:tc>
                <w:tcPr>
                  <w:tcW w:w="604" w:type="pct"/>
                  <w:tcBorders>
                    <w:tl2br w:val="nil"/>
                    <w:tr2bl w:val="nil"/>
                  </w:tcBorders>
                  <w:vAlign w:val="center"/>
                </w:tcPr>
                <w:p w14:paraId="0A279882">
                  <w:pPr>
                    <w:pStyle w:val="35"/>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360</w:t>
                  </w:r>
                </w:p>
              </w:tc>
              <w:tc>
                <w:tcPr>
                  <w:tcW w:w="797" w:type="pct"/>
                  <w:vMerge w:val="continue"/>
                  <w:tcBorders>
                    <w:tl2br w:val="nil"/>
                    <w:tr2bl w:val="nil"/>
                  </w:tcBorders>
                  <w:vAlign w:val="center"/>
                </w:tcPr>
                <w:p w14:paraId="23173884">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3822EDFE">
                  <w:pPr>
                    <w:pStyle w:val="35"/>
                    <w:rPr>
                      <w:rFonts w:hint="default"/>
                      <w:color w:val="000000" w:themeColor="text1"/>
                      <w14:textFill>
                        <w14:solidFill>
                          <w14:schemeClr w14:val="tx1"/>
                        </w14:solidFill>
                      </w14:textFill>
                    </w:rPr>
                  </w:pPr>
                  <w:r>
                    <w:rPr>
                      <w:rFonts w:hint="eastAsia"/>
                    </w:rPr>
                    <w:t>900-00</w:t>
                  </w:r>
                  <w:r>
                    <w:rPr>
                      <w:rFonts w:hint="eastAsia"/>
                      <w:lang w:val="en-US" w:eastAsia="zh-CN"/>
                    </w:rPr>
                    <w:t>1</w:t>
                  </w:r>
                  <w:r>
                    <w:rPr>
                      <w:rFonts w:hint="eastAsia"/>
                    </w:rPr>
                    <w:t>-S17</w:t>
                  </w:r>
                </w:p>
              </w:tc>
            </w:tr>
            <w:tr w14:paraId="23EAE2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15F72741">
                  <w:pPr>
                    <w:pStyle w:val="35"/>
                    <w:rPr>
                      <w:rFonts w:hint="default"/>
                      <w:color w:val="000000" w:themeColor="text1"/>
                      <w14:textFill>
                        <w14:solidFill>
                          <w14:schemeClr w14:val="tx1"/>
                        </w14:solidFill>
                      </w14:textFill>
                    </w:rPr>
                  </w:pPr>
                  <w:r>
                    <w:rPr>
                      <w:color w:val="000000"/>
                      <w:spacing w:val="5"/>
                      <w:sz w:val="24"/>
                    </w:rPr>
                    <w:t>废</w:t>
                  </w:r>
                  <w:r>
                    <w:rPr>
                      <w:rFonts w:hint="eastAsia"/>
                      <w:color w:val="000000"/>
                      <w:spacing w:val="5"/>
                      <w:sz w:val="24"/>
                      <w:lang w:val="en-US" w:eastAsia="zh-CN"/>
                    </w:rPr>
                    <w:t>钢丸</w:t>
                  </w:r>
                </w:p>
              </w:tc>
              <w:tc>
                <w:tcPr>
                  <w:tcW w:w="260" w:type="pct"/>
                  <w:tcBorders>
                    <w:tl2br w:val="nil"/>
                    <w:tr2bl w:val="nil"/>
                  </w:tcBorders>
                  <w:vAlign w:val="center"/>
                </w:tcPr>
                <w:p w14:paraId="7C4C4559">
                  <w:pPr>
                    <w:pStyle w:val="3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抛丸工序</w:t>
                  </w:r>
                </w:p>
              </w:tc>
              <w:tc>
                <w:tcPr>
                  <w:tcW w:w="253" w:type="pct"/>
                  <w:tcBorders>
                    <w:tl2br w:val="nil"/>
                    <w:tr2bl w:val="nil"/>
                  </w:tcBorders>
                  <w:vAlign w:val="center"/>
                </w:tcPr>
                <w:p w14:paraId="475E5F83">
                  <w:pPr>
                    <w:pStyle w:val="35"/>
                    <w:rPr>
                      <w:rFonts w:hint="default"/>
                      <w:color w:val="000000" w:themeColor="text1"/>
                      <w14:textFill>
                        <w14:solidFill>
                          <w14:schemeClr w14:val="tx1"/>
                        </w14:solidFill>
                      </w14:textFill>
                    </w:rPr>
                  </w:pPr>
                  <w:r>
                    <w:rPr>
                      <w:color w:val="000000"/>
                      <w:spacing w:val="5"/>
                      <w:sz w:val="24"/>
                    </w:rPr>
                    <w:t>废</w:t>
                  </w:r>
                  <w:r>
                    <w:rPr>
                      <w:rFonts w:hint="eastAsia"/>
                      <w:color w:val="000000"/>
                      <w:spacing w:val="5"/>
                      <w:sz w:val="24"/>
                      <w:lang w:val="en-US" w:eastAsia="zh-CN"/>
                    </w:rPr>
                    <w:t>钢丸</w:t>
                  </w:r>
                </w:p>
              </w:tc>
              <w:tc>
                <w:tcPr>
                  <w:tcW w:w="249" w:type="pct"/>
                  <w:tcBorders>
                    <w:tl2br w:val="nil"/>
                    <w:tr2bl w:val="nil"/>
                  </w:tcBorders>
                  <w:vAlign w:val="center"/>
                </w:tcPr>
                <w:p w14:paraId="72211942">
                  <w:pPr>
                    <w:pStyle w:val="35"/>
                    <w:ind w:firstLine="0" w:firstLineChars="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固态</w:t>
                  </w:r>
                </w:p>
              </w:tc>
              <w:tc>
                <w:tcPr>
                  <w:tcW w:w="249" w:type="pct"/>
                  <w:tcBorders>
                    <w:tl2br w:val="nil"/>
                    <w:tr2bl w:val="nil"/>
                  </w:tcBorders>
                  <w:vAlign w:val="center"/>
                </w:tcPr>
                <w:p w14:paraId="415365E9">
                  <w:pPr>
                    <w:pStyle w:val="35"/>
                    <w:ind w:firstLine="0" w:firstLineChars="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2A1AF93A">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746" w:type="pct"/>
                  <w:tcBorders>
                    <w:tl2br w:val="nil"/>
                    <w:tr2bl w:val="nil"/>
                  </w:tcBorders>
                  <w:vAlign w:val="center"/>
                </w:tcPr>
                <w:p w14:paraId="7E713405">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集中收集后外售综合利用</w:t>
                  </w:r>
                </w:p>
              </w:tc>
              <w:tc>
                <w:tcPr>
                  <w:tcW w:w="604" w:type="pct"/>
                  <w:tcBorders>
                    <w:tl2br w:val="nil"/>
                    <w:tr2bl w:val="nil"/>
                  </w:tcBorders>
                  <w:vAlign w:val="center"/>
                </w:tcPr>
                <w:p w14:paraId="22FACFB9">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w:t>
                  </w:r>
                </w:p>
              </w:tc>
              <w:tc>
                <w:tcPr>
                  <w:tcW w:w="797" w:type="pct"/>
                  <w:vMerge w:val="continue"/>
                  <w:tcBorders>
                    <w:tl2br w:val="nil"/>
                    <w:tr2bl w:val="nil"/>
                  </w:tcBorders>
                  <w:vAlign w:val="center"/>
                </w:tcPr>
                <w:p w14:paraId="1D9AB69E">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218CD698">
                  <w:pPr>
                    <w:pStyle w:val="35"/>
                    <w:rPr>
                      <w:rFonts w:hint="default"/>
                      <w:color w:val="000000" w:themeColor="text1"/>
                      <w14:textFill>
                        <w14:solidFill>
                          <w14:schemeClr w14:val="tx1"/>
                        </w14:solidFill>
                      </w14:textFill>
                    </w:rPr>
                  </w:pPr>
                  <w:r>
                    <w:rPr>
                      <w:rFonts w:hint="eastAsia"/>
                    </w:rPr>
                    <w:t>900-00</w:t>
                  </w:r>
                  <w:r>
                    <w:rPr>
                      <w:rFonts w:hint="eastAsia"/>
                      <w:lang w:val="en-US" w:eastAsia="zh-CN"/>
                    </w:rPr>
                    <w:t>1</w:t>
                  </w:r>
                  <w:r>
                    <w:rPr>
                      <w:rFonts w:hint="eastAsia"/>
                    </w:rPr>
                    <w:t>-S17</w:t>
                  </w:r>
                </w:p>
              </w:tc>
            </w:tr>
            <w:tr w14:paraId="7346FB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6B7804C3">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废包装袋</w:t>
                  </w:r>
                </w:p>
              </w:tc>
              <w:tc>
                <w:tcPr>
                  <w:tcW w:w="260" w:type="pct"/>
                  <w:tcBorders>
                    <w:tl2br w:val="nil"/>
                    <w:tr2bl w:val="nil"/>
                  </w:tcBorders>
                  <w:vAlign w:val="center"/>
                </w:tcPr>
                <w:p w14:paraId="43F50FB2">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物料拆包过程</w:t>
                  </w:r>
                </w:p>
              </w:tc>
              <w:tc>
                <w:tcPr>
                  <w:tcW w:w="253" w:type="pct"/>
                  <w:tcBorders>
                    <w:tl2br w:val="nil"/>
                    <w:tr2bl w:val="nil"/>
                  </w:tcBorders>
                  <w:vAlign w:val="center"/>
                </w:tcPr>
                <w:p w14:paraId="34F6CFC7">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废包装袋</w:t>
                  </w:r>
                </w:p>
              </w:tc>
              <w:tc>
                <w:tcPr>
                  <w:tcW w:w="249" w:type="pct"/>
                  <w:tcBorders>
                    <w:tl2br w:val="nil"/>
                    <w:tr2bl w:val="nil"/>
                  </w:tcBorders>
                  <w:vAlign w:val="center"/>
                </w:tcPr>
                <w:p w14:paraId="62A066FC">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固态</w:t>
                  </w:r>
                </w:p>
              </w:tc>
              <w:tc>
                <w:tcPr>
                  <w:tcW w:w="249" w:type="pct"/>
                  <w:tcBorders>
                    <w:tl2br w:val="nil"/>
                    <w:tr2bl w:val="nil"/>
                  </w:tcBorders>
                  <w:vAlign w:val="center"/>
                </w:tcPr>
                <w:p w14:paraId="0A05537E">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73BB2C44">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w:t>
                  </w:r>
                </w:p>
              </w:tc>
              <w:tc>
                <w:tcPr>
                  <w:tcW w:w="746" w:type="pct"/>
                  <w:tcBorders>
                    <w:tl2br w:val="nil"/>
                    <w:tr2bl w:val="nil"/>
                  </w:tcBorders>
                  <w:vAlign w:val="center"/>
                </w:tcPr>
                <w:p w14:paraId="6B6B19B0">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集中收集后外售综合利用</w:t>
                  </w:r>
                </w:p>
              </w:tc>
              <w:tc>
                <w:tcPr>
                  <w:tcW w:w="604" w:type="pct"/>
                  <w:tcBorders>
                    <w:tl2br w:val="nil"/>
                    <w:tr2bl w:val="nil"/>
                  </w:tcBorders>
                  <w:vAlign w:val="center"/>
                </w:tcPr>
                <w:p w14:paraId="239CD57B">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w:t>
                  </w:r>
                </w:p>
              </w:tc>
              <w:tc>
                <w:tcPr>
                  <w:tcW w:w="797" w:type="pct"/>
                  <w:vMerge w:val="continue"/>
                  <w:tcBorders>
                    <w:tl2br w:val="nil"/>
                    <w:tr2bl w:val="nil"/>
                  </w:tcBorders>
                  <w:vAlign w:val="center"/>
                </w:tcPr>
                <w:p w14:paraId="67F3D1C8">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3D899335">
                  <w:pPr>
                    <w:pStyle w:val="35"/>
                    <w:rPr>
                      <w:rFonts w:hint="default"/>
                      <w:color w:val="000000" w:themeColor="text1"/>
                      <w14:textFill>
                        <w14:solidFill>
                          <w14:schemeClr w14:val="tx1"/>
                        </w14:solidFill>
                      </w14:textFill>
                    </w:rPr>
                  </w:pPr>
                  <w:r>
                    <w:rPr>
                      <w:rFonts w:hint="eastAsia"/>
                    </w:rPr>
                    <w:t>900-003-S17</w:t>
                  </w:r>
                </w:p>
              </w:tc>
            </w:tr>
            <w:tr w14:paraId="4F1057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343376F1">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袋式除尘器收集的粉尘</w:t>
                  </w:r>
                </w:p>
              </w:tc>
              <w:tc>
                <w:tcPr>
                  <w:tcW w:w="260" w:type="pct"/>
                  <w:tcBorders>
                    <w:tl2br w:val="nil"/>
                    <w:tr2bl w:val="nil"/>
                  </w:tcBorders>
                  <w:vAlign w:val="center"/>
                </w:tcPr>
                <w:p w14:paraId="450E0F2B">
                  <w:pPr>
                    <w:pStyle w:val="35"/>
                    <w:rPr>
                      <w:rFonts w:hint="eastAsia" w:eastAsia="宋体"/>
                      <w:color w:val="000000" w:themeColor="text1"/>
                      <w:lang w:eastAsia="zh-CN"/>
                      <w14:textFill>
                        <w14:solidFill>
                          <w14:schemeClr w14:val="tx1"/>
                        </w14:solidFill>
                      </w14:textFill>
                    </w:rPr>
                  </w:pPr>
                  <w:r>
                    <w:rPr>
                      <w:rFonts w:hint="eastAsia"/>
                      <w:color w:val="000000" w:themeColor="text1"/>
                      <w:kern w:val="0"/>
                      <w:szCs w:val="24"/>
                      <w:lang w:val="en-US" w:eastAsia="zh-CN"/>
                      <w14:textFill>
                        <w14:solidFill>
                          <w14:schemeClr w14:val="tx1"/>
                        </w14:solidFill>
                      </w14:textFill>
                    </w:rPr>
                    <w:t>废气治理</w:t>
                  </w:r>
                </w:p>
              </w:tc>
              <w:tc>
                <w:tcPr>
                  <w:tcW w:w="253" w:type="pct"/>
                  <w:tcBorders>
                    <w:tl2br w:val="nil"/>
                    <w:tr2bl w:val="nil"/>
                  </w:tcBorders>
                  <w:vAlign w:val="center"/>
                </w:tcPr>
                <w:p w14:paraId="774B960E">
                  <w:pPr>
                    <w:pStyle w:val="35"/>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除尘灰</w:t>
                  </w:r>
                </w:p>
              </w:tc>
              <w:tc>
                <w:tcPr>
                  <w:tcW w:w="249" w:type="pct"/>
                  <w:tcBorders>
                    <w:tl2br w:val="nil"/>
                    <w:tr2bl w:val="nil"/>
                  </w:tcBorders>
                  <w:vAlign w:val="center"/>
                </w:tcPr>
                <w:p w14:paraId="496906A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固态</w:t>
                  </w:r>
                </w:p>
              </w:tc>
              <w:tc>
                <w:tcPr>
                  <w:tcW w:w="249" w:type="pct"/>
                  <w:tcBorders>
                    <w:tl2br w:val="nil"/>
                    <w:tr2bl w:val="nil"/>
                  </w:tcBorders>
                  <w:vAlign w:val="center"/>
                </w:tcPr>
                <w:p w14:paraId="7B33B57A">
                  <w:pPr>
                    <w:pStyle w:val="35"/>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0F30AAA0">
                  <w:pPr>
                    <w:pStyle w:val="35"/>
                    <w:rPr>
                      <w:rFonts w:hint="default"/>
                      <w:color w:val="000000" w:themeColor="text1"/>
                      <w14:textFill>
                        <w14:solidFill>
                          <w14:schemeClr w14:val="tx1"/>
                        </w14:solidFill>
                      </w14:textFill>
                    </w:rPr>
                  </w:pPr>
                  <w:r>
                    <w:rPr>
                      <w:rFonts w:hint="eastAsia" w:hAnsi="宋体"/>
                      <w:b w:val="0"/>
                      <w:bCs w:val="0"/>
                      <w:u w:val="none"/>
                      <w:lang w:val="en-US" w:eastAsia="zh-CN"/>
                    </w:rPr>
                    <w:t>100.883</w:t>
                  </w:r>
                </w:p>
              </w:tc>
              <w:tc>
                <w:tcPr>
                  <w:tcW w:w="746" w:type="pct"/>
                  <w:tcBorders>
                    <w:tl2br w:val="nil"/>
                    <w:tr2bl w:val="nil"/>
                  </w:tcBorders>
                  <w:vAlign w:val="center"/>
                </w:tcPr>
                <w:p w14:paraId="0609B641">
                  <w:pPr>
                    <w:pStyle w:val="35"/>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集中收集后外售综合利用</w:t>
                  </w:r>
                </w:p>
              </w:tc>
              <w:tc>
                <w:tcPr>
                  <w:tcW w:w="604" w:type="pct"/>
                  <w:tcBorders>
                    <w:tl2br w:val="nil"/>
                    <w:tr2bl w:val="nil"/>
                  </w:tcBorders>
                  <w:vAlign w:val="center"/>
                </w:tcPr>
                <w:p w14:paraId="729F5F6C">
                  <w:pPr>
                    <w:pStyle w:val="35"/>
                    <w:rPr>
                      <w:rFonts w:hint="default"/>
                      <w:color w:val="000000" w:themeColor="text1"/>
                      <w14:textFill>
                        <w14:solidFill>
                          <w14:schemeClr w14:val="tx1"/>
                        </w14:solidFill>
                      </w14:textFill>
                    </w:rPr>
                  </w:pPr>
                  <w:r>
                    <w:rPr>
                      <w:rFonts w:hint="eastAsia" w:hAnsi="宋体"/>
                      <w:b w:val="0"/>
                      <w:bCs w:val="0"/>
                      <w:u w:val="none"/>
                      <w:lang w:val="en-US" w:eastAsia="zh-CN"/>
                    </w:rPr>
                    <w:t>100.883</w:t>
                  </w:r>
                </w:p>
              </w:tc>
              <w:tc>
                <w:tcPr>
                  <w:tcW w:w="797" w:type="pct"/>
                  <w:vMerge w:val="continue"/>
                  <w:tcBorders>
                    <w:tl2br w:val="nil"/>
                    <w:tr2bl w:val="nil"/>
                  </w:tcBorders>
                  <w:vAlign w:val="center"/>
                </w:tcPr>
                <w:p w14:paraId="715A0D0F">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21308886">
                  <w:pPr>
                    <w:pStyle w:val="35"/>
                    <w:rPr>
                      <w:rFonts w:hint="default"/>
                      <w:color w:val="000000" w:themeColor="text1"/>
                      <w14:textFill>
                        <w14:solidFill>
                          <w14:schemeClr w14:val="tx1"/>
                        </w14:solidFill>
                      </w14:textFill>
                    </w:rPr>
                  </w:pPr>
                  <w:r>
                    <w:t>900-</w:t>
                  </w:r>
                  <w:r>
                    <w:rPr>
                      <w:rFonts w:hint="eastAsia"/>
                    </w:rPr>
                    <w:t>001-S59</w:t>
                  </w:r>
                </w:p>
              </w:tc>
            </w:tr>
            <w:tr w14:paraId="0593E2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80" w:type="pct"/>
                  <w:tcBorders>
                    <w:tl2br w:val="nil"/>
                    <w:tr2bl w:val="nil"/>
                  </w:tcBorders>
                  <w:vAlign w:val="center"/>
                </w:tcPr>
                <w:p w14:paraId="7369CC67">
                  <w:pPr>
                    <w:pStyle w:val="35"/>
                    <w:rPr>
                      <w:rFonts w:hint="default"/>
                      <w:color w:val="000000" w:themeColor="text1"/>
                      <w14:textFill>
                        <w14:solidFill>
                          <w14:schemeClr w14:val="tx1"/>
                        </w14:solidFill>
                      </w14:textFill>
                    </w:rPr>
                  </w:pPr>
                  <w:r>
                    <w:rPr>
                      <w:rFonts w:hint="eastAsia" w:ascii="宋体" w:hAnsi="宋体" w:eastAsia="宋体" w:cs="宋体"/>
                      <w:lang w:val="en-US" w:eastAsia="zh-CN"/>
                    </w:rPr>
                    <w:t>炉渣</w:t>
                  </w:r>
                </w:p>
              </w:tc>
              <w:tc>
                <w:tcPr>
                  <w:tcW w:w="260" w:type="pct"/>
                  <w:tcBorders>
                    <w:tl2br w:val="nil"/>
                    <w:tr2bl w:val="nil"/>
                  </w:tcBorders>
                  <w:vAlign w:val="center"/>
                </w:tcPr>
                <w:p w14:paraId="2CE241AB">
                  <w:pPr>
                    <w:pStyle w:val="35"/>
                    <w:rPr>
                      <w:rFonts w:hint="default"/>
                      <w:color w:val="000000" w:themeColor="text1"/>
                      <w:kern w:val="0"/>
                      <w:szCs w:val="24"/>
                      <w:lang w:val="en-US" w:eastAsia="zh-CN"/>
                      <w14:textFill>
                        <w14:solidFill>
                          <w14:schemeClr w14:val="tx1"/>
                        </w14:solidFill>
                      </w14:textFill>
                    </w:rPr>
                  </w:pPr>
                  <w:r>
                    <w:rPr>
                      <w:rFonts w:hint="eastAsia"/>
                      <w:color w:val="000000" w:themeColor="text1"/>
                      <w:kern w:val="0"/>
                      <w:szCs w:val="24"/>
                      <w:lang w:val="en-US" w:eastAsia="zh-CN"/>
                      <w14:textFill>
                        <w14:solidFill>
                          <w14:schemeClr w14:val="tx1"/>
                        </w14:solidFill>
                      </w14:textFill>
                    </w:rPr>
                    <w:t>熔炼工序</w:t>
                  </w:r>
                </w:p>
              </w:tc>
              <w:tc>
                <w:tcPr>
                  <w:tcW w:w="253" w:type="pct"/>
                  <w:tcBorders>
                    <w:tl2br w:val="nil"/>
                    <w:tr2bl w:val="nil"/>
                  </w:tcBorders>
                  <w:vAlign w:val="center"/>
                </w:tcPr>
                <w:p w14:paraId="2ED62165">
                  <w:pPr>
                    <w:pStyle w:val="35"/>
                    <w:rPr>
                      <w:rFonts w:hint="eastAsia"/>
                      <w:color w:val="000000" w:themeColor="text1"/>
                      <w:lang w:val="en-US" w:eastAsia="zh-CN"/>
                      <w14:textFill>
                        <w14:solidFill>
                          <w14:schemeClr w14:val="tx1"/>
                        </w14:solidFill>
                      </w14:textFill>
                    </w:rPr>
                  </w:pPr>
                  <w:r>
                    <w:rPr>
                      <w:rFonts w:hint="eastAsia" w:ascii="宋体" w:hAnsi="宋体" w:eastAsia="宋体" w:cs="宋体"/>
                      <w:lang w:val="en-US" w:eastAsia="zh-CN"/>
                    </w:rPr>
                    <w:t>炉渣</w:t>
                  </w:r>
                </w:p>
              </w:tc>
              <w:tc>
                <w:tcPr>
                  <w:tcW w:w="426" w:type="dxa"/>
                  <w:tcBorders>
                    <w:tl2br w:val="nil"/>
                    <w:tr2bl w:val="nil"/>
                  </w:tcBorders>
                  <w:vAlign w:val="center"/>
                </w:tcPr>
                <w:p w14:paraId="0306892B">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固态</w:t>
                  </w:r>
                </w:p>
              </w:tc>
              <w:tc>
                <w:tcPr>
                  <w:tcW w:w="426" w:type="dxa"/>
                  <w:tcBorders>
                    <w:tl2br w:val="nil"/>
                    <w:tr2bl w:val="nil"/>
                  </w:tcBorders>
                  <w:vAlign w:val="center"/>
                </w:tcPr>
                <w:p w14:paraId="02115C61">
                  <w:pPr>
                    <w:pStyle w:val="35"/>
                    <w:ind w:firstLine="0" w:firstLineChars="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一般工业固废</w:t>
                  </w:r>
                </w:p>
              </w:tc>
              <w:tc>
                <w:tcPr>
                  <w:tcW w:w="688" w:type="pct"/>
                  <w:tcBorders>
                    <w:tl2br w:val="nil"/>
                    <w:tr2bl w:val="nil"/>
                  </w:tcBorders>
                  <w:vAlign w:val="center"/>
                </w:tcPr>
                <w:p w14:paraId="439B552C">
                  <w:pPr>
                    <w:pStyle w:val="35"/>
                    <w:rPr>
                      <w:rFonts w:hint="default" w:hAnsi="宋体"/>
                      <w:b w:val="0"/>
                      <w:bCs w:val="0"/>
                      <w:u w:val="none"/>
                      <w:lang w:val="en-US" w:eastAsia="zh-CN"/>
                    </w:rPr>
                  </w:pPr>
                  <w:r>
                    <w:rPr>
                      <w:rFonts w:hint="eastAsia" w:hAnsi="宋体"/>
                      <w:b w:val="0"/>
                      <w:bCs w:val="0"/>
                      <w:u w:val="none"/>
                      <w:lang w:val="en-US" w:eastAsia="zh-CN"/>
                    </w:rPr>
                    <w:t>120</w:t>
                  </w:r>
                </w:p>
              </w:tc>
              <w:tc>
                <w:tcPr>
                  <w:tcW w:w="746" w:type="pct"/>
                  <w:tcBorders>
                    <w:tl2br w:val="nil"/>
                    <w:tr2bl w:val="nil"/>
                  </w:tcBorders>
                  <w:vAlign w:val="center"/>
                </w:tcPr>
                <w:p w14:paraId="376271FA">
                  <w:pPr>
                    <w:pStyle w:val="35"/>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集中收集后外售综合利用</w:t>
                  </w:r>
                </w:p>
              </w:tc>
              <w:tc>
                <w:tcPr>
                  <w:tcW w:w="604" w:type="pct"/>
                  <w:tcBorders>
                    <w:tl2br w:val="nil"/>
                    <w:tr2bl w:val="nil"/>
                  </w:tcBorders>
                  <w:vAlign w:val="center"/>
                </w:tcPr>
                <w:p w14:paraId="57F2FB34">
                  <w:pPr>
                    <w:pStyle w:val="35"/>
                    <w:rPr>
                      <w:rFonts w:hint="default" w:hAnsi="宋体"/>
                      <w:b w:val="0"/>
                      <w:bCs w:val="0"/>
                      <w:u w:val="none"/>
                      <w:lang w:val="en-US" w:eastAsia="zh-CN"/>
                    </w:rPr>
                  </w:pPr>
                  <w:r>
                    <w:rPr>
                      <w:rFonts w:hint="eastAsia" w:hAnsi="宋体"/>
                      <w:b w:val="0"/>
                      <w:bCs w:val="0"/>
                      <w:u w:val="none"/>
                      <w:lang w:val="en-US" w:eastAsia="zh-CN"/>
                    </w:rPr>
                    <w:t>120</w:t>
                  </w:r>
                </w:p>
              </w:tc>
              <w:tc>
                <w:tcPr>
                  <w:tcW w:w="797" w:type="pct"/>
                  <w:vMerge w:val="continue"/>
                  <w:tcBorders>
                    <w:tl2br w:val="nil"/>
                    <w:tr2bl w:val="nil"/>
                  </w:tcBorders>
                  <w:vAlign w:val="center"/>
                </w:tcPr>
                <w:p w14:paraId="3A57D7C3">
                  <w:pPr>
                    <w:pStyle w:val="35"/>
                    <w:rPr>
                      <w:rFonts w:hint="default"/>
                      <w:color w:val="000000" w:themeColor="text1"/>
                      <w14:textFill>
                        <w14:solidFill>
                          <w14:schemeClr w14:val="tx1"/>
                        </w14:solidFill>
                      </w14:textFill>
                    </w:rPr>
                  </w:pPr>
                </w:p>
              </w:tc>
              <w:tc>
                <w:tcPr>
                  <w:tcW w:w="769" w:type="pct"/>
                  <w:tcBorders>
                    <w:tl2br w:val="nil"/>
                    <w:tr2bl w:val="nil"/>
                  </w:tcBorders>
                  <w:vAlign w:val="center"/>
                </w:tcPr>
                <w:p w14:paraId="6DED324B">
                  <w:pPr>
                    <w:pStyle w:val="35"/>
                  </w:pPr>
                  <w:r>
                    <w:rPr>
                      <w:rFonts w:hint="default"/>
                      <w:lang w:val="en-US" w:eastAsia="zh-CN"/>
                    </w:rPr>
                    <w:t>900-099-S03</w:t>
                  </w:r>
                </w:p>
              </w:tc>
            </w:tr>
          </w:tbl>
          <w:p w14:paraId="5290DFFA">
            <w:pPr>
              <w:tabs>
                <w:tab w:val="left" w:pos="0"/>
              </w:tabs>
              <w:spacing w:line="360" w:lineRule="auto"/>
              <w:ind w:firstLine="480" w:firstLineChars="200"/>
              <w:rPr>
                <w:color w:val="000000"/>
                <w:sz w:val="24"/>
              </w:rPr>
            </w:pPr>
            <w:r>
              <w:rPr>
                <w:color w:val="000000"/>
                <w:sz w:val="24"/>
              </w:rPr>
              <w:t>（4）危险废物</w:t>
            </w:r>
          </w:p>
          <w:p w14:paraId="0E9C2009">
            <w:pPr>
              <w:tabs>
                <w:tab w:val="left" w:pos="0"/>
              </w:tabs>
              <w:spacing w:line="360" w:lineRule="auto"/>
              <w:ind w:firstLine="480" w:firstLineChars="200"/>
              <w:rPr>
                <w:color w:val="000000"/>
                <w:sz w:val="24"/>
              </w:rPr>
            </w:pPr>
            <w:r>
              <w:rPr>
                <w:color w:val="000000"/>
                <w:sz w:val="24"/>
              </w:rPr>
              <w:t>①废润滑油及废润滑油桶</w:t>
            </w:r>
          </w:p>
          <w:p w14:paraId="177229C1">
            <w:pPr>
              <w:ind w:firstLine="480"/>
              <w:rPr>
                <w:rFonts w:hAnsi="宋体" w:eastAsiaTheme="minorEastAsia"/>
                <w:color w:val="000000" w:themeColor="text1"/>
                <w14:textFill>
                  <w14:solidFill>
                    <w14:schemeClr w14:val="tx1"/>
                  </w14:solidFill>
                </w14:textFill>
              </w:rPr>
            </w:pPr>
            <w:r>
              <w:rPr>
                <w:rFonts w:hint="eastAsia" w:hAnsi="宋体"/>
                <w:color w:val="000000" w:themeColor="text1"/>
                <w14:textFill>
                  <w14:solidFill>
                    <w14:schemeClr w14:val="tx1"/>
                  </w14:solidFill>
                </w14:textFill>
              </w:rPr>
              <w:t>项目营运期定期对设备进行保养维护，该过程会产生废润滑油及废润滑油桶，废润滑油产生量约0.5t/a，废润滑油桶产生量约0.</w:t>
            </w:r>
            <w:r>
              <w:rPr>
                <w:rFonts w:hint="eastAsia" w:hAnsi="宋体"/>
                <w:color w:val="000000" w:themeColor="text1"/>
                <w:lang w:val="en-US" w:eastAsia="zh-CN"/>
                <w14:textFill>
                  <w14:solidFill>
                    <w14:schemeClr w14:val="tx1"/>
                  </w14:solidFill>
                </w14:textFill>
              </w:rPr>
              <w:t>0</w:t>
            </w:r>
            <w:r>
              <w:rPr>
                <w:rFonts w:hint="eastAsia" w:hAnsi="宋体"/>
                <w:color w:val="000000" w:themeColor="text1"/>
                <w14:textFill>
                  <w14:solidFill>
                    <w14:schemeClr w14:val="tx1"/>
                  </w14:solidFill>
                </w14:textFill>
              </w:rPr>
              <w:t>5t/a，经对比《国家危险废物名录（2025年版）》，废润滑油和废油桶均属于HW08类废物，代码分别为900-217-08、900-249-08，收集后暂存于危废暂存间，定期委托有资质单位处置。</w:t>
            </w:r>
          </w:p>
          <w:p w14:paraId="32D38497">
            <w:pPr>
              <w:tabs>
                <w:tab w:val="left" w:pos="0"/>
              </w:tabs>
              <w:spacing w:line="360" w:lineRule="auto"/>
              <w:ind w:firstLine="480" w:firstLineChars="200"/>
              <w:rPr>
                <w:rFonts w:hint="default" w:eastAsia="宋体"/>
                <w:color w:val="000000"/>
                <w:sz w:val="24"/>
                <w:lang w:val="en-US" w:eastAsia="zh-CN"/>
              </w:rPr>
            </w:pPr>
            <w:r>
              <w:rPr>
                <w:color w:val="000000"/>
                <w:sz w:val="24"/>
              </w:rPr>
              <w:t>②</w:t>
            </w:r>
            <w:r>
              <w:rPr>
                <w:rFonts w:hint="eastAsia"/>
                <w:color w:val="000000"/>
                <w:sz w:val="24"/>
              </w:rPr>
              <w:t>废呋喃树脂桶</w:t>
            </w:r>
            <w:r>
              <w:rPr>
                <w:rFonts w:hint="eastAsia"/>
                <w:color w:val="000000"/>
                <w:sz w:val="24"/>
                <w:lang w:eastAsia="zh-CN"/>
              </w:rPr>
              <w:t>、</w:t>
            </w:r>
            <w:r>
              <w:rPr>
                <w:rFonts w:hint="eastAsia"/>
                <w:color w:val="000000"/>
                <w:sz w:val="24"/>
                <w:lang w:val="en-US" w:eastAsia="zh-CN"/>
              </w:rPr>
              <w:t>废固化剂桶、废醇基涂料桶和废脱模剂桶</w:t>
            </w:r>
          </w:p>
          <w:p w14:paraId="04090497">
            <w:pPr>
              <w:tabs>
                <w:tab w:val="left" w:pos="0"/>
              </w:tabs>
              <w:spacing w:line="360" w:lineRule="auto"/>
              <w:ind w:firstLine="480" w:firstLineChars="200"/>
              <w:rPr>
                <w:color w:val="000000"/>
                <w:sz w:val="24"/>
              </w:rPr>
            </w:pPr>
            <w:r>
              <w:rPr>
                <w:rFonts w:hint="eastAsia"/>
                <w:color w:val="000000"/>
                <w:sz w:val="24"/>
                <w:lang w:val="en-US" w:eastAsia="zh-CN"/>
              </w:rPr>
              <w:t>根据企业提供资料，</w:t>
            </w:r>
            <w:r>
              <w:rPr>
                <w:rFonts w:hint="eastAsia"/>
                <w:color w:val="000000"/>
                <w:sz w:val="24"/>
              </w:rPr>
              <w:t>呋喃树脂桶</w:t>
            </w:r>
            <w:r>
              <w:rPr>
                <w:rFonts w:hint="eastAsia"/>
                <w:color w:val="000000"/>
                <w:sz w:val="24"/>
                <w:lang w:val="en-US" w:eastAsia="zh-CN"/>
              </w:rPr>
              <w:t>产生量为5.0</w:t>
            </w:r>
            <w:r>
              <w:rPr>
                <w:rFonts w:hint="default"/>
                <w:color w:val="000000"/>
                <w:sz w:val="24"/>
                <w:lang w:val="en-US" w:eastAsia="zh-CN"/>
              </w:rPr>
              <w:t>t/a</w:t>
            </w:r>
            <w:r>
              <w:rPr>
                <w:rFonts w:hint="eastAsia"/>
                <w:color w:val="000000"/>
                <w:sz w:val="24"/>
                <w:lang w:val="en-US" w:eastAsia="zh-CN"/>
              </w:rPr>
              <w:t>、废固化剂桶产生量为2.5</w:t>
            </w:r>
            <w:r>
              <w:rPr>
                <w:rFonts w:hint="default"/>
                <w:color w:val="000000"/>
                <w:sz w:val="24"/>
                <w:lang w:val="en-US" w:eastAsia="zh-CN"/>
              </w:rPr>
              <w:t>t/a</w:t>
            </w:r>
            <w:r>
              <w:rPr>
                <w:rFonts w:hint="eastAsia"/>
                <w:color w:val="000000"/>
                <w:sz w:val="24"/>
                <w:lang w:val="en-US" w:eastAsia="zh-CN"/>
              </w:rPr>
              <w:t>、废醇基涂料桶产生量为</w:t>
            </w:r>
            <w:r>
              <w:rPr>
                <w:rFonts w:hint="default"/>
                <w:color w:val="000000"/>
                <w:sz w:val="24"/>
                <w:lang w:val="en-US" w:eastAsia="zh-CN"/>
              </w:rPr>
              <w:t>0.</w:t>
            </w:r>
            <w:r>
              <w:rPr>
                <w:rFonts w:hint="eastAsia"/>
                <w:color w:val="000000"/>
                <w:sz w:val="24"/>
                <w:lang w:val="en-US" w:eastAsia="zh-CN"/>
              </w:rPr>
              <w:t>6</w:t>
            </w:r>
            <w:r>
              <w:rPr>
                <w:rFonts w:hint="default"/>
                <w:color w:val="000000"/>
                <w:sz w:val="24"/>
                <w:lang w:val="en-US" w:eastAsia="zh-CN"/>
              </w:rPr>
              <w:t>t/a</w:t>
            </w:r>
            <w:r>
              <w:rPr>
                <w:rFonts w:hint="eastAsia"/>
                <w:color w:val="000000"/>
                <w:sz w:val="24"/>
                <w:lang w:val="en-US" w:eastAsia="zh-CN"/>
              </w:rPr>
              <w:t>、废脱模剂桶产生量为</w:t>
            </w:r>
            <w:r>
              <w:rPr>
                <w:rFonts w:hint="default"/>
                <w:color w:val="000000"/>
                <w:sz w:val="24"/>
                <w:lang w:val="en-US" w:eastAsia="zh-CN"/>
              </w:rPr>
              <w:t>0.</w:t>
            </w:r>
            <w:r>
              <w:rPr>
                <w:rFonts w:hint="eastAsia"/>
                <w:color w:val="000000"/>
                <w:sz w:val="24"/>
                <w:lang w:val="en-US" w:eastAsia="zh-CN"/>
              </w:rPr>
              <w:t>3</w:t>
            </w:r>
            <w:r>
              <w:rPr>
                <w:rFonts w:hint="default"/>
                <w:color w:val="000000"/>
                <w:sz w:val="24"/>
                <w:lang w:val="en-US" w:eastAsia="zh-CN"/>
              </w:rPr>
              <w:t>t/a</w:t>
            </w:r>
            <w:r>
              <w:rPr>
                <w:rFonts w:hint="eastAsia"/>
                <w:color w:val="000000"/>
                <w:sz w:val="24"/>
                <w:lang w:val="en-US" w:eastAsia="zh-CN"/>
              </w:rPr>
              <w:t>。根据《国家危险废物名录（</w:t>
            </w:r>
            <w:r>
              <w:rPr>
                <w:rFonts w:hint="default"/>
                <w:color w:val="000000"/>
                <w:sz w:val="24"/>
                <w:lang w:val="en-US" w:eastAsia="zh-CN"/>
              </w:rPr>
              <w:t>2025</w:t>
            </w:r>
            <w:r>
              <w:rPr>
                <w:rFonts w:hint="eastAsia"/>
                <w:color w:val="000000"/>
                <w:sz w:val="24"/>
                <w:lang w:val="en-US" w:eastAsia="zh-CN"/>
              </w:rPr>
              <w:t>年）》，</w:t>
            </w:r>
            <w:r>
              <w:rPr>
                <w:rFonts w:hint="eastAsia"/>
                <w:color w:val="000000"/>
                <w:sz w:val="24"/>
              </w:rPr>
              <w:t>废呋喃树脂桶</w:t>
            </w:r>
            <w:r>
              <w:rPr>
                <w:rFonts w:hint="eastAsia"/>
                <w:color w:val="000000"/>
                <w:sz w:val="24"/>
                <w:lang w:eastAsia="zh-CN"/>
              </w:rPr>
              <w:t>、</w:t>
            </w:r>
            <w:r>
              <w:rPr>
                <w:rFonts w:hint="eastAsia"/>
                <w:color w:val="000000"/>
                <w:sz w:val="24"/>
                <w:lang w:val="en-US" w:eastAsia="zh-CN"/>
              </w:rPr>
              <w:t>废固化剂桶、废醇基涂料桶和废脱模剂桶危废类别为</w:t>
            </w:r>
            <w:r>
              <w:rPr>
                <w:rFonts w:hint="default"/>
                <w:color w:val="000000"/>
                <w:sz w:val="24"/>
                <w:lang w:val="en-US" w:eastAsia="zh-CN"/>
              </w:rPr>
              <w:t>HW49</w:t>
            </w:r>
            <w:r>
              <w:rPr>
                <w:rFonts w:hint="eastAsia"/>
                <w:color w:val="000000"/>
                <w:sz w:val="24"/>
                <w:lang w:val="en-US" w:eastAsia="zh-CN"/>
              </w:rPr>
              <w:t>，废物代码</w:t>
            </w:r>
            <w:r>
              <w:rPr>
                <w:rFonts w:hint="default"/>
                <w:color w:val="000000"/>
                <w:sz w:val="24"/>
                <w:lang w:val="en-US" w:eastAsia="zh-CN"/>
              </w:rPr>
              <w:t>900-041-49</w:t>
            </w:r>
            <w:r>
              <w:rPr>
                <w:rFonts w:hint="eastAsia"/>
                <w:color w:val="000000"/>
                <w:sz w:val="24"/>
                <w:lang w:val="en-US" w:eastAsia="zh-CN"/>
              </w:rPr>
              <w:t>，暂存于危废暂存间，定期交有资质单位处置。</w:t>
            </w:r>
          </w:p>
          <w:p w14:paraId="3258A044">
            <w:pPr>
              <w:bidi w:val="0"/>
            </w:pPr>
            <w:r>
              <w:t>③</w:t>
            </w:r>
            <w:r>
              <w:rPr>
                <w:color w:val="000000"/>
                <w:sz w:val="24"/>
              </w:rPr>
              <w:t>废活性炭</w:t>
            </w:r>
          </w:p>
          <w:p w14:paraId="09A561B5">
            <w:pPr>
              <w:bidi w:val="0"/>
            </w:pPr>
            <w:r>
              <w:t>参照《河南省重污染天气重点行业应急减排措施制定技术指南（2024年修订版）》表6-1 塑料制品企业绩效分级指标中“采用颗粒状活性炭的，柱状活性炭直径≤5mm、碘值≥800mg/g，且填充量与每小时处理废气量体积之比满足1：7000的要求；使用蜂窝状活性炭的，碘值≥650mg/g、比表面积应不低于750m²/g，且填充量与每小时处理废气量体积之比满足1：5000的要求</w:t>
            </w:r>
            <w:r>
              <w:rPr>
                <w:rFonts w:hint="eastAsia"/>
              </w:rPr>
              <w:t>”，本项目使用的活性炭为蜂窝状活性炭，且活性炭的碘值</w:t>
            </w:r>
            <w:r>
              <w:t>≥650mg/g、比表面积应不低于750m²/g</w:t>
            </w:r>
            <w:r>
              <w:rPr>
                <w:rFonts w:hint="eastAsia"/>
              </w:rPr>
              <w:t>。</w:t>
            </w:r>
          </w:p>
          <w:p w14:paraId="5A0C3283">
            <w:pPr>
              <w:bidi w:val="0"/>
            </w:pPr>
            <w:r>
              <w:rPr>
                <w:rFonts w:hint="eastAsia"/>
                <w:lang w:val="en-US" w:eastAsia="zh-CN"/>
              </w:rPr>
              <w:t>本项目有机废气治理设施处理风量为</w:t>
            </w:r>
            <w:r>
              <w:rPr>
                <w:rFonts w:hint="default"/>
                <w:lang w:val="en-US" w:eastAsia="zh-CN"/>
              </w:rPr>
              <w:t>20000m</w:t>
            </w:r>
            <w:r>
              <w:rPr>
                <w:rFonts w:hint="default"/>
                <w:vertAlign w:val="superscript"/>
                <w:lang w:val="en-US" w:eastAsia="zh-CN"/>
              </w:rPr>
              <w:t>3</w:t>
            </w:r>
            <w:r>
              <w:rPr>
                <w:rFonts w:hint="default"/>
                <w:lang w:val="en-US" w:eastAsia="zh-CN"/>
              </w:rPr>
              <w:t>/h</w:t>
            </w:r>
            <w:r>
              <w:rPr>
                <w:rFonts w:hint="eastAsia"/>
                <w:lang w:val="en-US" w:eastAsia="zh-CN"/>
              </w:rPr>
              <w:t>，则活性炭填充量为</w:t>
            </w:r>
            <w:r>
              <w:rPr>
                <w:rFonts w:hint="default"/>
                <w:lang w:val="en-US" w:eastAsia="zh-CN"/>
              </w:rPr>
              <w:t>4m</w:t>
            </w:r>
            <w:r>
              <w:rPr>
                <w:rFonts w:hint="default"/>
                <w:vertAlign w:val="superscript"/>
                <w:lang w:val="en-US" w:eastAsia="zh-CN"/>
              </w:rPr>
              <w:t>3</w:t>
            </w:r>
            <w:r>
              <w:rPr>
                <w:rFonts w:hint="eastAsia"/>
                <w:lang w:val="en-US" w:eastAsia="zh-CN"/>
              </w:rPr>
              <w:t>，根据企业提供的材料，项目使用蜂窝活性炭，碘值为</w:t>
            </w:r>
            <w:r>
              <w:rPr>
                <w:rFonts w:hint="default"/>
                <w:lang w:val="en-US" w:eastAsia="zh-CN"/>
              </w:rPr>
              <w:t>800mg/g</w:t>
            </w:r>
            <w:r>
              <w:rPr>
                <w:rFonts w:hint="eastAsia"/>
                <w:lang w:val="en-US" w:eastAsia="zh-CN"/>
              </w:rPr>
              <w:t>，充填密度按</w:t>
            </w:r>
            <w:r>
              <w:rPr>
                <w:rFonts w:hint="default"/>
                <w:lang w:val="en-US" w:eastAsia="zh-CN"/>
              </w:rPr>
              <w:t>0.5g/cm</w:t>
            </w:r>
            <w:r>
              <w:rPr>
                <w:rFonts w:hint="default"/>
                <w:vertAlign w:val="superscript"/>
                <w:lang w:val="en-US" w:eastAsia="zh-CN"/>
              </w:rPr>
              <w:t>3</w:t>
            </w:r>
            <w:r>
              <w:rPr>
                <w:rFonts w:hint="eastAsia"/>
                <w:lang w:val="en-US" w:eastAsia="zh-CN"/>
              </w:rPr>
              <w:t>计，本项目设置</w:t>
            </w:r>
            <w:r>
              <w:rPr>
                <w:rFonts w:hint="default"/>
                <w:lang w:val="en-US" w:eastAsia="zh-CN"/>
              </w:rPr>
              <w:t>2</w:t>
            </w:r>
            <w:r>
              <w:rPr>
                <w:rFonts w:hint="eastAsia"/>
                <w:lang w:val="en-US" w:eastAsia="zh-CN"/>
              </w:rPr>
              <w:t>个活性炭箱用于吸附、脱附交替进行，则</w:t>
            </w:r>
            <w:r>
              <w:rPr>
                <w:rFonts w:hint="default"/>
                <w:lang w:val="en-US" w:eastAsia="zh-CN"/>
              </w:rPr>
              <w:t>2</w:t>
            </w:r>
            <w:r>
              <w:rPr>
                <w:rFonts w:hint="eastAsia"/>
                <w:lang w:val="en-US" w:eastAsia="zh-CN"/>
              </w:rPr>
              <w:t>个活性炭箱共装填活性炭量为</w:t>
            </w:r>
            <w:r>
              <w:rPr>
                <w:rFonts w:hint="default"/>
                <w:lang w:val="en-US" w:eastAsia="zh-CN"/>
              </w:rPr>
              <w:t>4t</w:t>
            </w:r>
            <w:r>
              <w:rPr>
                <w:rFonts w:hint="eastAsia"/>
                <w:lang w:val="en-US" w:eastAsia="zh-CN"/>
              </w:rPr>
              <w:t>；企业安装有吸附、脱附自动监控切换装置，排放到达设定切换浓度限值时，设备自动进行活性炭箱吸附箱的切换并对饱和的吸附碳箱进行脱附，当吸附周期明显变短时即进行活性炭更换。根据企业提供资料，活性炭吸附罐吸附脱附循环使用，活性炭吸附箱寿命约为</w:t>
            </w:r>
            <w:r>
              <w:rPr>
                <w:rFonts w:hint="default"/>
                <w:lang w:val="en-US" w:eastAsia="zh-CN"/>
              </w:rPr>
              <w:t>2a</w:t>
            </w:r>
            <w:r>
              <w:rPr>
                <w:rFonts w:hint="eastAsia"/>
                <w:lang w:val="en-US" w:eastAsia="zh-CN"/>
              </w:rPr>
              <w:t>，则废活性炭产生量为</w:t>
            </w:r>
            <w:r>
              <w:rPr>
                <w:rFonts w:hint="default"/>
                <w:lang w:val="en-US" w:eastAsia="zh-CN"/>
              </w:rPr>
              <w:t>4t/2a</w:t>
            </w:r>
            <w:r>
              <w:rPr>
                <w:rFonts w:hint="eastAsia"/>
                <w:lang w:val="en-US" w:eastAsia="zh-CN"/>
              </w:rPr>
              <w:t>。根据《国家危险废物名录（</w:t>
            </w:r>
            <w:r>
              <w:rPr>
                <w:rFonts w:hint="default"/>
                <w:lang w:val="en-US" w:eastAsia="zh-CN"/>
              </w:rPr>
              <w:t>2025</w:t>
            </w:r>
            <w:r>
              <w:rPr>
                <w:rFonts w:hint="eastAsia"/>
                <w:lang w:val="en-US" w:eastAsia="zh-CN"/>
              </w:rPr>
              <w:t>年）》，废活性炭危废类别为</w:t>
            </w:r>
            <w:r>
              <w:rPr>
                <w:rFonts w:hint="default"/>
                <w:lang w:val="en-US" w:eastAsia="zh-CN"/>
              </w:rPr>
              <w:t>HW49</w:t>
            </w:r>
            <w:r>
              <w:rPr>
                <w:rFonts w:hint="eastAsia"/>
                <w:lang w:val="en-US" w:eastAsia="zh-CN"/>
              </w:rPr>
              <w:t>，废物代码</w:t>
            </w:r>
            <w:r>
              <w:rPr>
                <w:rFonts w:hint="default"/>
                <w:lang w:val="en-US" w:eastAsia="zh-CN"/>
              </w:rPr>
              <w:t>900-039-49</w:t>
            </w:r>
            <w:r>
              <w:rPr>
                <w:rFonts w:hint="eastAsia"/>
                <w:lang w:val="en-US" w:eastAsia="zh-CN"/>
              </w:rPr>
              <w:t>，采用桶装加盖进行收集后暂存于危废暂存间，定期由有资质的危险废物处置单位处置。</w:t>
            </w:r>
          </w:p>
          <w:p w14:paraId="17C26D6F">
            <w:pPr>
              <w:bidi w:val="0"/>
              <w:rPr>
                <w:rFonts w:hint="eastAsia"/>
              </w:rPr>
            </w:pPr>
          </w:p>
          <w:p w14:paraId="51877266">
            <w:pPr>
              <w:bidi w:val="0"/>
              <w:rPr>
                <w:rFonts w:hint="eastAsia"/>
                <w:lang w:val="en-US" w:eastAsia="zh-CN"/>
              </w:rPr>
            </w:pPr>
            <w:r>
              <w:rPr>
                <w:rFonts w:hint="eastAsia"/>
              </w:rPr>
              <w:t>④</w:t>
            </w:r>
            <w:r>
              <w:rPr>
                <w:rFonts w:hint="eastAsia"/>
                <w:lang w:val="en-US" w:eastAsia="zh-CN"/>
              </w:rPr>
              <w:t>废催化剂</w:t>
            </w:r>
          </w:p>
          <w:p w14:paraId="1CAA54B6">
            <w:pPr>
              <w:bidi w:val="0"/>
              <w:rPr>
                <w:rFonts w:hint="eastAsia"/>
                <w:lang w:val="en-US" w:eastAsia="zh-CN"/>
              </w:rPr>
            </w:pPr>
            <w:r>
              <w:rPr>
                <w:rFonts w:hint="eastAsia"/>
                <w:lang w:val="en-US" w:eastAsia="zh-CN"/>
              </w:rPr>
              <w:t>催化剂装填量0.06t，更换周期每三年一次，废催化剂产生量为0.06t/3a，根据《国家危险废物名录（2025年）》，废催化剂危废类别为HW49，废物代码900-041-49，采用桶装加盖进行收集后暂存于危废暂存间，定期由有资质的危险废物处置单位处置。</w:t>
            </w:r>
          </w:p>
          <w:p w14:paraId="56217309">
            <w:pPr>
              <w:ind w:firstLine="0" w:firstLineChars="0"/>
              <w:jc w:val="center"/>
              <w:rPr>
                <w:b/>
                <w:bCs/>
                <w:color w:val="000000"/>
                <w:sz w:val="24"/>
                <w:highlight w:val="yellow"/>
              </w:rPr>
            </w:pPr>
            <w:r>
              <w:rPr>
                <w:rFonts w:eastAsia="黑体"/>
                <w:color w:val="000000" w:themeColor="text1"/>
                <w14:textFill>
                  <w14:solidFill>
                    <w14:schemeClr w14:val="tx1"/>
                  </w14:solidFill>
                </w14:textFill>
              </w:rPr>
              <w:t>表4-</w:t>
            </w:r>
            <w:r>
              <w:rPr>
                <w:rFonts w:hint="eastAsia" w:eastAsia="黑体"/>
                <w:color w:val="000000" w:themeColor="text1"/>
                <w:lang w:val="en-US" w:eastAsia="zh-CN"/>
                <w14:textFill>
                  <w14:solidFill>
                    <w14:schemeClr w14:val="tx1"/>
                  </w14:solidFill>
                </w14:textFill>
              </w:rPr>
              <w:t>10</w:t>
            </w:r>
            <w:r>
              <w:rPr>
                <w:rFonts w:eastAsia="黑体"/>
                <w:color w:val="000000" w:themeColor="text1"/>
                <w14:textFill>
                  <w14:solidFill>
                    <w14:schemeClr w14:val="tx1"/>
                  </w14:solidFill>
                </w14:textFill>
              </w:rPr>
              <w:t xml:space="preserve">  项目危险废物产生及处置情况一览表</w:t>
            </w:r>
          </w:p>
          <w:tbl>
            <w:tblPr>
              <w:tblStyle w:val="28"/>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15"/>
              <w:gridCol w:w="1267"/>
              <w:gridCol w:w="705"/>
              <w:gridCol w:w="1253"/>
              <w:gridCol w:w="779"/>
              <w:gridCol w:w="599"/>
              <w:gridCol w:w="514"/>
              <w:gridCol w:w="498"/>
              <w:gridCol w:w="767"/>
              <w:gridCol w:w="627"/>
              <w:gridCol w:w="1027"/>
            </w:tblGrid>
            <w:tr w14:paraId="5C2CA2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5A3BB17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序号</w:t>
                  </w:r>
                </w:p>
              </w:tc>
              <w:tc>
                <w:tcPr>
                  <w:tcW w:w="740" w:type="pct"/>
                  <w:noWrap w:val="0"/>
                  <w:vAlign w:val="center"/>
                </w:tcPr>
                <w:p w14:paraId="3A5FEABE">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危险废物名称</w:t>
                  </w:r>
                </w:p>
              </w:tc>
              <w:tc>
                <w:tcPr>
                  <w:tcW w:w="412" w:type="pct"/>
                  <w:noWrap w:val="0"/>
                  <w:vAlign w:val="center"/>
                </w:tcPr>
                <w:p w14:paraId="68934A23">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危险废物类别</w:t>
                  </w:r>
                </w:p>
              </w:tc>
              <w:tc>
                <w:tcPr>
                  <w:tcW w:w="732" w:type="pct"/>
                  <w:noWrap w:val="0"/>
                  <w:vAlign w:val="center"/>
                </w:tcPr>
                <w:p w14:paraId="165B170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危险废物</w:t>
                  </w:r>
                </w:p>
                <w:p w14:paraId="7E7819A9">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代码</w:t>
                  </w:r>
                </w:p>
              </w:tc>
              <w:tc>
                <w:tcPr>
                  <w:tcW w:w="455" w:type="pct"/>
                  <w:noWrap w:val="0"/>
                  <w:vAlign w:val="center"/>
                </w:tcPr>
                <w:p w14:paraId="3D756BAD">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产生量（t/a）</w:t>
                  </w:r>
                </w:p>
              </w:tc>
              <w:tc>
                <w:tcPr>
                  <w:tcW w:w="350" w:type="pct"/>
                  <w:noWrap w:val="0"/>
                  <w:vAlign w:val="center"/>
                </w:tcPr>
                <w:p w14:paraId="3317A7B0">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产生环节</w:t>
                  </w:r>
                </w:p>
              </w:tc>
              <w:tc>
                <w:tcPr>
                  <w:tcW w:w="300" w:type="pct"/>
                  <w:noWrap w:val="0"/>
                  <w:vAlign w:val="center"/>
                </w:tcPr>
                <w:p w14:paraId="1C4C6B2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形态</w:t>
                  </w:r>
                </w:p>
              </w:tc>
              <w:tc>
                <w:tcPr>
                  <w:tcW w:w="291" w:type="pct"/>
                  <w:noWrap w:val="0"/>
                  <w:vAlign w:val="center"/>
                </w:tcPr>
                <w:p w14:paraId="40DA2019">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有害成分</w:t>
                  </w:r>
                </w:p>
              </w:tc>
              <w:tc>
                <w:tcPr>
                  <w:tcW w:w="448" w:type="pct"/>
                  <w:noWrap w:val="0"/>
                  <w:vAlign w:val="center"/>
                </w:tcPr>
                <w:p w14:paraId="581370C6">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产废</w:t>
                  </w:r>
                </w:p>
                <w:p w14:paraId="2578908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周期</w:t>
                  </w:r>
                </w:p>
              </w:tc>
              <w:tc>
                <w:tcPr>
                  <w:tcW w:w="366" w:type="pct"/>
                  <w:noWrap w:val="0"/>
                  <w:vAlign w:val="center"/>
                </w:tcPr>
                <w:p w14:paraId="5C6EA8D4">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危险特性</w:t>
                  </w:r>
                </w:p>
              </w:tc>
              <w:tc>
                <w:tcPr>
                  <w:tcW w:w="600" w:type="pct"/>
                  <w:noWrap w:val="0"/>
                  <w:vAlign w:val="center"/>
                </w:tcPr>
                <w:p w14:paraId="089998E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bCs/>
                      <w:color w:val="000000"/>
                      <w:sz w:val="21"/>
                      <w:szCs w:val="21"/>
                      <w:highlight w:val="none"/>
                    </w:rPr>
                  </w:pPr>
                  <w:r>
                    <w:rPr>
                      <w:rFonts w:ascii="Times New Roman" w:hAnsi="Times New Roman"/>
                      <w:bCs/>
                      <w:color w:val="000000"/>
                      <w:sz w:val="21"/>
                      <w:szCs w:val="21"/>
                      <w:highlight w:val="none"/>
                    </w:rPr>
                    <w:t>污染防治措施</w:t>
                  </w:r>
                </w:p>
              </w:tc>
            </w:tr>
            <w:tr w14:paraId="774CD8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678D7F5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1</w:t>
                  </w:r>
                </w:p>
              </w:tc>
              <w:tc>
                <w:tcPr>
                  <w:tcW w:w="740" w:type="pct"/>
                  <w:noWrap w:val="0"/>
                  <w:vAlign w:val="center"/>
                </w:tcPr>
                <w:p w14:paraId="37FB4681">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color w:val="000000"/>
                      <w:sz w:val="21"/>
                      <w:szCs w:val="21"/>
                      <w:highlight w:val="none"/>
                    </w:rPr>
                    <w:t>废润滑油</w:t>
                  </w:r>
                </w:p>
              </w:tc>
              <w:tc>
                <w:tcPr>
                  <w:tcW w:w="412" w:type="pct"/>
                  <w:noWrap w:val="0"/>
                  <w:vAlign w:val="center"/>
                </w:tcPr>
                <w:p w14:paraId="702D6A9D">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HW08</w:t>
                  </w:r>
                </w:p>
              </w:tc>
              <w:tc>
                <w:tcPr>
                  <w:tcW w:w="732" w:type="pct"/>
                  <w:noWrap w:val="0"/>
                  <w:vAlign w:val="center"/>
                </w:tcPr>
                <w:p w14:paraId="65081CD2">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900-217-08</w:t>
                  </w:r>
                </w:p>
              </w:tc>
              <w:tc>
                <w:tcPr>
                  <w:tcW w:w="455" w:type="pct"/>
                  <w:noWrap w:val="0"/>
                  <w:vAlign w:val="center"/>
                </w:tcPr>
                <w:p w14:paraId="0A40E5ED">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0.5</w:t>
                  </w:r>
                </w:p>
              </w:tc>
              <w:tc>
                <w:tcPr>
                  <w:tcW w:w="350" w:type="pct"/>
                  <w:vMerge w:val="restart"/>
                  <w:noWrap w:val="0"/>
                  <w:vAlign w:val="center"/>
                </w:tcPr>
                <w:p w14:paraId="0ED4D78F">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ascii="Times New Roman" w:hAnsi="Times New Roman"/>
                      <w:color w:val="000000"/>
                      <w:sz w:val="21"/>
                      <w:szCs w:val="21"/>
                      <w:highlight w:val="none"/>
                    </w:rPr>
                    <w:t>设备维护</w:t>
                  </w:r>
                </w:p>
              </w:tc>
              <w:tc>
                <w:tcPr>
                  <w:tcW w:w="300" w:type="pct"/>
                  <w:noWrap w:val="0"/>
                  <w:vAlign w:val="center"/>
                </w:tcPr>
                <w:p w14:paraId="02B72E17">
                  <w:pPr>
                    <w:pStyle w:val="45"/>
                    <w:keepNext w:val="0"/>
                    <w:keepLines w:val="0"/>
                    <w:pageBreakBefore w:val="0"/>
                    <w:kinsoku/>
                    <w:wordWrap/>
                    <w:overflowPunct/>
                    <w:topLinePunct w:val="0"/>
                    <w:bidi w:val="0"/>
                    <w:snapToGrid w:val="0"/>
                    <w:spacing w:line="240" w:lineRule="auto"/>
                    <w:ind w:firstLine="0" w:firstLineChars="0"/>
                    <w:rPr>
                      <w:color w:val="000000"/>
                      <w:sz w:val="21"/>
                      <w:szCs w:val="21"/>
                      <w:highlight w:val="none"/>
                    </w:rPr>
                  </w:pPr>
                  <w:r>
                    <w:rPr>
                      <w:rFonts w:ascii="Times New Roman" w:hAnsi="Times New Roman"/>
                      <w:color w:val="000000"/>
                      <w:sz w:val="21"/>
                      <w:szCs w:val="21"/>
                      <w:highlight w:val="none"/>
                    </w:rPr>
                    <w:t>液态</w:t>
                  </w:r>
                </w:p>
              </w:tc>
              <w:tc>
                <w:tcPr>
                  <w:tcW w:w="291" w:type="pct"/>
                  <w:noWrap w:val="0"/>
                  <w:vAlign w:val="center"/>
                </w:tcPr>
                <w:p w14:paraId="0FA045FE">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矿物油</w:t>
                  </w:r>
                </w:p>
              </w:tc>
              <w:tc>
                <w:tcPr>
                  <w:tcW w:w="448" w:type="pct"/>
                  <w:noWrap w:val="0"/>
                  <w:vAlign w:val="center"/>
                </w:tcPr>
                <w:p w14:paraId="76AC99C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半年</w:t>
                  </w:r>
                </w:p>
              </w:tc>
              <w:tc>
                <w:tcPr>
                  <w:tcW w:w="366" w:type="pct"/>
                  <w:noWrap w:val="0"/>
                  <w:vAlign w:val="center"/>
                </w:tcPr>
                <w:p w14:paraId="6B1AD4A0">
                  <w:pPr>
                    <w:pStyle w:val="45"/>
                    <w:keepNext w:val="0"/>
                    <w:keepLines w:val="0"/>
                    <w:pageBreakBefore w:val="0"/>
                    <w:kinsoku/>
                    <w:wordWrap/>
                    <w:overflowPunct/>
                    <w:topLinePunct w:val="0"/>
                    <w:bidi w:val="0"/>
                    <w:snapToGrid w:val="0"/>
                    <w:spacing w:line="240" w:lineRule="auto"/>
                    <w:ind w:firstLine="0" w:firstLineChars="0"/>
                    <w:rPr>
                      <w:color w:val="000000"/>
                      <w:sz w:val="21"/>
                      <w:szCs w:val="21"/>
                      <w:highlight w:val="none"/>
                    </w:rPr>
                  </w:pPr>
                  <w:r>
                    <w:rPr>
                      <w:rFonts w:ascii="Times New Roman" w:hAnsi="Times New Roman"/>
                      <w:color w:val="000000"/>
                      <w:sz w:val="21"/>
                      <w:szCs w:val="21"/>
                      <w:highlight w:val="none"/>
                    </w:rPr>
                    <w:t>T，I</w:t>
                  </w:r>
                </w:p>
              </w:tc>
              <w:tc>
                <w:tcPr>
                  <w:tcW w:w="600" w:type="pct"/>
                  <w:vMerge w:val="restart"/>
                  <w:noWrap w:val="0"/>
                  <w:vAlign w:val="center"/>
                </w:tcPr>
                <w:p w14:paraId="073D2288">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集中收集于危废暂存间(面积20m</w:t>
                  </w:r>
                  <w:r>
                    <w:rPr>
                      <w:rFonts w:hint="eastAsia" w:ascii="Times New Roman" w:hAnsi="Times New Roman"/>
                      <w:color w:val="000000"/>
                      <w:sz w:val="21"/>
                      <w:szCs w:val="21"/>
                      <w:highlight w:val="none"/>
                      <w:vertAlign w:val="superscript"/>
                    </w:rPr>
                    <w:t>2</w:t>
                  </w:r>
                  <w:r>
                    <w:rPr>
                      <w:rFonts w:hint="eastAsia" w:ascii="Times New Roman" w:hAnsi="Times New Roman"/>
                      <w:color w:val="000000"/>
                      <w:sz w:val="21"/>
                      <w:szCs w:val="21"/>
                      <w:highlight w:val="none"/>
                    </w:rPr>
                    <w:t>，采取六防措施)，定期交由有危废处理资质单位进行处理</w:t>
                  </w:r>
                </w:p>
              </w:tc>
            </w:tr>
            <w:tr w14:paraId="5E579B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78E8414F">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2</w:t>
                  </w:r>
                </w:p>
              </w:tc>
              <w:tc>
                <w:tcPr>
                  <w:tcW w:w="740" w:type="pct"/>
                  <w:noWrap w:val="0"/>
                  <w:vAlign w:val="center"/>
                </w:tcPr>
                <w:p w14:paraId="67E83ED2">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color w:val="000000"/>
                      <w:sz w:val="21"/>
                      <w:szCs w:val="21"/>
                      <w:highlight w:val="none"/>
                    </w:rPr>
                    <w:t>废润滑油桶</w:t>
                  </w:r>
                </w:p>
              </w:tc>
              <w:tc>
                <w:tcPr>
                  <w:tcW w:w="412" w:type="pct"/>
                  <w:noWrap w:val="0"/>
                  <w:vAlign w:val="center"/>
                </w:tcPr>
                <w:p w14:paraId="55D92B29">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HW08</w:t>
                  </w:r>
                </w:p>
              </w:tc>
              <w:tc>
                <w:tcPr>
                  <w:tcW w:w="732" w:type="pct"/>
                  <w:noWrap w:val="0"/>
                  <w:vAlign w:val="center"/>
                </w:tcPr>
                <w:p w14:paraId="2A4FA1AE">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900-249-08</w:t>
                  </w:r>
                </w:p>
              </w:tc>
              <w:tc>
                <w:tcPr>
                  <w:tcW w:w="455" w:type="pct"/>
                  <w:noWrap w:val="0"/>
                  <w:vAlign w:val="center"/>
                </w:tcPr>
                <w:p w14:paraId="750C1675">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0.05</w:t>
                  </w:r>
                </w:p>
              </w:tc>
              <w:tc>
                <w:tcPr>
                  <w:tcW w:w="350" w:type="pct"/>
                  <w:vMerge w:val="continue"/>
                  <w:noWrap w:val="0"/>
                  <w:vAlign w:val="center"/>
                </w:tcPr>
                <w:p w14:paraId="267CCD6B">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p>
              </w:tc>
              <w:tc>
                <w:tcPr>
                  <w:tcW w:w="300" w:type="pct"/>
                  <w:noWrap w:val="0"/>
                  <w:vAlign w:val="center"/>
                </w:tcPr>
                <w:p w14:paraId="578EE47E">
                  <w:pPr>
                    <w:pStyle w:val="45"/>
                    <w:keepNext w:val="0"/>
                    <w:keepLines w:val="0"/>
                    <w:pageBreakBefore w:val="0"/>
                    <w:kinsoku/>
                    <w:wordWrap/>
                    <w:overflowPunct/>
                    <w:topLinePunct w:val="0"/>
                    <w:bidi w:val="0"/>
                    <w:snapToGrid w:val="0"/>
                    <w:spacing w:line="240" w:lineRule="auto"/>
                    <w:ind w:firstLine="0" w:firstLineChars="0"/>
                    <w:rPr>
                      <w:color w:val="000000"/>
                      <w:sz w:val="21"/>
                      <w:szCs w:val="21"/>
                      <w:highlight w:val="none"/>
                    </w:rPr>
                  </w:pPr>
                  <w:r>
                    <w:rPr>
                      <w:rFonts w:ascii="Times New Roman" w:hAnsi="Times New Roman"/>
                      <w:color w:val="000000"/>
                      <w:sz w:val="21"/>
                      <w:szCs w:val="21"/>
                      <w:highlight w:val="none"/>
                    </w:rPr>
                    <w:t>固体</w:t>
                  </w:r>
                </w:p>
              </w:tc>
              <w:tc>
                <w:tcPr>
                  <w:tcW w:w="291" w:type="pct"/>
                  <w:noWrap w:val="0"/>
                  <w:vAlign w:val="center"/>
                </w:tcPr>
                <w:p w14:paraId="247CD4B3">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矿物油</w:t>
                  </w:r>
                </w:p>
              </w:tc>
              <w:tc>
                <w:tcPr>
                  <w:tcW w:w="448" w:type="pct"/>
                  <w:noWrap w:val="0"/>
                  <w:vAlign w:val="center"/>
                </w:tcPr>
                <w:p w14:paraId="70022732">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半年</w:t>
                  </w:r>
                </w:p>
              </w:tc>
              <w:tc>
                <w:tcPr>
                  <w:tcW w:w="366" w:type="pct"/>
                  <w:noWrap w:val="0"/>
                  <w:vAlign w:val="center"/>
                </w:tcPr>
                <w:p w14:paraId="7928DF92">
                  <w:pPr>
                    <w:pStyle w:val="45"/>
                    <w:keepNext w:val="0"/>
                    <w:keepLines w:val="0"/>
                    <w:pageBreakBefore w:val="0"/>
                    <w:kinsoku/>
                    <w:wordWrap/>
                    <w:overflowPunct/>
                    <w:topLinePunct w:val="0"/>
                    <w:bidi w:val="0"/>
                    <w:snapToGrid w:val="0"/>
                    <w:spacing w:line="240" w:lineRule="auto"/>
                    <w:ind w:firstLine="0" w:firstLineChars="0"/>
                    <w:rPr>
                      <w:color w:val="000000"/>
                      <w:sz w:val="21"/>
                      <w:szCs w:val="21"/>
                      <w:highlight w:val="none"/>
                    </w:rPr>
                  </w:pPr>
                  <w:r>
                    <w:rPr>
                      <w:rFonts w:ascii="Times New Roman" w:hAnsi="Times New Roman"/>
                      <w:color w:val="000000"/>
                      <w:sz w:val="21"/>
                      <w:szCs w:val="21"/>
                      <w:highlight w:val="none"/>
                    </w:rPr>
                    <w:t>T，I</w:t>
                  </w:r>
                </w:p>
              </w:tc>
              <w:tc>
                <w:tcPr>
                  <w:tcW w:w="600" w:type="pct"/>
                  <w:vMerge w:val="continue"/>
                  <w:noWrap w:val="0"/>
                  <w:vAlign w:val="center"/>
                </w:tcPr>
                <w:p w14:paraId="4B662EA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31D232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42F0FDF1">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3</w:t>
                  </w:r>
                </w:p>
              </w:tc>
              <w:tc>
                <w:tcPr>
                  <w:tcW w:w="740" w:type="pct"/>
                  <w:noWrap w:val="0"/>
                  <w:vAlign w:val="center"/>
                </w:tcPr>
                <w:p w14:paraId="314E64C6">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rFonts w:hint="eastAsia"/>
                      <w:color w:val="000000"/>
                      <w:sz w:val="21"/>
                      <w:szCs w:val="21"/>
                      <w:highlight w:val="none"/>
                    </w:rPr>
                    <w:t>废呋喃树脂桶</w:t>
                  </w:r>
                </w:p>
              </w:tc>
              <w:tc>
                <w:tcPr>
                  <w:tcW w:w="412" w:type="pct"/>
                  <w:vMerge w:val="restart"/>
                  <w:noWrap w:val="0"/>
                  <w:vAlign w:val="center"/>
                </w:tcPr>
                <w:p w14:paraId="185D77E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HW</w:t>
                  </w:r>
                  <w:r>
                    <w:rPr>
                      <w:rFonts w:hint="eastAsia" w:ascii="Times New Roman" w:hAnsi="Times New Roman"/>
                      <w:color w:val="000000"/>
                      <w:sz w:val="21"/>
                      <w:szCs w:val="21"/>
                      <w:highlight w:val="none"/>
                    </w:rPr>
                    <w:t>49</w:t>
                  </w:r>
                </w:p>
              </w:tc>
              <w:tc>
                <w:tcPr>
                  <w:tcW w:w="732" w:type="pct"/>
                  <w:vMerge w:val="restart"/>
                  <w:noWrap w:val="0"/>
                  <w:vAlign w:val="center"/>
                </w:tcPr>
                <w:p w14:paraId="1435DFA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 xml:space="preserve">900-041-49 </w:t>
                  </w:r>
                </w:p>
              </w:tc>
              <w:tc>
                <w:tcPr>
                  <w:tcW w:w="455" w:type="pct"/>
                  <w:noWrap w:val="0"/>
                  <w:vAlign w:val="center"/>
                </w:tcPr>
                <w:p w14:paraId="470520F6">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5.0</w:t>
                  </w:r>
                </w:p>
              </w:tc>
              <w:tc>
                <w:tcPr>
                  <w:tcW w:w="350" w:type="pct"/>
                  <w:vMerge w:val="restart"/>
                  <w:noWrap w:val="0"/>
                  <w:vAlign w:val="center"/>
                </w:tcPr>
                <w:p w14:paraId="3DF1453A">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原</w:t>
                  </w:r>
                  <w:r>
                    <w:rPr>
                      <w:rFonts w:hint="eastAsia" w:ascii="Times New Roman" w:hAnsi="Times New Roman"/>
                      <w:color w:val="000000"/>
                      <w:sz w:val="21"/>
                      <w:szCs w:val="21"/>
                      <w:highlight w:val="none"/>
                      <w:lang w:val="en-US" w:eastAsia="zh-CN"/>
                    </w:rPr>
                    <w:t>辅</w:t>
                  </w:r>
                  <w:r>
                    <w:rPr>
                      <w:rFonts w:hint="eastAsia" w:ascii="Times New Roman" w:hAnsi="Times New Roman"/>
                      <w:color w:val="000000"/>
                      <w:sz w:val="21"/>
                      <w:szCs w:val="21"/>
                      <w:highlight w:val="none"/>
                    </w:rPr>
                    <w:t>料使用</w:t>
                  </w:r>
                </w:p>
              </w:tc>
              <w:tc>
                <w:tcPr>
                  <w:tcW w:w="300" w:type="pct"/>
                  <w:vMerge w:val="restart"/>
                  <w:noWrap w:val="0"/>
                  <w:vAlign w:val="center"/>
                </w:tcPr>
                <w:p w14:paraId="5F16D470">
                  <w:pPr>
                    <w:keepNext w:val="0"/>
                    <w:keepLines w:val="0"/>
                    <w:pageBreakBefore w:val="0"/>
                    <w:kinsoku/>
                    <w:wordWrap/>
                    <w:overflowPunct/>
                    <w:topLinePunct w:val="0"/>
                    <w:bidi w:val="0"/>
                    <w:snapToGrid w:val="0"/>
                    <w:spacing w:line="240" w:lineRule="auto"/>
                    <w:ind w:firstLine="0" w:firstLineChars="0"/>
                    <w:jc w:val="center"/>
                    <w:rPr>
                      <w:color w:val="000000"/>
                      <w:sz w:val="21"/>
                      <w:szCs w:val="21"/>
                      <w:highlight w:val="none"/>
                    </w:rPr>
                  </w:pPr>
                  <w:r>
                    <w:rPr>
                      <w:color w:val="000000"/>
                      <w:sz w:val="21"/>
                      <w:szCs w:val="21"/>
                      <w:highlight w:val="none"/>
                    </w:rPr>
                    <w:t>固体</w:t>
                  </w:r>
                </w:p>
              </w:tc>
              <w:tc>
                <w:tcPr>
                  <w:tcW w:w="291" w:type="pct"/>
                  <w:vMerge w:val="restart"/>
                  <w:noWrap w:val="0"/>
                  <w:vAlign w:val="center"/>
                </w:tcPr>
                <w:p w14:paraId="08AB441D">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有机物</w:t>
                  </w:r>
                </w:p>
              </w:tc>
              <w:tc>
                <w:tcPr>
                  <w:tcW w:w="448" w:type="pct"/>
                  <w:vMerge w:val="restart"/>
                  <w:noWrap w:val="0"/>
                  <w:vAlign w:val="center"/>
                </w:tcPr>
                <w:p w14:paraId="0FBBC329">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半年</w:t>
                  </w:r>
                </w:p>
              </w:tc>
              <w:tc>
                <w:tcPr>
                  <w:tcW w:w="366" w:type="pct"/>
                  <w:vMerge w:val="restart"/>
                  <w:noWrap w:val="0"/>
                  <w:vAlign w:val="center"/>
                </w:tcPr>
                <w:p w14:paraId="4ABA23A8">
                  <w:pPr>
                    <w:pStyle w:val="64"/>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color w:val="000000"/>
                      <w:sz w:val="21"/>
                      <w:szCs w:val="21"/>
                      <w:highlight w:val="none"/>
                    </w:rPr>
                    <w:t>T/In</w:t>
                  </w:r>
                </w:p>
              </w:tc>
              <w:tc>
                <w:tcPr>
                  <w:tcW w:w="600" w:type="pct"/>
                  <w:vMerge w:val="continue"/>
                  <w:noWrap w:val="0"/>
                  <w:vAlign w:val="center"/>
                </w:tcPr>
                <w:p w14:paraId="65F8CFD8">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1A8834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607EDCA7">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hint="eastAsia" w:ascii="Times New Roman" w:hAnsi="Times New Roman"/>
                      <w:color w:val="000000"/>
                      <w:sz w:val="21"/>
                      <w:szCs w:val="21"/>
                      <w:highlight w:val="none"/>
                    </w:rPr>
                    <w:t>4</w:t>
                  </w:r>
                </w:p>
              </w:tc>
              <w:tc>
                <w:tcPr>
                  <w:tcW w:w="740" w:type="pct"/>
                  <w:noWrap w:val="0"/>
                  <w:vAlign w:val="center"/>
                </w:tcPr>
                <w:p w14:paraId="3F20D277">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rFonts w:hint="eastAsia"/>
                      <w:color w:val="000000"/>
                      <w:sz w:val="21"/>
                      <w:szCs w:val="21"/>
                      <w:highlight w:val="none"/>
                    </w:rPr>
                    <w:t>废固化剂桶</w:t>
                  </w:r>
                </w:p>
              </w:tc>
              <w:tc>
                <w:tcPr>
                  <w:tcW w:w="412" w:type="pct"/>
                  <w:vMerge w:val="continue"/>
                  <w:noWrap w:val="0"/>
                  <w:vAlign w:val="center"/>
                </w:tcPr>
                <w:p w14:paraId="357EF04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732" w:type="pct"/>
                  <w:vMerge w:val="continue"/>
                  <w:noWrap w:val="0"/>
                  <w:vAlign w:val="center"/>
                </w:tcPr>
                <w:p w14:paraId="61DE280A">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55" w:type="pct"/>
                  <w:noWrap w:val="0"/>
                  <w:vAlign w:val="center"/>
                </w:tcPr>
                <w:p w14:paraId="6EC1A734">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2.5</w:t>
                  </w:r>
                </w:p>
              </w:tc>
              <w:tc>
                <w:tcPr>
                  <w:tcW w:w="350" w:type="pct"/>
                  <w:vMerge w:val="continue"/>
                  <w:noWrap w:val="0"/>
                  <w:vAlign w:val="center"/>
                </w:tcPr>
                <w:p w14:paraId="3765C621">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p>
              </w:tc>
              <w:tc>
                <w:tcPr>
                  <w:tcW w:w="300" w:type="pct"/>
                  <w:vMerge w:val="continue"/>
                  <w:noWrap w:val="0"/>
                  <w:vAlign w:val="center"/>
                </w:tcPr>
                <w:p w14:paraId="4AE3D147">
                  <w:pPr>
                    <w:keepNext w:val="0"/>
                    <w:keepLines w:val="0"/>
                    <w:pageBreakBefore w:val="0"/>
                    <w:kinsoku/>
                    <w:wordWrap/>
                    <w:overflowPunct/>
                    <w:topLinePunct w:val="0"/>
                    <w:bidi w:val="0"/>
                    <w:snapToGrid w:val="0"/>
                    <w:spacing w:line="240" w:lineRule="auto"/>
                    <w:ind w:firstLine="0" w:firstLineChars="0"/>
                    <w:jc w:val="center"/>
                    <w:rPr>
                      <w:color w:val="000000"/>
                      <w:sz w:val="21"/>
                      <w:szCs w:val="21"/>
                      <w:highlight w:val="none"/>
                    </w:rPr>
                  </w:pPr>
                </w:p>
              </w:tc>
              <w:tc>
                <w:tcPr>
                  <w:tcW w:w="291" w:type="pct"/>
                  <w:vMerge w:val="continue"/>
                  <w:noWrap w:val="0"/>
                  <w:vAlign w:val="center"/>
                </w:tcPr>
                <w:p w14:paraId="1F17B04A">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48" w:type="pct"/>
                  <w:vMerge w:val="continue"/>
                  <w:noWrap w:val="0"/>
                  <w:vAlign w:val="center"/>
                </w:tcPr>
                <w:p w14:paraId="48F6FF1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366" w:type="pct"/>
                  <w:vMerge w:val="continue"/>
                  <w:noWrap w:val="0"/>
                  <w:vAlign w:val="center"/>
                </w:tcPr>
                <w:p w14:paraId="3A66DB7A">
                  <w:pPr>
                    <w:pStyle w:val="64"/>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p>
              </w:tc>
              <w:tc>
                <w:tcPr>
                  <w:tcW w:w="600" w:type="pct"/>
                  <w:vMerge w:val="continue"/>
                  <w:noWrap w:val="0"/>
                  <w:vAlign w:val="center"/>
                </w:tcPr>
                <w:p w14:paraId="69AEAFC8">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2F1552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4E15B280">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5</w:t>
                  </w:r>
                </w:p>
              </w:tc>
              <w:tc>
                <w:tcPr>
                  <w:tcW w:w="740" w:type="pct"/>
                  <w:noWrap w:val="0"/>
                  <w:vAlign w:val="center"/>
                </w:tcPr>
                <w:p w14:paraId="4595394C">
                  <w:pPr>
                    <w:keepNext w:val="0"/>
                    <w:keepLines w:val="0"/>
                    <w:pageBreakBefore w:val="0"/>
                    <w:kinsoku/>
                    <w:wordWrap/>
                    <w:overflowPunct/>
                    <w:topLinePunct w:val="0"/>
                    <w:bidi w:val="0"/>
                    <w:spacing w:line="240" w:lineRule="auto"/>
                    <w:ind w:firstLine="0" w:firstLineChars="0"/>
                    <w:jc w:val="center"/>
                    <w:rPr>
                      <w:rFonts w:hint="eastAsia"/>
                      <w:color w:val="000000"/>
                      <w:sz w:val="21"/>
                      <w:szCs w:val="21"/>
                      <w:highlight w:val="none"/>
                    </w:rPr>
                  </w:pPr>
                  <w:r>
                    <w:rPr>
                      <w:rFonts w:hint="eastAsia"/>
                      <w:color w:val="000000"/>
                      <w:sz w:val="21"/>
                      <w:szCs w:val="21"/>
                      <w:highlight w:val="none"/>
                      <w:lang w:val="en-US" w:eastAsia="zh-CN"/>
                    </w:rPr>
                    <w:t>废醇基涂料桶</w:t>
                  </w:r>
                </w:p>
              </w:tc>
              <w:tc>
                <w:tcPr>
                  <w:tcW w:w="412" w:type="pct"/>
                  <w:vMerge w:val="continue"/>
                  <w:noWrap w:val="0"/>
                  <w:vAlign w:val="center"/>
                </w:tcPr>
                <w:p w14:paraId="66E498FE">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732" w:type="pct"/>
                  <w:vMerge w:val="continue"/>
                  <w:noWrap w:val="0"/>
                  <w:vAlign w:val="center"/>
                </w:tcPr>
                <w:p w14:paraId="05580482">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55" w:type="pct"/>
                  <w:noWrap w:val="0"/>
                  <w:vAlign w:val="center"/>
                </w:tcPr>
                <w:p w14:paraId="30747C31">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0.6</w:t>
                  </w:r>
                </w:p>
              </w:tc>
              <w:tc>
                <w:tcPr>
                  <w:tcW w:w="350" w:type="pct"/>
                  <w:vMerge w:val="continue"/>
                  <w:noWrap w:val="0"/>
                  <w:vAlign w:val="center"/>
                </w:tcPr>
                <w:p w14:paraId="47801F82">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p>
              </w:tc>
              <w:tc>
                <w:tcPr>
                  <w:tcW w:w="300" w:type="pct"/>
                  <w:vMerge w:val="continue"/>
                  <w:noWrap w:val="0"/>
                  <w:vAlign w:val="center"/>
                </w:tcPr>
                <w:p w14:paraId="45D4E80D">
                  <w:pPr>
                    <w:keepNext w:val="0"/>
                    <w:keepLines w:val="0"/>
                    <w:pageBreakBefore w:val="0"/>
                    <w:kinsoku/>
                    <w:wordWrap/>
                    <w:overflowPunct/>
                    <w:topLinePunct w:val="0"/>
                    <w:bidi w:val="0"/>
                    <w:snapToGrid w:val="0"/>
                    <w:spacing w:line="240" w:lineRule="auto"/>
                    <w:ind w:firstLine="0" w:firstLineChars="0"/>
                    <w:jc w:val="center"/>
                    <w:rPr>
                      <w:color w:val="000000"/>
                      <w:sz w:val="21"/>
                      <w:szCs w:val="21"/>
                      <w:highlight w:val="none"/>
                    </w:rPr>
                  </w:pPr>
                </w:p>
              </w:tc>
              <w:tc>
                <w:tcPr>
                  <w:tcW w:w="291" w:type="pct"/>
                  <w:vMerge w:val="continue"/>
                  <w:noWrap w:val="0"/>
                  <w:vAlign w:val="center"/>
                </w:tcPr>
                <w:p w14:paraId="473482F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48" w:type="pct"/>
                  <w:vMerge w:val="continue"/>
                  <w:noWrap w:val="0"/>
                  <w:vAlign w:val="center"/>
                </w:tcPr>
                <w:p w14:paraId="61200CFB">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366" w:type="pct"/>
                  <w:vMerge w:val="continue"/>
                  <w:noWrap w:val="0"/>
                  <w:vAlign w:val="center"/>
                </w:tcPr>
                <w:p w14:paraId="5570B796">
                  <w:pPr>
                    <w:pStyle w:val="64"/>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p>
              </w:tc>
              <w:tc>
                <w:tcPr>
                  <w:tcW w:w="600" w:type="pct"/>
                  <w:vMerge w:val="continue"/>
                  <w:noWrap w:val="0"/>
                  <w:vAlign w:val="center"/>
                </w:tcPr>
                <w:p w14:paraId="68D80488">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1AB453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20CA991E">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6</w:t>
                  </w:r>
                </w:p>
              </w:tc>
              <w:tc>
                <w:tcPr>
                  <w:tcW w:w="740" w:type="pct"/>
                  <w:noWrap w:val="0"/>
                  <w:vAlign w:val="center"/>
                </w:tcPr>
                <w:p w14:paraId="1D47D6CA">
                  <w:pPr>
                    <w:keepNext w:val="0"/>
                    <w:keepLines w:val="0"/>
                    <w:pageBreakBefore w:val="0"/>
                    <w:kinsoku/>
                    <w:wordWrap/>
                    <w:overflowPunct/>
                    <w:topLinePunct w:val="0"/>
                    <w:bidi w:val="0"/>
                    <w:spacing w:line="240" w:lineRule="auto"/>
                    <w:ind w:firstLine="0" w:firstLineChars="0"/>
                    <w:jc w:val="center"/>
                    <w:rPr>
                      <w:rFonts w:hint="eastAsia"/>
                      <w:color w:val="000000"/>
                      <w:sz w:val="21"/>
                      <w:szCs w:val="21"/>
                      <w:highlight w:val="none"/>
                    </w:rPr>
                  </w:pPr>
                  <w:r>
                    <w:rPr>
                      <w:rFonts w:hint="eastAsia"/>
                      <w:color w:val="000000"/>
                      <w:sz w:val="21"/>
                      <w:szCs w:val="21"/>
                      <w:lang w:val="en-US" w:eastAsia="zh-CN"/>
                    </w:rPr>
                    <w:t>废脱模剂桶</w:t>
                  </w:r>
                </w:p>
              </w:tc>
              <w:tc>
                <w:tcPr>
                  <w:tcW w:w="412" w:type="pct"/>
                  <w:vMerge w:val="continue"/>
                  <w:noWrap w:val="0"/>
                  <w:vAlign w:val="center"/>
                </w:tcPr>
                <w:p w14:paraId="68BCD5A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732" w:type="pct"/>
                  <w:vMerge w:val="continue"/>
                  <w:noWrap w:val="0"/>
                  <w:vAlign w:val="center"/>
                </w:tcPr>
                <w:p w14:paraId="2381E6F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55" w:type="pct"/>
                  <w:noWrap w:val="0"/>
                  <w:vAlign w:val="center"/>
                </w:tcPr>
                <w:p w14:paraId="778D865F">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eastAsia" w:ascii="Times New Roman" w:hAnsi="Times New Roman"/>
                      <w:color w:val="000000"/>
                      <w:sz w:val="21"/>
                      <w:szCs w:val="21"/>
                      <w:highlight w:val="none"/>
                      <w:lang w:val="en-US" w:eastAsia="zh-CN"/>
                    </w:rPr>
                    <w:t>0.3</w:t>
                  </w:r>
                </w:p>
              </w:tc>
              <w:tc>
                <w:tcPr>
                  <w:tcW w:w="350" w:type="pct"/>
                  <w:vMerge w:val="continue"/>
                  <w:noWrap w:val="0"/>
                  <w:vAlign w:val="center"/>
                </w:tcPr>
                <w:p w14:paraId="0189AB83">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p>
              </w:tc>
              <w:tc>
                <w:tcPr>
                  <w:tcW w:w="300" w:type="pct"/>
                  <w:vMerge w:val="continue"/>
                  <w:noWrap w:val="0"/>
                  <w:vAlign w:val="center"/>
                </w:tcPr>
                <w:p w14:paraId="01C85F92">
                  <w:pPr>
                    <w:keepNext w:val="0"/>
                    <w:keepLines w:val="0"/>
                    <w:pageBreakBefore w:val="0"/>
                    <w:kinsoku/>
                    <w:wordWrap/>
                    <w:overflowPunct/>
                    <w:topLinePunct w:val="0"/>
                    <w:bidi w:val="0"/>
                    <w:snapToGrid w:val="0"/>
                    <w:spacing w:line="240" w:lineRule="auto"/>
                    <w:ind w:firstLine="0" w:firstLineChars="0"/>
                    <w:jc w:val="center"/>
                    <w:rPr>
                      <w:color w:val="000000"/>
                      <w:sz w:val="21"/>
                      <w:szCs w:val="21"/>
                      <w:highlight w:val="none"/>
                    </w:rPr>
                  </w:pPr>
                </w:p>
              </w:tc>
              <w:tc>
                <w:tcPr>
                  <w:tcW w:w="291" w:type="pct"/>
                  <w:vMerge w:val="continue"/>
                  <w:noWrap w:val="0"/>
                  <w:vAlign w:val="center"/>
                </w:tcPr>
                <w:p w14:paraId="3387737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448" w:type="pct"/>
                  <w:vMerge w:val="continue"/>
                  <w:noWrap w:val="0"/>
                  <w:vAlign w:val="center"/>
                </w:tcPr>
                <w:p w14:paraId="77A7C4A9">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c>
                <w:tcPr>
                  <w:tcW w:w="366" w:type="pct"/>
                  <w:vMerge w:val="continue"/>
                  <w:noWrap w:val="0"/>
                  <w:vAlign w:val="center"/>
                </w:tcPr>
                <w:p w14:paraId="69FF999C">
                  <w:pPr>
                    <w:pStyle w:val="64"/>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p>
              </w:tc>
              <w:tc>
                <w:tcPr>
                  <w:tcW w:w="600" w:type="pct"/>
                  <w:vMerge w:val="continue"/>
                  <w:noWrap w:val="0"/>
                  <w:vAlign w:val="center"/>
                </w:tcPr>
                <w:p w14:paraId="1D4183F8">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2F45C5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27F13D8C">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eastAsia="宋体"/>
                      <w:color w:val="000000"/>
                      <w:sz w:val="21"/>
                      <w:szCs w:val="21"/>
                      <w:highlight w:val="none"/>
                      <w:lang w:eastAsia="zh-CN"/>
                    </w:rPr>
                  </w:pPr>
                  <w:r>
                    <w:rPr>
                      <w:rFonts w:hint="eastAsia" w:ascii="Times New Roman" w:hAnsi="Times New Roman"/>
                      <w:color w:val="000000"/>
                      <w:sz w:val="21"/>
                      <w:szCs w:val="21"/>
                      <w:highlight w:val="none"/>
                      <w:lang w:val="en-US" w:eastAsia="zh-CN"/>
                    </w:rPr>
                    <w:t>7</w:t>
                  </w:r>
                </w:p>
              </w:tc>
              <w:tc>
                <w:tcPr>
                  <w:tcW w:w="740" w:type="pct"/>
                  <w:noWrap w:val="0"/>
                  <w:vAlign w:val="center"/>
                </w:tcPr>
                <w:p w14:paraId="4EC995C3">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color w:val="000000"/>
                      <w:sz w:val="21"/>
                      <w:szCs w:val="21"/>
                      <w:highlight w:val="none"/>
                    </w:rPr>
                    <w:t>废活性炭</w:t>
                  </w:r>
                </w:p>
              </w:tc>
              <w:tc>
                <w:tcPr>
                  <w:tcW w:w="412" w:type="pct"/>
                  <w:noWrap w:val="0"/>
                  <w:vAlign w:val="center"/>
                </w:tcPr>
                <w:p w14:paraId="78F1929C">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HW49</w:t>
                  </w:r>
                </w:p>
              </w:tc>
              <w:tc>
                <w:tcPr>
                  <w:tcW w:w="732" w:type="pct"/>
                  <w:noWrap w:val="0"/>
                  <w:vAlign w:val="center"/>
                </w:tcPr>
                <w:p w14:paraId="02F51A01">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900-039-49</w:t>
                  </w:r>
                </w:p>
              </w:tc>
              <w:tc>
                <w:tcPr>
                  <w:tcW w:w="455" w:type="pct"/>
                  <w:noWrap w:val="0"/>
                  <w:vAlign w:val="center"/>
                </w:tcPr>
                <w:p w14:paraId="4BE1D7E7">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default" w:ascii="Times New Roman" w:hAnsi="Times New Roman" w:eastAsia="宋体"/>
                      <w:color w:val="000000"/>
                      <w:sz w:val="21"/>
                      <w:szCs w:val="21"/>
                      <w:highlight w:val="none"/>
                      <w:lang w:val="en-US" w:eastAsia="zh-CN"/>
                    </w:rPr>
                    <w:t>4t/2a</w:t>
                  </w:r>
                </w:p>
              </w:tc>
              <w:tc>
                <w:tcPr>
                  <w:tcW w:w="350" w:type="pct"/>
                  <w:vMerge w:val="restart"/>
                  <w:noWrap w:val="0"/>
                  <w:vAlign w:val="center"/>
                </w:tcPr>
                <w:p w14:paraId="3F1E4D2E">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hint="eastAsia" w:ascii="Times New Roman" w:hAnsi="Times New Roman"/>
                      <w:color w:val="000000"/>
                      <w:sz w:val="21"/>
                      <w:szCs w:val="21"/>
                      <w:highlight w:val="none"/>
                    </w:rPr>
                    <w:t>有机废气治理设施</w:t>
                  </w:r>
                </w:p>
              </w:tc>
              <w:tc>
                <w:tcPr>
                  <w:tcW w:w="300" w:type="pct"/>
                  <w:noWrap w:val="0"/>
                  <w:vAlign w:val="center"/>
                </w:tcPr>
                <w:p w14:paraId="64C78AAB">
                  <w:pPr>
                    <w:pStyle w:val="64"/>
                    <w:keepNext w:val="0"/>
                    <w:keepLines w:val="0"/>
                    <w:pageBreakBefore w:val="0"/>
                    <w:kinsoku/>
                    <w:wordWrap/>
                    <w:overflowPunct/>
                    <w:topLinePunct w:val="0"/>
                    <w:bidi w:val="0"/>
                    <w:spacing w:line="240" w:lineRule="auto"/>
                    <w:ind w:firstLine="0" w:firstLineChars="0"/>
                    <w:jc w:val="center"/>
                    <w:rPr>
                      <w:rFonts w:hint="default"/>
                      <w:color w:val="000000"/>
                      <w:sz w:val="21"/>
                      <w:szCs w:val="21"/>
                      <w:highlight w:val="none"/>
                    </w:rPr>
                  </w:pPr>
                  <w:r>
                    <w:rPr>
                      <w:rFonts w:hint="default"/>
                      <w:color w:val="000000"/>
                      <w:sz w:val="21"/>
                      <w:szCs w:val="21"/>
                      <w:highlight w:val="none"/>
                    </w:rPr>
                    <w:t>固态</w:t>
                  </w:r>
                </w:p>
              </w:tc>
              <w:tc>
                <w:tcPr>
                  <w:tcW w:w="291" w:type="pct"/>
                  <w:noWrap w:val="0"/>
                  <w:vAlign w:val="center"/>
                </w:tcPr>
                <w:p w14:paraId="5256714D">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w:t>
                  </w:r>
                </w:p>
              </w:tc>
              <w:tc>
                <w:tcPr>
                  <w:tcW w:w="448" w:type="pct"/>
                  <w:noWrap w:val="0"/>
                  <w:vAlign w:val="center"/>
                </w:tcPr>
                <w:p w14:paraId="250F0138">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hint="eastAsia" w:ascii="Times New Roman" w:hAnsi="Times New Roman"/>
                      <w:color w:val="000000"/>
                      <w:sz w:val="21"/>
                      <w:szCs w:val="21"/>
                      <w:highlight w:val="none"/>
                      <w:lang w:val="en-US" w:eastAsia="zh-CN"/>
                    </w:rPr>
                    <w:t>两</w:t>
                  </w:r>
                  <w:r>
                    <w:rPr>
                      <w:rFonts w:ascii="Times New Roman" w:hAnsi="Times New Roman"/>
                      <w:color w:val="000000"/>
                      <w:sz w:val="21"/>
                      <w:szCs w:val="21"/>
                      <w:highlight w:val="none"/>
                    </w:rPr>
                    <w:t>年</w:t>
                  </w:r>
                </w:p>
              </w:tc>
              <w:tc>
                <w:tcPr>
                  <w:tcW w:w="366" w:type="pct"/>
                  <w:noWrap w:val="0"/>
                  <w:vAlign w:val="center"/>
                </w:tcPr>
                <w:p w14:paraId="1DA0B748">
                  <w:pPr>
                    <w:pStyle w:val="64"/>
                    <w:keepNext w:val="0"/>
                    <w:keepLines w:val="0"/>
                    <w:pageBreakBefore w:val="0"/>
                    <w:kinsoku/>
                    <w:wordWrap/>
                    <w:overflowPunct/>
                    <w:topLinePunct w:val="0"/>
                    <w:bidi w:val="0"/>
                    <w:spacing w:line="240" w:lineRule="auto"/>
                    <w:ind w:firstLine="0" w:firstLineChars="0"/>
                    <w:jc w:val="center"/>
                    <w:rPr>
                      <w:rFonts w:hint="default"/>
                      <w:color w:val="000000"/>
                      <w:sz w:val="21"/>
                      <w:szCs w:val="21"/>
                      <w:highlight w:val="none"/>
                    </w:rPr>
                  </w:pPr>
                  <w:r>
                    <w:rPr>
                      <w:rFonts w:hint="default"/>
                      <w:color w:val="000000"/>
                      <w:sz w:val="21"/>
                      <w:szCs w:val="21"/>
                      <w:highlight w:val="none"/>
                    </w:rPr>
                    <w:t>T</w:t>
                  </w:r>
                </w:p>
              </w:tc>
              <w:tc>
                <w:tcPr>
                  <w:tcW w:w="600" w:type="pct"/>
                  <w:vMerge w:val="continue"/>
                  <w:noWrap w:val="0"/>
                  <w:vAlign w:val="center"/>
                </w:tcPr>
                <w:p w14:paraId="5F45FFDB">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r w14:paraId="76B55F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301" w:type="pct"/>
                  <w:noWrap w:val="0"/>
                  <w:vAlign w:val="center"/>
                </w:tcPr>
                <w:p w14:paraId="38651859">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eastAsia="宋体"/>
                      <w:color w:val="000000"/>
                      <w:sz w:val="21"/>
                      <w:szCs w:val="21"/>
                      <w:highlight w:val="none"/>
                      <w:lang w:eastAsia="zh-CN"/>
                    </w:rPr>
                  </w:pPr>
                  <w:r>
                    <w:rPr>
                      <w:rFonts w:hint="eastAsia" w:ascii="Times New Roman" w:hAnsi="Times New Roman"/>
                      <w:color w:val="000000"/>
                      <w:sz w:val="21"/>
                      <w:szCs w:val="21"/>
                      <w:highlight w:val="none"/>
                      <w:lang w:val="en-US" w:eastAsia="zh-CN"/>
                    </w:rPr>
                    <w:t>8</w:t>
                  </w:r>
                </w:p>
              </w:tc>
              <w:tc>
                <w:tcPr>
                  <w:tcW w:w="740" w:type="pct"/>
                  <w:noWrap w:val="0"/>
                  <w:vAlign w:val="center"/>
                </w:tcPr>
                <w:p w14:paraId="1E1D171C">
                  <w:pPr>
                    <w:keepNext w:val="0"/>
                    <w:keepLines w:val="0"/>
                    <w:pageBreakBefore w:val="0"/>
                    <w:kinsoku/>
                    <w:wordWrap/>
                    <w:overflowPunct/>
                    <w:topLinePunct w:val="0"/>
                    <w:bidi w:val="0"/>
                    <w:spacing w:line="240" w:lineRule="auto"/>
                    <w:ind w:firstLine="0" w:firstLineChars="0"/>
                    <w:jc w:val="center"/>
                    <w:rPr>
                      <w:color w:val="000000"/>
                      <w:sz w:val="21"/>
                      <w:szCs w:val="21"/>
                      <w:highlight w:val="none"/>
                    </w:rPr>
                  </w:pPr>
                  <w:r>
                    <w:rPr>
                      <w:rFonts w:hint="eastAsia"/>
                      <w:color w:val="000000"/>
                      <w:sz w:val="21"/>
                      <w:szCs w:val="21"/>
                      <w:highlight w:val="none"/>
                      <w:lang w:val="en-US" w:eastAsia="zh-CN"/>
                    </w:rPr>
                    <w:t>废催化剂</w:t>
                  </w:r>
                </w:p>
              </w:tc>
              <w:tc>
                <w:tcPr>
                  <w:tcW w:w="412" w:type="pct"/>
                  <w:noWrap w:val="0"/>
                  <w:vAlign w:val="center"/>
                </w:tcPr>
                <w:p w14:paraId="70119CA4">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HW</w:t>
                  </w:r>
                  <w:r>
                    <w:rPr>
                      <w:rFonts w:hint="eastAsia" w:ascii="Times New Roman" w:hAnsi="Times New Roman"/>
                      <w:color w:val="000000"/>
                      <w:sz w:val="21"/>
                      <w:szCs w:val="21"/>
                      <w:highlight w:val="none"/>
                    </w:rPr>
                    <w:t>49</w:t>
                  </w:r>
                </w:p>
              </w:tc>
              <w:tc>
                <w:tcPr>
                  <w:tcW w:w="732" w:type="pct"/>
                  <w:noWrap w:val="0"/>
                  <w:vAlign w:val="center"/>
                </w:tcPr>
                <w:p w14:paraId="6E6B0C83">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ascii="Times New Roman" w:hAnsi="Times New Roman"/>
                      <w:color w:val="000000"/>
                      <w:sz w:val="21"/>
                      <w:szCs w:val="21"/>
                      <w:highlight w:val="none"/>
                    </w:rPr>
                    <w:t xml:space="preserve">900-041-49 </w:t>
                  </w:r>
                </w:p>
              </w:tc>
              <w:tc>
                <w:tcPr>
                  <w:tcW w:w="455" w:type="pct"/>
                  <w:noWrap w:val="0"/>
                  <w:vAlign w:val="center"/>
                </w:tcPr>
                <w:p w14:paraId="7602F325">
                  <w:pPr>
                    <w:pStyle w:val="45"/>
                    <w:keepNext w:val="0"/>
                    <w:keepLines w:val="0"/>
                    <w:pageBreakBefore w:val="0"/>
                    <w:kinsoku/>
                    <w:wordWrap/>
                    <w:overflowPunct/>
                    <w:topLinePunct w:val="0"/>
                    <w:bidi w:val="0"/>
                    <w:snapToGrid w:val="0"/>
                    <w:spacing w:line="240" w:lineRule="auto"/>
                    <w:ind w:firstLine="0" w:firstLineChars="0"/>
                    <w:rPr>
                      <w:rFonts w:hint="default" w:ascii="Times New Roman" w:hAnsi="Times New Roman" w:eastAsia="宋体"/>
                      <w:color w:val="000000"/>
                      <w:sz w:val="21"/>
                      <w:szCs w:val="21"/>
                      <w:highlight w:val="none"/>
                      <w:lang w:val="en-US" w:eastAsia="zh-CN"/>
                    </w:rPr>
                  </w:pPr>
                  <w:r>
                    <w:rPr>
                      <w:rFonts w:hint="default" w:ascii="Times New Roman" w:hAnsi="Times New Roman" w:eastAsia="宋体"/>
                      <w:color w:val="000000"/>
                      <w:sz w:val="21"/>
                      <w:szCs w:val="21"/>
                      <w:highlight w:val="none"/>
                      <w:lang w:val="en-US" w:eastAsia="zh-CN"/>
                    </w:rPr>
                    <w:t>0.06t/3a</w:t>
                  </w:r>
                </w:p>
              </w:tc>
              <w:tc>
                <w:tcPr>
                  <w:tcW w:w="350" w:type="pct"/>
                  <w:vMerge w:val="continue"/>
                  <w:noWrap w:val="0"/>
                  <w:vAlign w:val="center"/>
                </w:tcPr>
                <w:p w14:paraId="2C230527">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p>
              </w:tc>
              <w:tc>
                <w:tcPr>
                  <w:tcW w:w="300" w:type="pct"/>
                  <w:noWrap w:val="0"/>
                  <w:vAlign w:val="center"/>
                </w:tcPr>
                <w:p w14:paraId="2395F0F3">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hint="default"/>
                      <w:color w:val="000000"/>
                      <w:sz w:val="21"/>
                      <w:szCs w:val="21"/>
                      <w:highlight w:val="none"/>
                    </w:rPr>
                    <w:t>固态</w:t>
                  </w:r>
                </w:p>
              </w:tc>
              <w:tc>
                <w:tcPr>
                  <w:tcW w:w="291" w:type="pct"/>
                  <w:noWrap w:val="0"/>
                  <w:vAlign w:val="center"/>
                </w:tcPr>
                <w:p w14:paraId="76F33128">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highlight w:val="none"/>
                    </w:rPr>
                  </w:pPr>
                  <w:r>
                    <w:rPr>
                      <w:rFonts w:ascii="Times New Roman" w:hAnsi="Times New Roman"/>
                      <w:color w:val="000000"/>
                      <w:sz w:val="21"/>
                      <w:szCs w:val="21"/>
                      <w:highlight w:val="none"/>
                    </w:rPr>
                    <w:t>有机物</w:t>
                  </w:r>
                </w:p>
              </w:tc>
              <w:tc>
                <w:tcPr>
                  <w:tcW w:w="448" w:type="pct"/>
                  <w:noWrap w:val="0"/>
                  <w:vAlign w:val="center"/>
                </w:tcPr>
                <w:p w14:paraId="059B26E0">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r>
                    <w:rPr>
                      <w:rFonts w:hint="eastAsia" w:ascii="Times New Roman" w:hAnsi="Times New Roman"/>
                      <w:color w:val="000000"/>
                      <w:sz w:val="21"/>
                      <w:szCs w:val="21"/>
                      <w:highlight w:val="none"/>
                      <w:lang w:val="en-US" w:eastAsia="zh-CN"/>
                    </w:rPr>
                    <w:t>三</w:t>
                  </w:r>
                  <w:r>
                    <w:rPr>
                      <w:rFonts w:ascii="Times New Roman" w:hAnsi="Times New Roman"/>
                      <w:color w:val="000000"/>
                      <w:sz w:val="21"/>
                      <w:szCs w:val="21"/>
                      <w:highlight w:val="none"/>
                    </w:rPr>
                    <w:t>年</w:t>
                  </w:r>
                </w:p>
              </w:tc>
              <w:tc>
                <w:tcPr>
                  <w:tcW w:w="366" w:type="pct"/>
                  <w:noWrap w:val="0"/>
                  <w:vAlign w:val="center"/>
                </w:tcPr>
                <w:p w14:paraId="049FC9C4">
                  <w:pPr>
                    <w:pStyle w:val="64"/>
                    <w:keepNext w:val="0"/>
                    <w:keepLines w:val="0"/>
                    <w:pageBreakBefore w:val="0"/>
                    <w:kinsoku/>
                    <w:wordWrap/>
                    <w:overflowPunct/>
                    <w:topLinePunct w:val="0"/>
                    <w:bidi w:val="0"/>
                    <w:spacing w:line="240" w:lineRule="auto"/>
                    <w:ind w:firstLine="0" w:firstLineChars="0"/>
                    <w:jc w:val="center"/>
                    <w:rPr>
                      <w:rFonts w:hint="default"/>
                      <w:color w:val="000000"/>
                      <w:sz w:val="21"/>
                      <w:szCs w:val="21"/>
                      <w:highlight w:val="none"/>
                    </w:rPr>
                  </w:pPr>
                  <w:r>
                    <w:rPr>
                      <w:color w:val="000000"/>
                      <w:sz w:val="21"/>
                      <w:szCs w:val="21"/>
                      <w:highlight w:val="none"/>
                    </w:rPr>
                    <w:t>T/In</w:t>
                  </w:r>
                </w:p>
              </w:tc>
              <w:tc>
                <w:tcPr>
                  <w:tcW w:w="600" w:type="pct"/>
                  <w:vMerge w:val="continue"/>
                  <w:noWrap w:val="0"/>
                  <w:vAlign w:val="center"/>
                </w:tcPr>
                <w:p w14:paraId="182C6982">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highlight w:val="none"/>
                    </w:rPr>
                  </w:pPr>
                </w:p>
              </w:tc>
            </w:tr>
          </w:tbl>
          <w:p w14:paraId="5F79FC26">
            <w:pPr>
              <w:bidi w:val="0"/>
            </w:pPr>
            <w:r>
              <w:t>4.2环境管理要求</w:t>
            </w:r>
          </w:p>
          <w:p w14:paraId="03D76F2F">
            <w:pPr>
              <w:bidi w:val="0"/>
              <w:rPr>
                <w:rFonts w:hint="default" w:ascii="Times New Roman" w:hAnsi="Times New Roman" w:eastAsia="黑体" w:cs="Times New Roman"/>
              </w:rPr>
            </w:pPr>
            <w:r>
              <w:rPr>
                <w:rFonts w:hint="default" w:ascii="Times New Roman" w:hAnsi="Times New Roman" w:eastAsia="黑体" w:cs="Times New Roman"/>
              </w:rPr>
              <w:t>生活垃圾：</w:t>
            </w:r>
          </w:p>
          <w:p w14:paraId="3100E27F">
            <w:pPr>
              <w:bidi w:val="0"/>
            </w:pPr>
            <w:r>
              <w:t>生活垃圾在厂内集中</w:t>
            </w:r>
            <w:r>
              <w:rPr>
                <w:lang w:val="en-GB"/>
              </w:rPr>
              <w:t>收集</w:t>
            </w:r>
            <w:r>
              <w:t>，妥善贮存。</w:t>
            </w:r>
          </w:p>
          <w:p w14:paraId="1E26058F">
            <w:pPr>
              <w:bidi w:val="0"/>
              <w:rPr>
                <w:rFonts w:hint="default" w:ascii="Times New Roman" w:hAnsi="Times New Roman" w:eastAsia="黑体" w:cs="Times New Roman"/>
              </w:rPr>
            </w:pPr>
            <w:r>
              <w:rPr>
                <w:rFonts w:hint="default" w:ascii="Times New Roman" w:hAnsi="Times New Roman" w:eastAsia="黑体" w:cs="Times New Roman"/>
              </w:rPr>
              <w:t>一般工业固体废物：</w:t>
            </w:r>
          </w:p>
          <w:p w14:paraId="1D4E4077">
            <w:pPr>
              <w:bidi w:val="0"/>
            </w:pPr>
            <w:r>
              <w:t>①本项目石英砂废包装材料、废砂、袋式除尘器收集的粉尘</w:t>
            </w:r>
            <w:r>
              <w:rPr>
                <w:rFonts w:hint="eastAsia"/>
                <w:lang w:val="en-US" w:eastAsia="zh-CN"/>
              </w:rPr>
              <w:t>和炉渣</w:t>
            </w:r>
            <w:r>
              <w:t>等暂存于</w:t>
            </w:r>
            <w:r>
              <w:rPr>
                <w:rFonts w:hint="eastAsia"/>
                <w:lang w:val="en-US" w:eastAsia="zh-CN"/>
              </w:rPr>
              <w:t>生产</w:t>
            </w:r>
            <w:r>
              <w:t>车间</w:t>
            </w:r>
            <w:r>
              <w:rPr>
                <w:rFonts w:hint="eastAsia"/>
                <w:lang w:val="en-US" w:eastAsia="zh-CN"/>
              </w:rPr>
              <w:t>熔炼区西侧</w:t>
            </w:r>
            <w:r>
              <w:t>的一般固废暂存间（面积20m</w:t>
            </w:r>
            <w:r>
              <w:rPr>
                <w:vertAlign w:val="superscript"/>
              </w:rPr>
              <w:t>2</w:t>
            </w:r>
            <w:r>
              <w:t>），委托从事一般工业固体废物经营活动的单位定期清运处理；不合格品和</w:t>
            </w:r>
            <w:r>
              <w:rPr>
                <w:rFonts w:hint="eastAsia"/>
                <w:lang w:val="en-US" w:eastAsia="zh-CN"/>
              </w:rPr>
              <w:t>废铁屑</w:t>
            </w:r>
            <w:r>
              <w:t>作为金属原料回用于熔化工序。</w:t>
            </w:r>
          </w:p>
          <w:p w14:paraId="3234AC27">
            <w:pPr>
              <w:bidi w:val="0"/>
              <w:rPr>
                <w:color w:val="000000"/>
              </w:rPr>
            </w:pPr>
            <w:r>
              <w:t>②参照《一般工业固体废物贮存和填埋污染控制标准》（GB18599-2020）中第Ⅰ类一般工业固体废物贮存场和填埋场相关环境保护要求对一般固废暂存区进行设计和运行管理：A.固废暂存区应进行建设防渗漏、防雨淋、防扬尘措施；B.禁止生活垃圾和危险废物混入；C.建立检查维护制度，定期检查维护设施，如发现有损坏可能或异常，及时采取措施以保证其正常运行；D.建立档案，详细记录一般工业固体废物的名称和数量等相关信息，长期保存以供随时查阅。</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1866"/>
              <w:gridCol w:w="1866"/>
              <w:gridCol w:w="1292"/>
              <w:gridCol w:w="2410"/>
            </w:tblGrid>
            <w:tr w14:paraId="058DD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pct"/>
                  <w:noWrap w:val="0"/>
                  <w:vAlign w:val="center"/>
                </w:tcPr>
                <w:p w14:paraId="0DF89CF0">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名称</w:t>
                  </w:r>
                </w:p>
              </w:tc>
              <w:tc>
                <w:tcPr>
                  <w:tcW w:w="1080" w:type="pct"/>
                  <w:noWrap w:val="0"/>
                  <w:vAlign w:val="center"/>
                </w:tcPr>
                <w:p w14:paraId="76572C2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提示图形符号</w:t>
                  </w:r>
                </w:p>
              </w:tc>
              <w:tc>
                <w:tcPr>
                  <w:tcW w:w="984" w:type="pct"/>
                  <w:noWrap w:val="0"/>
                  <w:vAlign w:val="center"/>
                </w:tcPr>
                <w:p w14:paraId="56E5795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警告图形符号</w:t>
                  </w:r>
                </w:p>
              </w:tc>
              <w:tc>
                <w:tcPr>
                  <w:tcW w:w="793" w:type="pct"/>
                  <w:noWrap w:val="0"/>
                  <w:vAlign w:val="center"/>
                </w:tcPr>
                <w:p w14:paraId="7372C9D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功能</w:t>
                  </w:r>
                </w:p>
              </w:tc>
              <w:tc>
                <w:tcPr>
                  <w:tcW w:w="1445" w:type="pct"/>
                  <w:noWrap w:val="0"/>
                  <w:vAlign w:val="center"/>
                </w:tcPr>
                <w:p w14:paraId="1A35E58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标准</w:t>
                  </w:r>
                </w:p>
              </w:tc>
            </w:tr>
            <w:tr w14:paraId="3ECF4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pct"/>
                  <w:noWrap w:val="0"/>
                  <w:vAlign w:val="center"/>
                </w:tcPr>
                <w:p w14:paraId="701793BE">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一般工业固体废物</w:t>
                  </w:r>
                </w:p>
              </w:tc>
              <w:tc>
                <w:tcPr>
                  <w:tcW w:w="1080" w:type="pct"/>
                  <w:noWrap w:val="0"/>
                  <w:vAlign w:val="center"/>
                </w:tcPr>
                <w:p w14:paraId="7ED5358D">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color w:val="000000"/>
                    </w:rPr>
                    <w:drawing>
                      <wp:inline distT="0" distB="0" distL="114300" distR="114300">
                        <wp:extent cx="1040765" cy="918210"/>
                        <wp:effectExtent l="0" t="0" r="6985" b="1524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20"/>
                                <a:stretch>
                                  <a:fillRect/>
                                </a:stretch>
                              </pic:blipFill>
                              <pic:spPr>
                                <a:xfrm>
                                  <a:off x="0" y="0"/>
                                  <a:ext cx="1040765" cy="918210"/>
                                </a:xfrm>
                                <a:prstGeom prst="rect">
                                  <a:avLst/>
                                </a:prstGeom>
                                <a:noFill/>
                                <a:ln>
                                  <a:noFill/>
                                </a:ln>
                              </pic:spPr>
                            </pic:pic>
                          </a:graphicData>
                        </a:graphic>
                      </wp:inline>
                    </w:drawing>
                  </w:r>
                </w:p>
              </w:tc>
              <w:tc>
                <w:tcPr>
                  <w:tcW w:w="984" w:type="pct"/>
                  <w:noWrap w:val="0"/>
                  <w:vAlign w:val="center"/>
                </w:tcPr>
                <w:p w14:paraId="558AC6D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color w:val="000000"/>
                    </w:rPr>
                    <w:drawing>
                      <wp:inline distT="0" distB="0" distL="114300" distR="114300">
                        <wp:extent cx="1040130" cy="909320"/>
                        <wp:effectExtent l="0" t="0" r="7620" b="5080"/>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21"/>
                                <a:stretch>
                                  <a:fillRect/>
                                </a:stretch>
                              </pic:blipFill>
                              <pic:spPr>
                                <a:xfrm>
                                  <a:off x="0" y="0"/>
                                  <a:ext cx="1040130" cy="909320"/>
                                </a:xfrm>
                                <a:prstGeom prst="rect">
                                  <a:avLst/>
                                </a:prstGeom>
                                <a:noFill/>
                                <a:ln>
                                  <a:noFill/>
                                </a:ln>
                              </pic:spPr>
                            </pic:pic>
                          </a:graphicData>
                        </a:graphic>
                      </wp:inline>
                    </w:drawing>
                  </w:r>
                </w:p>
              </w:tc>
              <w:tc>
                <w:tcPr>
                  <w:tcW w:w="793" w:type="pct"/>
                  <w:noWrap w:val="0"/>
                  <w:vAlign w:val="center"/>
                </w:tcPr>
                <w:p w14:paraId="6145FD8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表示一般固体废物贮存、处置场</w:t>
                  </w:r>
                </w:p>
              </w:tc>
              <w:tc>
                <w:tcPr>
                  <w:tcW w:w="1445" w:type="pct"/>
                  <w:noWrap w:val="0"/>
                  <w:vAlign w:val="center"/>
                </w:tcPr>
                <w:p w14:paraId="4273BC5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0" w:firstLineChars="0"/>
                    <w:jc w:val="center"/>
                    <w:textAlignment w:val="auto"/>
                    <w:rPr>
                      <w:color w:val="000000"/>
                      <w:szCs w:val="21"/>
                    </w:rPr>
                  </w:pPr>
                  <w:r>
                    <w:rPr>
                      <w:rFonts w:hint="eastAsia"/>
                      <w:color w:val="000000"/>
                      <w:szCs w:val="21"/>
                    </w:rPr>
                    <w:t>《环境保护图形标志</w:t>
                  </w:r>
                  <w:r>
                    <w:rPr>
                      <w:color w:val="000000"/>
                      <w:szCs w:val="21"/>
                    </w:rPr>
                    <w:t>—</w:t>
                  </w:r>
                  <w:r>
                    <w:rPr>
                      <w:rFonts w:hint="eastAsia"/>
                      <w:color w:val="000000"/>
                      <w:szCs w:val="21"/>
                    </w:rPr>
                    <w:t>固体废物贮存（处置）场》（</w:t>
                  </w:r>
                  <w:r>
                    <w:rPr>
                      <w:color w:val="000000"/>
                      <w:szCs w:val="21"/>
                    </w:rPr>
                    <w:t>GB15562.2-1995</w:t>
                  </w:r>
                  <w:r>
                    <w:rPr>
                      <w:rFonts w:hint="eastAsia"/>
                      <w:color w:val="000000"/>
                      <w:szCs w:val="21"/>
                    </w:rPr>
                    <w:t>）及其修改单</w:t>
                  </w:r>
                </w:p>
              </w:tc>
            </w:tr>
          </w:tbl>
          <w:p w14:paraId="631D8C33">
            <w:pPr>
              <w:bidi w:val="0"/>
              <w:rPr>
                <w:rFonts w:hint="default" w:ascii="Times New Roman" w:hAnsi="Times New Roman" w:eastAsia="黑体" w:cs="Times New Roman"/>
              </w:rPr>
            </w:pPr>
            <w:r>
              <w:rPr>
                <w:rFonts w:hint="default" w:ascii="Times New Roman" w:hAnsi="Times New Roman" w:eastAsia="黑体" w:cs="Times New Roman"/>
              </w:rPr>
              <w:t>危险废物：</w:t>
            </w:r>
          </w:p>
          <w:p w14:paraId="2573A0AF">
            <w:pPr>
              <w:bidi w:val="0"/>
            </w:pPr>
            <w:r>
              <w:t>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p>
          <w:p w14:paraId="324ED290">
            <w:pPr>
              <w:bidi w:val="0"/>
            </w:pPr>
            <w:r>
              <w:rPr>
                <w:rFonts w:hint="eastAsia"/>
              </w:rPr>
              <w:t>危险废物贮存要求：</w:t>
            </w:r>
          </w:p>
          <w:p w14:paraId="4BE1A60E">
            <w:pPr>
              <w:bidi w:val="0"/>
              <w:rPr>
                <w:rFonts w:hint="eastAsia"/>
              </w:rPr>
            </w:pPr>
            <w:r>
              <w:rPr>
                <w:rFonts w:hint="eastAsia"/>
              </w:rPr>
              <w:t>①一般要求：</w:t>
            </w:r>
            <w:r>
              <w:t>A.</w:t>
            </w:r>
            <w:r>
              <w:rPr>
                <w:rFonts w:hint="eastAsia"/>
              </w:rPr>
              <w:t>贮存设施应根据危险废物的形态、物理化学性质、包装形式和污染物迁移途径，采取必要的防风、防晒、防雨、防漏、防渗、防腐以及其他环境污染防治措施，不应露天堆放危险废物。</w:t>
            </w:r>
            <w:r>
              <w:t>B.</w:t>
            </w:r>
            <w:r>
              <w:rPr>
                <w:rFonts w:hint="eastAsia"/>
              </w:rPr>
              <w:t>贮存设施应根据危险废物的类别、数量、形态、物理化学性质和污染防治等要求设置必要的贮存分区，避免不相容的危险废物接触、混合。</w:t>
            </w:r>
            <w:r>
              <w:t>C.</w:t>
            </w:r>
            <w:r>
              <w:rPr>
                <w:rFonts w:hint="eastAsia"/>
              </w:rPr>
              <w:t>贮存设施或贮存分区内地面、墙面裙脚、堵截泄漏的围堰、接触危险废物的隔板和墙体等应采用坚固的材料建造，表面无裂缝。</w:t>
            </w:r>
            <w:r>
              <w:t>D.</w:t>
            </w:r>
            <w:r>
              <w:rPr>
                <w:rFonts w:hint="eastAsia"/>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vertAlign w:val="superscript"/>
              </w:rPr>
              <w:t>-7</w:t>
            </w:r>
            <w:r>
              <w:rPr>
                <w:rFonts w:hint="eastAsia"/>
              </w:rPr>
              <w:t>cm/s），或至少2mm厚高密度聚乙烯</w:t>
            </w:r>
            <w:r>
              <w:rPr>
                <w:rFonts w:hint="eastAsia"/>
                <w:lang w:val="en-US" w:eastAsia="zh-CN"/>
              </w:rPr>
              <w:t>薄</w:t>
            </w:r>
            <w:r>
              <w:rPr>
                <w:rFonts w:hint="eastAsia"/>
              </w:rPr>
              <w:t>膜等人工防渗材料（渗透系数不大于10</w:t>
            </w:r>
            <w:r>
              <w:rPr>
                <w:rFonts w:hint="eastAsia"/>
                <w:vertAlign w:val="superscript"/>
              </w:rPr>
              <w:t>-10</w:t>
            </w:r>
            <w:r>
              <w:rPr>
                <w:rFonts w:hint="eastAsia"/>
              </w:rPr>
              <w:t>cm/s），或其他防渗性能等效的材料。E</w:t>
            </w:r>
            <w:r>
              <w:t>.</w:t>
            </w:r>
            <w:r>
              <w:rPr>
                <w:rFonts w:hint="eastAsia"/>
              </w:rPr>
              <w:t>同一贮存设施宜采用相同的防渗、防腐工艺（包括防渗、防腐结构或材料），防渗、防腐材料应覆盖所有可能与废物及其渗滤液、渗漏液等接触的构筑物表面；采用不同防渗、防腐工艺应分别建设贮存分区。F</w:t>
            </w:r>
            <w:r>
              <w:t>.</w:t>
            </w:r>
            <w:r>
              <w:rPr>
                <w:rFonts w:hint="eastAsia"/>
              </w:rPr>
              <w:t>贮存设施应采取技术和管理措施防止无关人员进入。</w:t>
            </w:r>
          </w:p>
          <w:p w14:paraId="53B74362">
            <w:pPr>
              <w:bidi w:val="0"/>
            </w:pPr>
            <w:r>
              <w:rPr>
                <w:rFonts w:hint="eastAsia"/>
              </w:rPr>
              <w:t>②危废贮存过程污染控制要求：</w:t>
            </w:r>
            <w:r>
              <w:t>A.</w:t>
            </w:r>
            <w:r>
              <w:rPr>
                <w:rFonts w:hint="eastAsia"/>
              </w:rPr>
              <w:t>贮存库内不同贮存分区之间应采取隔离措施。隔离措施可根据危险废物特性采用过道、隔板或隔墙等方式。本项目依托</w:t>
            </w:r>
            <w:r>
              <w:t>现有生产车间内一般固废暂存间</w:t>
            </w:r>
            <w:r>
              <w:rPr>
                <w:rFonts w:hint="eastAsia"/>
                <w:lang w:val="en-US" w:eastAsia="zh-CN"/>
              </w:rPr>
              <w:t>西</w:t>
            </w:r>
            <w:r>
              <w:t>侧</w:t>
            </w:r>
            <w:r>
              <w:rPr>
                <w:rFonts w:hint="eastAsia"/>
                <w:lang w:val="en-US" w:eastAsia="zh-CN"/>
              </w:rPr>
              <w:t>的危废暂存间</w:t>
            </w:r>
            <w:r>
              <w:t>（面积</w:t>
            </w:r>
            <w:r>
              <w:rPr>
                <w:rFonts w:hint="eastAsia"/>
                <w:lang w:val="en-US" w:eastAsia="zh-CN"/>
              </w:rPr>
              <w:t>20</w:t>
            </w:r>
            <w:r>
              <w:t>m</w:t>
            </w:r>
            <w:r>
              <w:rPr>
                <w:vertAlign w:val="superscript"/>
              </w:rPr>
              <w:t>2</w:t>
            </w:r>
            <w:r>
              <w:t>，采取六防措施）</w:t>
            </w:r>
            <w:r>
              <w:rPr>
                <w:rFonts w:hint="eastAsia"/>
              </w:rPr>
              <w:t>进行本项目危废的暂存。</w:t>
            </w:r>
            <w:r>
              <w:t>B.</w:t>
            </w:r>
            <w:r>
              <w:rPr>
                <w:rFonts w:hint="eastAsia"/>
              </w:rPr>
              <w:t>在贮存库内或通过贮存分区方式贮存液态危险废物的，应具有液体泄漏堵截设施，堵截设施最最小容积不应低于对应贮存区域最大液态废物容器容积或液态废物总储量</w:t>
            </w:r>
            <w:r>
              <w:t>1/10</w:t>
            </w:r>
            <w:r>
              <w:rPr>
                <w:rFonts w:hint="eastAsia"/>
              </w:rPr>
              <w:t>（二者取较大者）。本项目液态废物为废润滑油，设置导流沟、收集池等堵截措施，收集池总容量至少</w:t>
            </w:r>
            <w:r>
              <w:t>0.05m</w:t>
            </w:r>
            <w:r>
              <w:rPr>
                <w:vertAlign w:val="superscript"/>
              </w:rPr>
              <w:t>3</w:t>
            </w:r>
            <w:r>
              <w:rPr>
                <w:rFonts w:hint="eastAsia"/>
              </w:rPr>
              <w:t>，不小于总储量；用于贮存可能产生渗滤液的危险废物的贮存库或贮存分区应设计渗滤液收集设施，收集设施容积应满足渗滤液的收集要求，本项目无产生渗滤液的危废。</w:t>
            </w:r>
            <w:r>
              <w:t>C.</w:t>
            </w:r>
            <w:r>
              <w:rPr>
                <w:rFonts w:hint="eastAsia"/>
              </w:rPr>
              <w:t>贮存易产生粉尘、</w:t>
            </w:r>
            <w:r>
              <w:t>VOCs</w:t>
            </w:r>
            <w:r>
              <w:rPr>
                <w:rFonts w:hint="eastAsia"/>
              </w:rPr>
              <w:t>、酸雾、有毒有害大气污染物和刺激性气味气体的危险废物贮存库，应设置气体收集装置和气体净化设施；气体净化设施的排气筒高度应符合</w:t>
            </w:r>
            <w:r>
              <w:t>GB16297</w:t>
            </w:r>
            <w:r>
              <w:rPr>
                <w:rFonts w:hint="eastAsia"/>
              </w:rPr>
              <w:t>要求。本项目产生</w:t>
            </w:r>
            <w:r>
              <w:t>废润滑油桶</w:t>
            </w:r>
            <w:r>
              <w:rPr>
                <w:rFonts w:hint="eastAsia"/>
              </w:rPr>
              <w:t>、废呋喃树脂桶</w:t>
            </w:r>
            <w:r>
              <w:rPr>
                <w:rFonts w:hint="eastAsia"/>
                <w:color w:val="000000"/>
                <w:sz w:val="24"/>
                <w:lang w:val="en-US" w:eastAsia="zh-CN"/>
              </w:rPr>
              <w:t>废固化剂桶、废醇基涂料桶和废脱模剂桶</w:t>
            </w:r>
            <w:r>
              <w:rPr>
                <w:rFonts w:hint="eastAsia"/>
              </w:rPr>
              <w:t>堆放贮存；</w:t>
            </w:r>
            <w:r>
              <w:t>废活性炭</w:t>
            </w:r>
            <w:r>
              <w:rPr>
                <w:rFonts w:hint="eastAsia"/>
                <w:lang w:val="en-US" w:eastAsia="zh-CN"/>
              </w:rPr>
              <w:t>和废催化剂</w:t>
            </w:r>
            <w:r>
              <w:rPr>
                <w:rFonts w:hint="eastAsia"/>
              </w:rPr>
              <w:t>袋装封存。</w:t>
            </w:r>
          </w:p>
          <w:p w14:paraId="65C203A3">
            <w:pPr>
              <w:bidi w:val="0"/>
              <w:rPr>
                <w:rFonts w:hint="eastAsia"/>
              </w:rPr>
            </w:pPr>
            <w:r>
              <w:rPr>
                <w:rFonts w:hint="eastAsia"/>
              </w:rPr>
              <w:t>③容器和包装物污染控制要求：</w:t>
            </w:r>
            <w:r>
              <w:t>A.</w:t>
            </w:r>
            <w:r>
              <w:rPr>
                <w:rFonts w:hint="eastAsia"/>
              </w:rPr>
              <w:t>容器和包装物材质、内衬应与盛装的危险废物相容。</w:t>
            </w:r>
            <w:r>
              <w:t>B.</w:t>
            </w:r>
            <w:r>
              <w:rPr>
                <w:rFonts w:hint="eastAsia"/>
              </w:rPr>
              <w:t>针对不同类别、形态、物理化学性质的危险废物，其容器和包装物应满足相应的防渗、防漏、防腐和强度等要求。</w:t>
            </w:r>
            <w:r>
              <w:t>C.</w:t>
            </w:r>
            <w:r>
              <w:rPr>
                <w:rFonts w:hint="eastAsia"/>
              </w:rPr>
              <w:t>硬质容器和包装物及其时支护结构堆叠码放不应有明显变形，无破损泄漏。</w:t>
            </w:r>
            <w:r>
              <w:t>D.</w:t>
            </w:r>
            <w:r>
              <w:rPr>
                <w:rFonts w:hint="eastAsia"/>
              </w:rPr>
              <w:t>柔性容器和包装物堆叠码放时应封口严密，无破损泄漏。E</w:t>
            </w:r>
            <w:r>
              <w:t>.</w:t>
            </w:r>
            <w:r>
              <w:rPr>
                <w:rFonts w:hint="eastAsia"/>
              </w:rPr>
              <w:t>使用容器盛装液态、半固态危险废物时，容器内部应留有适当的空间，以适应因温度变化等可能引发的收缩和膨胀，防止其导致容器渗漏或永久变形。E</w:t>
            </w:r>
            <w:r>
              <w:t>.</w:t>
            </w:r>
            <w:r>
              <w:rPr>
                <w:rFonts w:hint="eastAsia"/>
              </w:rPr>
              <w:t>容器和包装物外表面应保持清洁。</w:t>
            </w:r>
          </w:p>
          <w:p w14:paraId="39A0A189">
            <w:pPr>
              <w:bidi w:val="0"/>
              <w:rPr>
                <w:rFonts w:hint="eastAsia"/>
              </w:rPr>
            </w:pPr>
            <w:r>
              <w:rPr>
                <w:rFonts w:hint="eastAsia"/>
              </w:rPr>
              <w:t>④危险废物识别标志牌、标签等按照《危险废物识别标志设置技术规范》（HJ1276—2022）设置：</w:t>
            </w:r>
            <w:r>
              <w:t>A.</w:t>
            </w:r>
            <w:r>
              <w:rPr>
                <w:rFonts w:hint="eastAsia"/>
              </w:rPr>
              <w:t>危险废物标签的内容要求：危险废物标签应以醒目的字样标注“危险废物”；应包含废物名称、废物类别、废物代码、废物形态、危险特性、主要成分、有害成分、注意事项、产生/收集单位名称、联系人、联系方式、产生日期、废物重量和备注；危险废物标签宜设置危险废物数字识别码和二维码。</w:t>
            </w:r>
            <w:r>
              <w:t>B.</w:t>
            </w:r>
            <w:r>
              <w:rPr>
                <w:rFonts w:hint="eastAsia"/>
              </w:rPr>
              <w:t>危险废物贮存分区标志的内容要求：应以醒目的方式标注“危险废物贮存分区标志”字样；应包含但不限于设施内部所有贮存分区的平面分布、各分区存放的危险废物信息、本贮存分区的具体位置、环境应急物资所在位置以及进出口位置和方向；危险废物贮存单位可根据自身贮存设施建设情况，在危险废物贮存分区标志中添加收集池、导流沟和通道等信息；危险废物贮存分区标志的信息应随着设施内废物贮存情况的变化及时调整。</w:t>
            </w:r>
            <w:r>
              <w:t>C.</w:t>
            </w:r>
            <w:r>
              <w:rPr>
                <w:rFonts w:hint="eastAsia"/>
              </w:rPr>
              <w:t>危险废物贮存、利用、处置设施标志（本项目仅涉及贮存）：应包含三角形警告性图形标志和文字性辅助标志，其中三角形警告性图形标志应符合GB 15562.2中的要求；应以醒目的文字标注危险废物设施的类型；应包含危险废物设施所属的单位名称、设施编码、负责人及联系方式；宜设置二维码，对设施使用情况进行信息化管理。</w:t>
            </w:r>
          </w:p>
          <w:p w14:paraId="4B314460">
            <w:pPr>
              <w:bidi w:val="0"/>
            </w:pPr>
            <w:r>
              <w:t>综上所述，项目产生的固体废物经过以上措施处理后，均得到妥善处置，预计对周围的环境不会产生明显的影响。</w:t>
            </w:r>
          </w:p>
          <w:p w14:paraId="29BBB5D1">
            <w:pPr>
              <w:autoSpaceDE w:val="0"/>
              <w:autoSpaceDN w:val="0"/>
              <w:spacing w:line="360" w:lineRule="auto"/>
              <w:ind w:left="0" w:leftChars="0" w:firstLine="0" w:firstLineChars="0"/>
              <w:rPr>
                <w:rFonts w:hint="default" w:ascii="Times New Roman" w:hAnsi="Times New Roman" w:eastAsia="黑体" w:cs="Times New Roman"/>
                <w:b w:val="0"/>
                <w:bCs/>
                <w:color w:val="000000"/>
                <w:kern w:val="0"/>
                <w:szCs w:val="24"/>
                <w:lang w:eastAsia="zh-CN"/>
              </w:rPr>
            </w:pPr>
            <w:r>
              <w:rPr>
                <w:rFonts w:hint="default" w:ascii="Times New Roman" w:hAnsi="Times New Roman" w:eastAsia="黑体" w:cs="Times New Roman"/>
                <w:b w:val="0"/>
                <w:bCs/>
                <w:color w:val="000000"/>
                <w:kern w:val="0"/>
                <w:szCs w:val="24"/>
              </w:rPr>
              <w:t>5、地下水</w:t>
            </w:r>
            <w:r>
              <w:rPr>
                <w:rFonts w:hint="default" w:ascii="Times New Roman" w:hAnsi="Times New Roman" w:eastAsia="黑体" w:cs="Times New Roman"/>
                <w:b w:val="0"/>
                <w:bCs/>
                <w:color w:val="000000"/>
                <w:kern w:val="0"/>
                <w:szCs w:val="24"/>
                <w:lang w:eastAsia="zh-CN"/>
              </w:rPr>
              <w:t>、</w:t>
            </w:r>
            <w:r>
              <w:rPr>
                <w:rFonts w:hint="default" w:ascii="Times New Roman" w:hAnsi="Times New Roman" w:eastAsia="黑体" w:cs="Times New Roman"/>
                <w:b w:val="0"/>
                <w:bCs/>
                <w:color w:val="000000"/>
                <w:kern w:val="0"/>
                <w:szCs w:val="24"/>
                <w:lang w:val="en-US" w:eastAsia="zh-CN"/>
              </w:rPr>
              <w:t>土壤</w:t>
            </w:r>
            <w:r>
              <w:rPr>
                <w:rFonts w:hint="default" w:ascii="Times New Roman" w:hAnsi="Times New Roman" w:eastAsia="黑体" w:cs="Times New Roman"/>
                <w:b w:val="0"/>
                <w:bCs/>
                <w:color w:val="000000"/>
                <w:kern w:val="0"/>
                <w:szCs w:val="24"/>
                <w:lang w:eastAsia="zh-CN"/>
              </w:rPr>
              <w:t>环境影响分析</w:t>
            </w:r>
          </w:p>
          <w:p w14:paraId="2CC6AE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z w:val="24"/>
                <w:szCs w:val="24"/>
                <w:highlight w:val="none"/>
                <w:u w:val="none"/>
                <w:lang w:val="en-US" w:eastAsia="zh-CN"/>
              </w:rPr>
            </w:pP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1</w:t>
            </w: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地下水环境影响分析</w:t>
            </w:r>
          </w:p>
          <w:p w14:paraId="29D24A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z w:val="24"/>
                <w:szCs w:val="24"/>
                <w:highlight w:val="none"/>
                <w:u w:val="none"/>
                <w:lang w:eastAsia="zh-CN"/>
              </w:rPr>
            </w:pPr>
            <w:r>
              <w:rPr>
                <w:rFonts w:hint="default" w:ascii="Times New Roman" w:hAnsi="Times New Roman" w:eastAsia="宋体" w:cs="Times New Roman"/>
                <w:b w:val="0"/>
                <w:bCs w:val="0"/>
                <w:sz w:val="24"/>
                <w:szCs w:val="24"/>
                <w:highlight w:val="none"/>
                <w:u w:val="none"/>
              </w:rPr>
              <w:t>根据《环境影响评价技术导则 地下水环境》（HJ610-2016）附录A，本项目属于IV类建设项目，可不开展地下水环境影响评价工作；为确保项目对地下水不会造成较大影响，建议企业按照《环境影响评价技术导则地下水环境》（HJ610-2016）落实分区防渗要求。根据厂区可能泄漏至地面区域污染物的性质和生产单元的构筑方式，以及潜在的地下水污染源分类分析，将项目划分为一般防渗区、简单防渗区、重点防渗区</w:t>
            </w:r>
            <w:r>
              <w:rPr>
                <w:rFonts w:hint="eastAsia" w:eastAsia="宋体" w:cs="Times New Roman"/>
                <w:b w:val="0"/>
                <w:bCs w:val="0"/>
                <w:sz w:val="24"/>
                <w:szCs w:val="24"/>
                <w:highlight w:val="none"/>
                <w:u w:val="none"/>
                <w:lang w:eastAsia="zh-CN"/>
              </w:rPr>
              <w:t>，</w:t>
            </w:r>
            <w:r>
              <w:rPr>
                <w:rFonts w:hint="eastAsia" w:eastAsia="宋体" w:cs="Times New Roman"/>
                <w:b w:val="0"/>
                <w:bCs w:val="0"/>
                <w:sz w:val="24"/>
                <w:szCs w:val="24"/>
                <w:highlight w:val="none"/>
                <w:u w:val="none"/>
                <w:lang w:val="en-US" w:eastAsia="zh-CN"/>
              </w:rPr>
              <w:t>厂区分区</w:t>
            </w:r>
            <w:r>
              <w:rPr>
                <w:rFonts w:hint="default" w:ascii="Times New Roman" w:hAnsi="Times New Roman" w:eastAsia="宋体" w:cs="Times New Roman"/>
                <w:b w:val="0"/>
                <w:bCs w:val="0"/>
                <w:sz w:val="24"/>
                <w:szCs w:val="24"/>
                <w:highlight w:val="none"/>
                <w:u w:val="none"/>
              </w:rPr>
              <w:t>防渗</w:t>
            </w:r>
            <w:r>
              <w:rPr>
                <w:rFonts w:hint="eastAsia" w:eastAsia="宋体" w:cs="Times New Roman"/>
                <w:b w:val="0"/>
                <w:bCs w:val="0"/>
                <w:sz w:val="24"/>
                <w:szCs w:val="24"/>
                <w:highlight w:val="none"/>
                <w:u w:val="none"/>
                <w:lang w:val="en-US" w:eastAsia="zh-CN"/>
              </w:rPr>
              <w:t>设置情况</w:t>
            </w:r>
            <w:r>
              <w:rPr>
                <w:rFonts w:hint="default" w:ascii="Times New Roman" w:hAnsi="Times New Roman" w:eastAsia="宋体" w:cs="Times New Roman"/>
                <w:b w:val="0"/>
                <w:bCs w:val="0"/>
                <w:sz w:val="24"/>
                <w:szCs w:val="24"/>
                <w:highlight w:val="none"/>
                <w:u w:val="none"/>
              </w:rPr>
              <w:t>见下表</w:t>
            </w:r>
            <w:r>
              <w:rPr>
                <w:rFonts w:hint="eastAsia" w:eastAsia="宋体" w:cs="Times New Roman"/>
                <w:b w:val="0"/>
                <w:bCs w:val="0"/>
                <w:sz w:val="24"/>
                <w:szCs w:val="24"/>
                <w:highlight w:val="none"/>
                <w:u w:val="none"/>
                <w:lang w:eastAsia="zh-CN"/>
              </w:rPr>
              <w:t>。</w:t>
            </w:r>
          </w:p>
          <w:p w14:paraId="38268000">
            <w:pPr>
              <w:spacing w:line="360" w:lineRule="auto"/>
              <w:jc w:val="center"/>
              <w:rPr>
                <w:rFonts w:hAnsi="黑体" w:eastAsia="黑体" w:cs="Times New Roman"/>
                <w:b w:val="0"/>
                <w:bCs w:val="0"/>
                <w:u w:val="none" w:color="auto"/>
              </w:rPr>
            </w:pPr>
            <w:r>
              <w:rPr>
                <w:rFonts w:hint="eastAsia" w:hAnsi="黑体" w:eastAsia="黑体" w:cs="Times New Roman"/>
                <w:b w:val="0"/>
                <w:bCs w:val="0"/>
                <w:u w:val="none" w:color="auto"/>
              </w:rPr>
              <w:t>表4-</w:t>
            </w:r>
            <w:r>
              <w:rPr>
                <w:rFonts w:hint="eastAsia" w:hAnsi="黑体" w:eastAsia="黑体" w:cs="Times New Roman"/>
                <w:b w:val="0"/>
                <w:bCs w:val="0"/>
                <w:u w:val="none" w:color="auto"/>
                <w:lang w:val="en-US" w:eastAsia="zh-CN"/>
              </w:rPr>
              <w:t>11</w:t>
            </w:r>
            <w:r>
              <w:rPr>
                <w:rFonts w:hint="eastAsia" w:hAnsi="黑体" w:eastAsia="黑体" w:cs="Times New Roman"/>
                <w:b w:val="0"/>
                <w:bCs w:val="0"/>
                <w:u w:val="none" w:color="auto"/>
              </w:rPr>
              <w:t xml:space="preserve">  </w:t>
            </w:r>
            <w:r>
              <w:rPr>
                <w:rFonts w:hint="eastAsia" w:hAnsi="黑体" w:eastAsia="黑体" w:cs="Times New Roman"/>
                <w:b w:val="0"/>
                <w:bCs w:val="0"/>
                <w:u w:val="none" w:color="auto"/>
                <w:lang w:val="en-US" w:eastAsia="zh-CN"/>
              </w:rPr>
              <w:t>厂区分区防渗设置情况</w:t>
            </w:r>
            <w:r>
              <w:rPr>
                <w:rFonts w:hint="eastAsia" w:hAnsi="黑体" w:eastAsia="黑体" w:cs="Times New Roman"/>
                <w:b w:val="0"/>
                <w:bCs w:val="0"/>
                <w:u w:val="none" w:color="auto"/>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498"/>
              <w:gridCol w:w="2547"/>
              <w:gridCol w:w="4513"/>
            </w:tblGrid>
            <w:tr w14:paraId="018C0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75" w:type="pct"/>
                  <w:tcBorders>
                    <w:tl2br w:val="nil"/>
                    <w:tr2bl w:val="nil"/>
                  </w:tcBorders>
                  <w:noWrap w:val="0"/>
                  <w:vAlign w:val="center"/>
                </w:tcPr>
                <w:p w14:paraId="3B5467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防渗等级</w:t>
                  </w:r>
                </w:p>
              </w:tc>
              <w:tc>
                <w:tcPr>
                  <w:tcW w:w="1488" w:type="pct"/>
                  <w:tcBorders>
                    <w:tl2br w:val="nil"/>
                    <w:tr2bl w:val="nil"/>
                  </w:tcBorders>
                  <w:noWrap w:val="0"/>
                  <w:vAlign w:val="center"/>
                </w:tcPr>
                <w:p w14:paraId="71AF50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区域</w:t>
                  </w:r>
                </w:p>
              </w:tc>
              <w:tc>
                <w:tcPr>
                  <w:tcW w:w="2636" w:type="pct"/>
                  <w:tcBorders>
                    <w:tl2br w:val="nil"/>
                    <w:tr2bl w:val="nil"/>
                  </w:tcBorders>
                  <w:noWrap w:val="0"/>
                  <w:vAlign w:val="center"/>
                </w:tcPr>
                <w:p w14:paraId="3079EF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b w:val="0"/>
                      <w:bCs w:val="0"/>
                      <w:sz w:val="21"/>
                      <w:szCs w:val="21"/>
                      <w:u w:val="none" w:color="auto"/>
                      <w:lang w:eastAsia="zh-CN"/>
                    </w:rPr>
                  </w:pPr>
                  <w:r>
                    <w:rPr>
                      <w:rFonts w:hint="eastAsia"/>
                      <w:b w:val="0"/>
                      <w:bCs w:val="0"/>
                      <w:sz w:val="21"/>
                      <w:szCs w:val="21"/>
                      <w:u w:val="none" w:color="auto"/>
                      <w:lang w:val="en-US" w:eastAsia="zh-CN"/>
                    </w:rPr>
                    <w:t>措施</w:t>
                  </w:r>
                </w:p>
              </w:tc>
            </w:tr>
            <w:tr w14:paraId="08343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75" w:type="pct"/>
                  <w:tcBorders>
                    <w:tl2br w:val="nil"/>
                    <w:tr2bl w:val="nil"/>
                  </w:tcBorders>
                  <w:noWrap w:val="0"/>
                  <w:vAlign w:val="center"/>
                </w:tcPr>
                <w:p w14:paraId="13594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重点防渗区</w:t>
                  </w:r>
                </w:p>
              </w:tc>
              <w:tc>
                <w:tcPr>
                  <w:tcW w:w="1488" w:type="pct"/>
                  <w:tcBorders>
                    <w:tl2br w:val="nil"/>
                    <w:tr2bl w:val="nil"/>
                  </w:tcBorders>
                  <w:noWrap w:val="0"/>
                  <w:vAlign w:val="center"/>
                </w:tcPr>
                <w:p w14:paraId="768B65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危废暂存间、化粪池</w:t>
                  </w:r>
                </w:p>
              </w:tc>
              <w:tc>
                <w:tcPr>
                  <w:tcW w:w="2636" w:type="pct"/>
                  <w:tcBorders>
                    <w:tl2br w:val="nil"/>
                    <w:tr2bl w:val="nil"/>
                  </w:tcBorders>
                  <w:noWrap w:val="0"/>
                  <w:vAlign w:val="center"/>
                </w:tcPr>
                <w:p w14:paraId="2B10BD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防渗材料考虑HDPE防渗膜或水泥基渗透结晶型防渗材料，等效黏土防渗层Mb≥6m，防渗层渗透系数K≤10</w:t>
                  </w:r>
                  <w:r>
                    <w:rPr>
                      <w:rFonts w:hint="default" w:eastAsiaTheme="minorEastAsia"/>
                      <w:b w:val="0"/>
                      <w:bCs w:val="0"/>
                      <w:sz w:val="21"/>
                      <w:szCs w:val="21"/>
                      <w:u w:val="none" w:color="auto"/>
                      <w:vertAlign w:val="superscript"/>
                      <w:lang w:val="en-US" w:eastAsia="zh-CN"/>
                    </w:rPr>
                    <w:t>-7</w:t>
                  </w:r>
                  <w:r>
                    <w:rPr>
                      <w:rFonts w:hint="default" w:eastAsiaTheme="minorEastAsia"/>
                      <w:b w:val="0"/>
                      <w:bCs w:val="0"/>
                      <w:sz w:val="21"/>
                      <w:szCs w:val="21"/>
                      <w:u w:val="none" w:color="auto"/>
                      <w:lang w:val="en-US" w:eastAsia="zh-CN"/>
                    </w:rPr>
                    <w:t>cm/s</w:t>
                  </w:r>
                </w:p>
              </w:tc>
            </w:tr>
            <w:tr w14:paraId="757D3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75" w:type="pct"/>
                  <w:tcBorders>
                    <w:tl2br w:val="nil"/>
                    <w:tr2bl w:val="nil"/>
                  </w:tcBorders>
                  <w:noWrap w:val="0"/>
                  <w:vAlign w:val="center"/>
                </w:tcPr>
                <w:p w14:paraId="7C5DE4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一般防渗区</w:t>
                  </w:r>
                </w:p>
              </w:tc>
              <w:tc>
                <w:tcPr>
                  <w:tcW w:w="1488" w:type="pct"/>
                  <w:tcBorders>
                    <w:tl2br w:val="nil"/>
                    <w:tr2bl w:val="nil"/>
                  </w:tcBorders>
                  <w:noWrap w:val="0"/>
                  <w:vAlign w:val="center"/>
                </w:tcPr>
                <w:p w14:paraId="1EC2B5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生产车间、仓库、一般固废暂存间等</w:t>
                  </w:r>
                </w:p>
              </w:tc>
              <w:tc>
                <w:tcPr>
                  <w:tcW w:w="2636" w:type="pct"/>
                  <w:tcBorders>
                    <w:tl2br w:val="nil"/>
                    <w:tr2bl w:val="nil"/>
                  </w:tcBorders>
                  <w:noWrap w:val="0"/>
                  <w:vAlign w:val="center"/>
                </w:tcPr>
                <w:p w14:paraId="0E673C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钢筋混凝土加防渗剂等防腐防渗漏设计，等效黏土防渗层Mb≥1.5m，防渗层渗透系数K≤10</w:t>
                  </w:r>
                  <w:r>
                    <w:rPr>
                      <w:rFonts w:hint="default" w:eastAsiaTheme="minorEastAsia"/>
                      <w:b w:val="0"/>
                      <w:bCs w:val="0"/>
                      <w:sz w:val="21"/>
                      <w:szCs w:val="21"/>
                      <w:u w:val="none" w:color="auto"/>
                      <w:vertAlign w:val="superscript"/>
                      <w:lang w:val="en-US" w:eastAsia="zh-CN"/>
                    </w:rPr>
                    <w:t>-7</w:t>
                  </w:r>
                  <w:r>
                    <w:rPr>
                      <w:rFonts w:hint="default" w:eastAsiaTheme="minorEastAsia"/>
                      <w:b w:val="0"/>
                      <w:bCs w:val="0"/>
                      <w:sz w:val="21"/>
                      <w:szCs w:val="21"/>
                      <w:u w:val="none" w:color="auto"/>
                      <w:lang w:val="en-US" w:eastAsia="zh-CN"/>
                    </w:rPr>
                    <w:t>cm/s</w:t>
                  </w:r>
                </w:p>
              </w:tc>
            </w:tr>
            <w:tr w14:paraId="12645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875" w:type="pct"/>
                  <w:tcBorders>
                    <w:tl2br w:val="nil"/>
                    <w:tr2bl w:val="nil"/>
                  </w:tcBorders>
                  <w:noWrap w:val="0"/>
                  <w:vAlign w:val="center"/>
                </w:tcPr>
                <w:p w14:paraId="61E54C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简单防渗区</w:t>
                  </w:r>
                </w:p>
              </w:tc>
              <w:tc>
                <w:tcPr>
                  <w:tcW w:w="1488" w:type="pct"/>
                  <w:tcBorders>
                    <w:tl2br w:val="nil"/>
                    <w:tr2bl w:val="nil"/>
                  </w:tcBorders>
                  <w:noWrap w:val="0"/>
                  <w:vAlign w:val="center"/>
                </w:tcPr>
                <w:p w14:paraId="4F42F0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除绿化以外的其他区域（厂区道路等）</w:t>
                  </w:r>
                </w:p>
              </w:tc>
              <w:tc>
                <w:tcPr>
                  <w:tcW w:w="2636" w:type="pct"/>
                  <w:tcBorders>
                    <w:tl2br w:val="nil"/>
                    <w:tr2bl w:val="nil"/>
                  </w:tcBorders>
                  <w:noWrap w:val="0"/>
                  <w:vAlign w:val="center"/>
                </w:tcPr>
                <w:p w14:paraId="436DC1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一般地面硬化</w:t>
                  </w:r>
                </w:p>
              </w:tc>
            </w:tr>
          </w:tbl>
          <w:p w14:paraId="7A8C64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z w:val="24"/>
                <w:szCs w:val="24"/>
                <w:highlight w:val="none"/>
                <w:u w:val="none"/>
                <w:lang w:val="en-US" w:eastAsia="zh-CN"/>
              </w:rPr>
            </w:pPr>
            <w:r>
              <w:rPr>
                <w:rFonts w:hint="eastAsia" w:eastAsia="宋体" w:cs="Times New Roman"/>
                <w:b w:val="0"/>
                <w:bCs w:val="0"/>
                <w:sz w:val="24"/>
                <w:szCs w:val="24"/>
                <w:highlight w:val="none"/>
                <w:u w:val="none"/>
                <w:lang w:eastAsia="zh-CN"/>
              </w:rPr>
              <w:t>（</w:t>
            </w:r>
            <w:r>
              <w:rPr>
                <w:rFonts w:hint="eastAsia" w:eastAsia="宋体" w:cs="Times New Roman"/>
                <w:b w:val="0"/>
                <w:bCs w:val="0"/>
                <w:sz w:val="24"/>
                <w:szCs w:val="24"/>
                <w:highlight w:val="none"/>
                <w:u w:val="none"/>
                <w:lang w:val="en-US" w:eastAsia="zh-CN"/>
              </w:rPr>
              <w:t>2</w:t>
            </w:r>
            <w:r>
              <w:rPr>
                <w:rFonts w:hint="eastAsia" w:eastAsia="宋体" w:cs="Times New Roman"/>
                <w:b w:val="0"/>
                <w:bCs w:val="0"/>
                <w:sz w:val="24"/>
                <w:szCs w:val="24"/>
                <w:highlight w:val="none"/>
                <w:u w:val="none"/>
                <w:lang w:eastAsia="zh-CN"/>
              </w:rPr>
              <w:t>）</w:t>
            </w:r>
            <w:r>
              <w:rPr>
                <w:rFonts w:hint="eastAsia" w:eastAsia="宋体" w:cs="Times New Roman"/>
                <w:b w:val="0"/>
                <w:bCs w:val="0"/>
                <w:sz w:val="24"/>
                <w:szCs w:val="24"/>
                <w:highlight w:val="none"/>
                <w:u w:val="none"/>
                <w:lang w:val="en-US" w:eastAsia="zh-CN"/>
              </w:rPr>
              <w:t>土壤环境影响分析</w:t>
            </w:r>
          </w:p>
          <w:p w14:paraId="45B8214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eastAsia"/>
                <w:color w:val="000000"/>
                <w:sz w:val="24"/>
              </w:rPr>
            </w:pPr>
            <w:r>
              <w:rPr>
                <w:rFonts w:hint="eastAsia"/>
                <w:color w:val="000000"/>
                <w:sz w:val="24"/>
              </w:rPr>
              <w:t>根据《建设项目环境影响报告表编制技术指南（污染影响类）（试行）》，本项目对土壤的环境影响分析如下：</w:t>
            </w:r>
          </w:p>
          <w:p w14:paraId="3A086E95">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eastAsia"/>
                <w:color w:val="000000"/>
                <w:sz w:val="24"/>
              </w:rPr>
            </w:pPr>
            <w:r>
              <w:rPr>
                <w:rFonts w:hint="eastAsia"/>
                <w:color w:val="000000"/>
                <w:sz w:val="24"/>
              </w:rPr>
              <w:t>大气沉降：本项目生产过程中排放的废气污染因子为颗粒物、有机废气，不属于重金属、持久性有机污染物、难降解有机污染物（苯系物等）以及最高法司法解释中规定的（主要有危废、剧毒化合物、重金属、农药等持久性有机污染物），因此本项目无需考虑大气沉降对土壤的影响。</w:t>
            </w:r>
          </w:p>
          <w:p w14:paraId="0B9FD78A">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eastAsia"/>
                <w:color w:val="000000"/>
                <w:sz w:val="24"/>
              </w:rPr>
            </w:pPr>
            <w:r>
              <w:rPr>
                <w:rFonts w:hint="eastAsia"/>
                <w:color w:val="000000"/>
                <w:sz w:val="24"/>
              </w:rPr>
              <w:t>地表漫流：</w:t>
            </w:r>
            <w:r>
              <w:rPr>
                <w:rFonts w:hint="eastAsia"/>
                <w:color w:val="000000"/>
                <w:sz w:val="24"/>
                <w:lang w:val="en-US" w:eastAsia="zh-CN"/>
              </w:rPr>
              <w:t>本项目外排废水</w:t>
            </w:r>
            <w:r>
              <w:rPr>
                <w:rFonts w:hint="eastAsia"/>
                <w:color w:val="000000"/>
                <w:sz w:val="24"/>
              </w:rPr>
              <w:t>为职工生活污水，由市政污水管网排入镇平县第二污水处理厂，为间接排放，不涉及地表漫流。因此本项目无需考虑地表漫流对土壤产生影响。</w:t>
            </w:r>
          </w:p>
          <w:p w14:paraId="000A4532">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eastAsia"/>
                <w:color w:val="000000"/>
                <w:sz w:val="24"/>
              </w:rPr>
            </w:pPr>
            <w:r>
              <w:rPr>
                <w:rFonts w:hint="eastAsia"/>
                <w:color w:val="000000"/>
                <w:sz w:val="24"/>
              </w:rPr>
              <w:t>垂直入渗：本项目危废暂存间</w:t>
            </w:r>
            <w:r>
              <w:rPr>
                <w:rFonts w:hint="eastAsia"/>
                <w:color w:val="000000"/>
                <w:sz w:val="24"/>
                <w:lang w:eastAsia="zh-CN"/>
              </w:rPr>
              <w:t>、</w:t>
            </w:r>
            <w:r>
              <w:rPr>
                <w:rFonts w:hint="eastAsia"/>
                <w:color w:val="000000"/>
                <w:sz w:val="24"/>
                <w:lang w:val="en-US" w:eastAsia="zh-CN"/>
              </w:rPr>
              <w:t>化粪池均</w:t>
            </w:r>
            <w:r>
              <w:rPr>
                <w:rFonts w:hint="eastAsia"/>
                <w:color w:val="000000"/>
                <w:sz w:val="24"/>
              </w:rPr>
              <w:t>设置为重点防渗区，地面铺设防渗材料，渗透系数</w:t>
            </w:r>
            <w:r>
              <w:rPr>
                <w:rFonts w:hint="default" w:ascii="Times New Roman" w:hAnsi="Times New Roman" w:cs="Times New Roman"/>
                <w:color w:val="000000"/>
                <w:sz w:val="24"/>
              </w:rPr>
              <w:t>≤</w:t>
            </w:r>
            <w:r>
              <w:rPr>
                <w:rFonts w:hint="eastAsia"/>
                <w:color w:val="000000"/>
                <w:sz w:val="24"/>
              </w:rPr>
              <w:t>10</w:t>
            </w:r>
            <w:r>
              <w:rPr>
                <w:rFonts w:hint="eastAsia"/>
                <w:color w:val="000000"/>
                <w:sz w:val="24"/>
                <w:vertAlign w:val="superscript"/>
              </w:rPr>
              <w:t>-10</w:t>
            </w:r>
            <w:r>
              <w:rPr>
                <w:rFonts w:hint="eastAsia"/>
                <w:color w:val="000000"/>
                <w:sz w:val="24"/>
              </w:rPr>
              <w:t>cm/s，并设渗滤液导流设施。物料一旦发生泄漏，及时清理进行维修，防止通过垂直入渗造成土壤环境受到污染。</w:t>
            </w:r>
          </w:p>
          <w:p w14:paraId="3124E4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Calibri" w:eastAsia="宋体" w:cs="宋体"/>
                <w:b w:val="0"/>
                <w:bCs w:val="0"/>
                <w:snapToGrid/>
                <w:color w:val="auto"/>
                <w:kern w:val="0"/>
                <w:sz w:val="24"/>
                <w:szCs w:val="24"/>
                <w:u w:val="none"/>
                <w:lang w:val="en-US" w:eastAsia="zh-CN"/>
              </w:rPr>
            </w:pPr>
            <w:r>
              <w:rPr>
                <w:rFonts w:hint="eastAsia"/>
                <w:color w:val="000000"/>
                <w:sz w:val="24"/>
              </w:rPr>
              <w:t>综上，本项目对区域土壤环境污染影响很小。</w:t>
            </w:r>
          </w:p>
          <w:p w14:paraId="7C32047B">
            <w:pPr>
              <w:spacing w:line="360" w:lineRule="auto"/>
              <w:ind w:left="0" w:leftChars="0" w:firstLine="0" w:firstLineChars="0"/>
              <w:rPr>
                <w:rFonts w:hint="default" w:ascii="Times New Roman" w:hAnsi="Times New Roman" w:eastAsia="黑体" w:cs="Times New Roman"/>
                <w:b w:val="0"/>
                <w:bCs/>
                <w:u w:val="none"/>
              </w:rPr>
            </w:pPr>
            <w:r>
              <w:rPr>
                <w:rFonts w:hint="default" w:ascii="Times New Roman" w:hAnsi="Times New Roman" w:eastAsia="黑体" w:cs="Times New Roman"/>
                <w:b w:val="0"/>
                <w:bCs/>
                <w:u w:val="none"/>
                <w:lang w:val="en-US" w:eastAsia="zh-CN"/>
              </w:rPr>
              <w:t>6</w:t>
            </w:r>
            <w:r>
              <w:rPr>
                <w:rFonts w:hint="default" w:ascii="Times New Roman" w:hAnsi="Times New Roman" w:eastAsia="黑体" w:cs="Times New Roman"/>
                <w:b w:val="0"/>
                <w:bCs/>
                <w:u w:val="none"/>
              </w:rPr>
              <w:t>、环境风险分析</w:t>
            </w:r>
          </w:p>
          <w:p w14:paraId="19CF3D74">
            <w:pPr>
              <w:spacing w:line="360" w:lineRule="auto"/>
              <w:ind w:firstLine="480" w:firstLineChars="200"/>
              <w:rPr>
                <w:rFonts w:hint="eastAsia" w:eastAsiaTheme="minorEastAsia"/>
                <w:b w:val="0"/>
                <w:bCs w:val="0"/>
                <w:color w:val="000000"/>
                <w:szCs w:val="24"/>
                <w:u w:val="none"/>
                <w:lang w:eastAsia="zh-CN"/>
              </w:rPr>
            </w:pPr>
            <w:r>
              <w:rPr>
                <w:rFonts w:hint="eastAsia"/>
                <w:b w:val="0"/>
                <w:bCs w:val="0"/>
                <w:color w:val="000000"/>
                <w:szCs w:val="24"/>
                <w:u w:val="none"/>
                <w:lang w:val="en-US" w:eastAsia="zh-CN"/>
              </w:rPr>
              <w:t>6.1</w:t>
            </w:r>
            <w:r>
              <w:rPr>
                <w:rFonts w:hint="eastAsia"/>
                <w:b w:val="0"/>
                <w:bCs w:val="0"/>
                <w:color w:val="000000"/>
                <w:szCs w:val="24"/>
                <w:u w:val="none"/>
              </w:rPr>
              <w:t>风险</w:t>
            </w:r>
            <w:r>
              <w:rPr>
                <w:rFonts w:hint="eastAsia"/>
                <w:b w:val="0"/>
                <w:bCs w:val="0"/>
                <w:color w:val="000000"/>
                <w:szCs w:val="24"/>
                <w:u w:val="none"/>
                <w:lang w:eastAsia="zh-CN"/>
              </w:rPr>
              <w:t>源调查</w:t>
            </w:r>
          </w:p>
          <w:p w14:paraId="1C736D2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b w:val="0"/>
                <w:bCs w:val="0"/>
                <w:color w:val="000000"/>
                <w:sz w:val="24"/>
                <w:szCs w:val="24"/>
                <w:u w:val="single"/>
                <w:lang w:val="en-US" w:eastAsia="zh-CN"/>
              </w:rPr>
            </w:pPr>
            <w:r>
              <w:rPr>
                <w:rFonts w:hint="eastAsia" w:ascii="Times New Roman" w:hAnsi="Times New Roman"/>
                <w:b w:val="0"/>
                <w:bCs w:val="0"/>
                <w:szCs w:val="24"/>
                <w:u w:val="none"/>
              </w:rPr>
              <w:t>对照《建设项目环境风险评价技术导则》（HJ169-2018）附录B，</w:t>
            </w:r>
            <w:r>
              <w:rPr>
                <w:rFonts w:hint="eastAsia"/>
                <w:b w:val="0"/>
                <w:bCs w:val="0"/>
                <w:szCs w:val="24"/>
                <w:u w:val="none"/>
                <w:lang w:val="en-US" w:eastAsia="zh-CN"/>
              </w:rPr>
              <w:t>本</w:t>
            </w:r>
            <w:r>
              <w:rPr>
                <w:rFonts w:hint="eastAsia" w:ascii="Times New Roman" w:hAnsi="Times New Roman"/>
                <w:b w:val="0"/>
                <w:bCs w:val="0"/>
                <w:szCs w:val="24"/>
                <w:u w:val="none"/>
              </w:rPr>
              <w:t>项目涉及的</w:t>
            </w:r>
            <w:r>
              <w:rPr>
                <w:rFonts w:hint="eastAsia" w:ascii="Times New Roman" w:hAnsi="Times New Roman"/>
                <w:b w:val="0"/>
                <w:bCs w:val="0"/>
                <w:szCs w:val="24"/>
                <w:u w:val="none"/>
                <w:lang w:eastAsia="zh-CN"/>
              </w:rPr>
              <w:t>风险物质为</w:t>
            </w:r>
            <w:r>
              <w:rPr>
                <w:rFonts w:hint="eastAsia"/>
                <w:b w:val="0"/>
                <w:bCs w:val="0"/>
                <w:szCs w:val="24"/>
                <w:u w:val="none"/>
                <w:lang w:val="en-US" w:eastAsia="zh-CN"/>
              </w:rPr>
              <w:t>废润滑油、呋喃树脂等</w:t>
            </w:r>
            <w:r>
              <w:rPr>
                <w:rFonts w:hint="eastAsia"/>
                <w:b w:val="0"/>
                <w:bCs w:val="0"/>
                <w:color w:val="000000"/>
                <w:sz w:val="24"/>
                <w:szCs w:val="24"/>
                <w:u w:val="none"/>
                <w:lang w:eastAsia="zh-CN"/>
              </w:rPr>
              <w:t>，</w:t>
            </w:r>
            <w:r>
              <w:rPr>
                <w:rFonts w:hint="eastAsia"/>
                <w:b w:val="0"/>
                <w:bCs w:val="0"/>
                <w:color w:val="000000"/>
                <w:sz w:val="24"/>
                <w:szCs w:val="24"/>
                <w:u w:val="none"/>
                <w:lang w:val="en-US" w:eastAsia="zh-CN"/>
              </w:rPr>
              <w:t>风险物质分布情况见下表。</w:t>
            </w:r>
          </w:p>
          <w:p w14:paraId="3AB9B7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表4-</w:t>
            </w:r>
            <w:r>
              <w:rPr>
                <w:rFonts w:hint="default" w:ascii="Times New Roman" w:hAnsi="Times New Roman" w:eastAsia="黑体" w:cs="Times New Roman"/>
                <w:lang w:val="en-US" w:eastAsia="zh-CN"/>
              </w:rPr>
              <w:t>12</w:t>
            </w:r>
            <w:r>
              <w:rPr>
                <w:rFonts w:hint="default" w:ascii="Times New Roman" w:hAnsi="Times New Roman" w:eastAsia="黑体" w:cs="Times New Roman"/>
              </w:rPr>
              <w:t xml:space="preserve">  </w:t>
            </w:r>
            <w:r>
              <w:rPr>
                <w:rFonts w:hint="default" w:ascii="Times New Roman" w:hAnsi="Times New Roman" w:eastAsia="黑体" w:cs="Times New Roman"/>
                <w:lang w:val="en-US" w:eastAsia="zh-CN"/>
              </w:rPr>
              <w:t>主要风险物质数量和分布情况</w:t>
            </w:r>
            <w:r>
              <w:rPr>
                <w:rFonts w:hint="default" w:ascii="Times New Roman" w:hAnsi="Times New Roman" w:eastAsia="黑体" w:cs="Times New Roman"/>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02"/>
              <w:gridCol w:w="1329"/>
              <w:gridCol w:w="1209"/>
              <w:gridCol w:w="1726"/>
              <w:gridCol w:w="1527"/>
              <w:gridCol w:w="1865"/>
            </w:tblGrid>
            <w:tr w14:paraId="75504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27" w:type="pct"/>
                  <w:tcBorders>
                    <w:tl2br w:val="nil"/>
                    <w:tr2bl w:val="nil"/>
                  </w:tcBorders>
                  <w:noWrap w:val="0"/>
                  <w:vAlign w:val="center"/>
                </w:tcPr>
                <w:p w14:paraId="6AEED6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序号</w:t>
                  </w:r>
                </w:p>
              </w:tc>
              <w:tc>
                <w:tcPr>
                  <w:tcW w:w="776" w:type="pct"/>
                  <w:tcBorders>
                    <w:tl2br w:val="nil"/>
                    <w:tr2bl w:val="nil"/>
                  </w:tcBorders>
                  <w:noWrap w:val="0"/>
                  <w:vAlign w:val="center"/>
                </w:tcPr>
                <w:p w14:paraId="3B0C85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名称</w:t>
                  </w:r>
                </w:p>
              </w:tc>
              <w:tc>
                <w:tcPr>
                  <w:tcW w:w="706" w:type="pct"/>
                  <w:tcBorders>
                    <w:tl2br w:val="nil"/>
                    <w:tr2bl w:val="nil"/>
                  </w:tcBorders>
                  <w:noWrap w:val="0"/>
                  <w:vAlign w:val="center"/>
                </w:tcPr>
                <w:p w14:paraId="58C272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主要成分</w:t>
                  </w:r>
                </w:p>
              </w:tc>
              <w:tc>
                <w:tcPr>
                  <w:tcW w:w="1008" w:type="pct"/>
                  <w:tcBorders>
                    <w:tl2br w:val="nil"/>
                    <w:tr2bl w:val="nil"/>
                  </w:tcBorders>
                  <w:noWrap w:val="0"/>
                  <w:vAlign w:val="center"/>
                </w:tcPr>
                <w:p w14:paraId="6E4EAB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分布情况</w:t>
                  </w:r>
                </w:p>
              </w:tc>
              <w:tc>
                <w:tcPr>
                  <w:tcW w:w="892" w:type="pct"/>
                  <w:tcBorders>
                    <w:tl2br w:val="nil"/>
                    <w:tr2bl w:val="nil"/>
                  </w:tcBorders>
                  <w:noWrap w:val="0"/>
                  <w:vAlign w:val="center"/>
                </w:tcPr>
                <w:p w14:paraId="655CCD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储存情况</w:t>
                  </w:r>
                </w:p>
              </w:tc>
              <w:tc>
                <w:tcPr>
                  <w:tcW w:w="1089" w:type="pct"/>
                  <w:tcBorders>
                    <w:tl2br w:val="nil"/>
                    <w:tr2bl w:val="nil"/>
                  </w:tcBorders>
                  <w:noWrap w:val="0"/>
                  <w:vAlign w:val="center"/>
                </w:tcPr>
                <w:p w14:paraId="791A0E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最大储存量</w:t>
                  </w:r>
                </w:p>
              </w:tc>
            </w:tr>
            <w:tr w14:paraId="64FE7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27" w:type="pct"/>
                  <w:tcBorders>
                    <w:tl2br w:val="nil"/>
                    <w:tr2bl w:val="nil"/>
                  </w:tcBorders>
                  <w:noWrap w:val="0"/>
                  <w:vAlign w:val="center"/>
                </w:tcPr>
                <w:p w14:paraId="09F4AC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1</w:t>
                  </w:r>
                </w:p>
              </w:tc>
              <w:tc>
                <w:tcPr>
                  <w:tcW w:w="776" w:type="pct"/>
                  <w:tcBorders>
                    <w:tl2br w:val="nil"/>
                    <w:tr2bl w:val="nil"/>
                  </w:tcBorders>
                  <w:noWrap w:val="0"/>
                  <w:vAlign w:val="center"/>
                </w:tcPr>
                <w:p w14:paraId="792ABF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废润滑油</w:t>
                  </w:r>
                </w:p>
              </w:tc>
              <w:tc>
                <w:tcPr>
                  <w:tcW w:w="706" w:type="pct"/>
                  <w:tcBorders>
                    <w:tl2br w:val="nil"/>
                    <w:tr2bl w:val="nil"/>
                  </w:tcBorders>
                  <w:noWrap w:val="0"/>
                  <w:vAlign w:val="center"/>
                </w:tcPr>
                <w:p w14:paraId="3972E3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石油类</w:t>
                  </w:r>
                </w:p>
              </w:tc>
              <w:tc>
                <w:tcPr>
                  <w:tcW w:w="1008" w:type="pct"/>
                  <w:tcBorders>
                    <w:tl2br w:val="nil"/>
                    <w:tr2bl w:val="nil"/>
                  </w:tcBorders>
                  <w:noWrap w:val="0"/>
                  <w:vAlign w:val="center"/>
                </w:tcPr>
                <w:p w14:paraId="30C919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危废暂存间，专用桶收集</w:t>
                  </w:r>
                </w:p>
              </w:tc>
              <w:tc>
                <w:tcPr>
                  <w:tcW w:w="892" w:type="pct"/>
                  <w:tcBorders>
                    <w:tl2br w:val="nil"/>
                    <w:tr2bl w:val="nil"/>
                  </w:tcBorders>
                  <w:noWrap w:val="0"/>
                  <w:vAlign w:val="center"/>
                </w:tcPr>
                <w:p w14:paraId="55179B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按全年最大产生量计</w:t>
                  </w:r>
                </w:p>
              </w:tc>
              <w:tc>
                <w:tcPr>
                  <w:tcW w:w="1089" w:type="pct"/>
                  <w:tcBorders>
                    <w:tl2br w:val="nil"/>
                    <w:tr2bl w:val="nil"/>
                  </w:tcBorders>
                  <w:noWrap w:val="0"/>
                  <w:vAlign w:val="center"/>
                </w:tcPr>
                <w:p w14:paraId="748ABD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eastAsia"/>
                      <w:b w:val="0"/>
                      <w:bCs w:val="0"/>
                      <w:sz w:val="21"/>
                      <w:szCs w:val="21"/>
                      <w:u w:val="none" w:color="auto"/>
                      <w:lang w:val="en-US" w:eastAsia="zh-CN"/>
                    </w:rPr>
                    <w:t>0.5t</w:t>
                  </w:r>
                </w:p>
              </w:tc>
            </w:tr>
            <w:tr w14:paraId="0CC02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27" w:type="pct"/>
                  <w:tcBorders>
                    <w:tl2br w:val="nil"/>
                    <w:tr2bl w:val="nil"/>
                  </w:tcBorders>
                  <w:noWrap w:val="0"/>
                  <w:vAlign w:val="center"/>
                </w:tcPr>
                <w:p w14:paraId="66A265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2</w:t>
                  </w:r>
                </w:p>
              </w:tc>
              <w:tc>
                <w:tcPr>
                  <w:tcW w:w="776" w:type="pct"/>
                  <w:tcBorders>
                    <w:tl2br w:val="nil"/>
                    <w:tr2bl w:val="nil"/>
                  </w:tcBorders>
                  <w:noWrap w:val="0"/>
                  <w:vAlign w:val="center"/>
                </w:tcPr>
                <w:p w14:paraId="589B99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呋喃树脂</w:t>
                  </w:r>
                </w:p>
              </w:tc>
              <w:tc>
                <w:tcPr>
                  <w:tcW w:w="706" w:type="pct"/>
                  <w:tcBorders>
                    <w:tl2br w:val="nil"/>
                    <w:tr2bl w:val="nil"/>
                  </w:tcBorders>
                  <w:noWrap w:val="0"/>
                  <w:vAlign w:val="center"/>
                </w:tcPr>
                <w:p w14:paraId="13A1F0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有机物类</w:t>
                  </w:r>
                </w:p>
              </w:tc>
              <w:tc>
                <w:tcPr>
                  <w:tcW w:w="1008" w:type="pct"/>
                  <w:tcBorders>
                    <w:tl2br w:val="nil"/>
                    <w:tr2bl w:val="nil"/>
                  </w:tcBorders>
                  <w:noWrap w:val="0"/>
                  <w:vAlign w:val="center"/>
                </w:tcPr>
                <w:p w14:paraId="1DF200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原料库，桶装储存</w:t>
                  </w:r>
                </w:p>
              </w:tc>
              <w:tc>
                <w:tcPr>
                  <w:tcW w:w="892" w:type="pct"/>
                  <w:tcBorders>
                    <w:tl2br w:val="nil"/>
                    <w:tr2bl w:val="nil"/>
                  </w:tcBorders>
                  <w:noWrap w:val="0"/>
                  <w:vAlign w:val="center"/>
                </w:tcPr>
                <w:p w14:paraId="6279B8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按全年最大</w:t>
                  </w:r>
                  <w:r>
                    <w:rPr>
                      <w:rFonts w:hint="eastAsia" w:eastAsiaTheme="minorEastAsia"/>
                      <w:b w:val="0"/>
                      <w:bCs w:val="0"/>
                      <w:sz w:val="21"/>
                      <w:szCs w:val="21"/>
                      <w:u w:val="none" w:color="auto"/>
                      <w:lang w:val="en-US" w:eastAsia="zh-CN"/>
                    </w:rPr>
                    <w:t>储存</w:t>
                  </w:r>
                  <w:r>
                    <w:rPr>
                      <w:rFonts w:hint="default" w:eastAsiaTheme="minorEastAsia"/>
                      <w:b w:val="0"/>
                      <w:bCs w:val="0"/>
                      <w:sz w:val="21"/>
                      <w:szCs w:val="21"/>
                      <w:u w:val="none" w:color="auto"/>
                      <w:lang w:val="en-US" w:eastAsia="zh-CN"/>
                    </w:rPr>
                    <w:t>量计</w:t>
                  </w:r>
                </w:p>
              </w:tc>
              <w:tc>
                <w:tcPr>
                  <w:tcW w:w="1089" w:type="pct"/>
                  <w:tcBorders>
                    <w:tl2br w:val="nil"/>
                    <w:tr2bl w:val="nil"/>
                  </w:tcBorders>
                  <w:noWrap w:val="0"/>
                  <w:vAlign w:val="center"/>
                </w:tcPr>
                <w:p w14:paraId="31FA9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10t</w:t>
                  </w:r>
                </w:p>
              </w:tc>
            </w:tr>
            <w:tr w14:paraId="4245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27" w:type="pct"/>
                  <w:tcBorders>
                    <w:tl2br w:val="nil"/>
                    <w:tr2bl w:val="nil"/>
                  </w:tcBorders>
                  <w:noWrap w:val="0"/>
                  <w:vAlign w:val="center"/>
                </w:tcPr>
                <w:p w14:paraId="65F875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3</w:t>
                  </w:r>
                </w:p>
              </w:tc>
              <w:tc>
                <w:tcPr>
                  <w:tcW w:w="776" w:type="pct"/>
                  <w:tcBorders>
                    <w:tl2br w:val="nil"/>
                    <w:tr2bl w:val="nil"/>
                  </w:tcBorders>
                  <w:noWrap w:val="0"/>
                  <w:vAlign w:val="center"/>
                </w:tcPr>
                <w:p w14:paraId="2D3D97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固化剂</w:t>
                  </w:r>
                </w:p>
              </w:tc>
              <w:tc>
                <w:tcPr>
                  <w:tcW w:w="1209" w:type="dxa"/>
                  <w:tcBorders>
                    <w:tl2br w:val="nil"/>
                    <w:tr2bl w:val="nil"/>
                  </w:tcBorders>
                  <w:noWrap w:val="0"/>
                  <w:vAlign w:val="center"/>
                </w:tcPr>
                <w:p w14:paraId="01BFE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val="0"/>
                      <w:bCs w:val="0"/>
                      <w:sz w:val="21"/>
                      <w:szCs w:val="21"/>
                      <w:u w:val="none" w:color="auto"/>
                      <w:lang w:val="en-US" w:eastAsia="zh-CN"/>
                    </w:rPr>
                  </w:pPr>
                  <w:r>
                    <w:rPr>
                      <w:rFonts w:hint="eastAsia"/>
                      <w:b w:val="0"/>
                      <w:bCs w:val="0"/>
                      <w:sz w:val="21"/>
                      <w:szCs w:val="21"/>
                      <w:u w:val="none" w:color="auto"/>
                      <w:lang w:val="en-US" w:eastAsia="zh-CN"/>
                    </w:rPr>
                    <w:t>有机物类</w:t>
                  </w:r>
                </w:p>
              </w:tc>
              <w:tc>
                <w:tcPr>
                  <w:tcW w:w="1726" w:type="dxa"/>
                  <w:tcBorders>
                    <w:tl2br w:val="nil"/>
                    <w:tr2bl w:val="nil"/>
                  </w:tcBorders>
                  <w:noWrap w:val="0"/>
                  <w:vAlign w:val="center"/>
                </w:tcPr>
                <w:p w14:paraId="479346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val="0"/>
                      <w:bCs w:val="0"/>
                      <w:sz w:val="21"/>
                      <w:szCs w:val="21"/>
                      <w:u w:val="none" w:color="auto"/>
                      <w:lang w:val="en-US" w:eastAsia="zh-CN"/>
                    </w:rPr>
                  </w:pPr>
                  <w:r>
                    <w:rPr>
                      <w:rFonts w:hint="eastAsia"/>
                      <w:b w:val="0"/>
                      <w:bCs w:val="0"/>
                      <w:sz w:val="21"/>
                      <w:szCs w:val="21"/>
                      <w:u w:val="none" w:color="auto"/>
                      <w:lang w:val="en-US" w:eastAsia="zh-CN"/>
                    </w:rPr>
                    <w:t>原料库，桶装储存</w:t>
                  </w:r>
                </w:p>
              </w:tc>
              <w:tc>
                <w:tcPr>
                  <w:tcW w:w="1527" w:type="dxa"/>
                  <w:tcBorders>
                    <w:tl2br w:val="nil"/>
                    <w:tr2bl w:val="nil"/>
                  </w:tcBorders>
                  <w:noWrap w:val="0"/>
                  <w:vAlign w:val="center"/>
                </w:tcPr>
                <w:p w14:paraId="748E2B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b w:val="0"/>
                      <w:bCs w:val="0"/>
                      <w:sz w:val="21"/>
                      <w:szCs w:val="21"/>
                      <w:u w:val="none" w:color="auto"/>
                      <w:lang w:val="en-US" w:eastAsia="zh-CN"/>
                    </w:rPr>
                  </w:pPr>
                  <w:r>
                    <w:rPr>
                      <w:rFonts w:hint="default" w:eastAsiaTheme="minorEastAsia"/>
                      <w:b w:val="0"/>
                      <w:bCs w:val="0"/>
                      <w:sz w:val="21"/>
                      <w:szCs w:val="21"/>
                      <w:u w:val="none" w:color="auto"/>
                      <w:lang w:val="en-US" w:eastAsia="zh-CN"/>
                    </w:rPr>
                    <w:t>按全年最大</w:t>
                  </w:r>
                  <w:r>
                    <w:rPr>
                      <w:rFonts w:hint="eastAsia" w:eastAsiaTheme="minorEastAsia"/>
                      <w:b w:val="0"/>
                      <w:bCs w:val="0"/>
                      <w:sz w:val="21"/>
                      <w:szCs w:val="21"/>
                      <w:u w:val="none" w:color="auto"/>
                      <w:lang w:val="en-US" w:eastAsia="zh-CN"/>
                    </w:rPr>
                    <w:t>储存</w:t>
                  </w:r>
                  <w:r>
                    <w:rPr>
                      <w:rFonts w:hint="default" w:eastAsiaTheme="minorEastAsia"/>
                      <w:b w:val="0"/>
                      <w:bCs w:val="0"/>
                      <w:sz w:val="21"/>
                      <w:szCs w:val="21"/>
                      <w:u w:val="none" w:color="auto"/>
                      <w:lang w:val="en-US" w:eastAsia="zh-CN"/>
                    </w:rPr>
                    <w:t>量计</w:t>
                  </w:r>
                </w:p>
              </w:tc>
              <w:tc>
                <w:tcPr>
                  <w:tcW w:w="1089" w:type="pct"/>
                  <w:tcBorders>
                    <w:tl2br w:val="nil"/>
                    <w:tr2bl w:val="nil"/>
                  </w:tcBorders>
                  <w:noWrap w:val="0"/>
                  <w:vAlign w:val="center"/>
                </w:tcPr>
                <w:p w14:paraId="506BD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u w:val="none" w:color="auto"/>
                      <w:lang w:val="en-US" w:eastAsia="zh-CN"/>
                    </w:rPr>
                  </w:pPr>
                  <w:r>
                    <w:rPr>
                      <w:rFonts w:hint="eastAsia"/>
                      <w:b w:val="0"/>
                      <w:bCs w:val="0"/>
                      <w:sz w:val="21"/>
                      <w:szCs w:val="21"/>
                      <w:u w:val="none" w:color="auto"/>
                      <w:lang w:val="en-US" w:eastAsia="zh-CN"/>
                    </w:rPr>
                    <w:t>5t</w:t>
                  </w:r>
                </w:p>
              </w:tc>
            </w:tr>
          </w:tbl>
          <w:p w14:paraId="2FC2AAC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b w:val="0"/>
                <w:bCs w:val="0"/>
                <w:color w:val="000000"/>
                <w:sz w:val="24"/>
                <w:szCs w:val="24"/>
                <w:u w:val="none"/>
                <w:lang w:eastAsia="zh-CN"/>
              </w:rPr>
            </w:pPr>
            <w:r>
              <w:rPr>
                <w:rFonts w:hint="eastAsia"/>
                <w:b w:val="0"/>
                <w:bCs w:val="0"/>
                <w:color w:val="000000"/>
                <w:sz w:val="24"/>
                <w:szCs w:val="24"/>
                <w:u w:val="none"/>
                <w:lang w:val="en-US" w:eastAsia="zh-CN"/>
              </w:rPr>
              <w:t>6.2</w:t>
            </w:r>
            <w:r>
              <w:rPr>
                <w:rFonts w:hint="eastAsia"/>
                <w:b w:val="0"/>
                <w:bCs w:val="0"/>
                <w:color w:val="000000"/>
                <w:sz w:val="24"/>
                <w:szCs w:val="24"/>
                <w:u w:val="none"/>
                <w:lang w:eastAsia="zh-CN"/>
              </w:rPr>
              <w:t>环境风险潜势初判及评价等级确定</w:t>
            </w:r>
          </w:p>
          <w:p w14:paraId="2EA75E4F">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b w:val="0"/>
                <w:bCs w:val="0"/>
                <w:color w:val="000000"/>
                <w:sz w:val="24"/>
                <w:szCs w:val="24"/>
                <w:u w:val="none"/>
                <w:lang w:eastAsia="zh-CN"/>
              </w:rPr>
            </w:pPr>
            <w:r>
              <w:rPr>
                <w:rFonts w:hint="eastAsia"/>
                <w:b w:val="0"/>
                <w:bCs w:val="0"/>
                <w:color w:val="000000"/>
                <w:sz w:val="24"/>
                <w:szCs w:val="24"/>
                <w:u w:val="none"/>
                <w:lang w:eastAsia="zh-CN"/>
              </w:rPr>
              <w:t>①</w:t>
            </w:r>
            <w:r>
              <w:rPr>
                <w:rFonts w:hint="eastAsia" w:ascii="Times New Roman" w:hAnsi="Times New Roman" w:eastAsia="宋体" w:cs="Times New Roman"/>
                <w:b w:val="0"/>
                <w:bCs w:val="0"/>
                <w:sz w:val="24"/>
                <w:szCs w:val="22"/>
                <w:u w:val="none"/>
                <w:lang w:val="en-US" w:eastAsia="zh-CN"/>
              </w:rPr>
              <w:t>危险物质数量与临界量比值（Q）确定</w:t>
            </w:r>
          </w:p>
          <w:p w14:paraId="59726A6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eastAsia="宋体" w:cs="Times New Roman"/>
                <w:b w:val="0"/>
                <w:bCs w:val="0"/>
                <w:sz w:val="24"/>
                <w:szCs w:val="22"/>
                <w:u w:val="none"/>
                <w:lang w:val="en-US" w:eastAsia="zh-CN"/>
              </w:rPr>
            </w:pPr>
            <w:r>
              <w:rPr>
                <w:rFonts w:hint="eastAsia"/>
                <w:b w:val="0"/>
                <w:bCs w:val="0"/>
                <w:color w:val="000000"/>
                <w:sz w:val="24"/>
                <w:szCs w:val="24"/>
                <w:u w:val="none"/>
                <w:lang w:eastAsia="zh-CN"/>
              </w:rPr>
              <w:t>根据《建设项目环境风险评价技术导则》（HJ169-2018），本项目</w:t>
            </w:r>
            <w:r>
              <w:rPr>
                <w:rFonts w:hint="eastAsia" w:ascii="Times New Roman" w:hAnsi="Times New Roman" w:eastAsia="宋体" w:cs="Times New Roman"/>
                <w:b w:val="0"/>
                <w:bCs w:val="0"/>
                <w:sz w:val="24"/>
                <w:szCs w:val="22"/>
                <w:u w:val="none"/>
                <w:lang w:val="en-US" w:eastAsia="zh-CN"/>
              </w:rPr>
              <w:t>危险物质数量与临界量比值（Q）确定</w:t>
            </w:r>
            <w:r>
              <w:rPr>
                <w:rFonts w:hint="eastAsia" w:eastAsia="宋体" w:cs="Times New Roman"/>
                <w:b w:val="0"/>
                <w:bCs w:val="0"/>
                <w:sz w:val="24"/>
                <w:szCs w:val="22"/>
                <w:u w:val="none"/>
                <w:lang w:val="en-US" w:eastAsia="zh-CN"/>
              </w:rPr>
              <w:t>采用以下公式：</w:t>
            </w:r>
          </w:p>
          <w:p w14:paraId="2410C0AD">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eastAsia" w:eastAsia="宋体" w:cs="Times New Roman"/>
                <w:b w:val="0"/>
                <w:bCs w:val="0"/>
                <w:sz w:val="24"/>
                <w:szCs w:val="22"/>
                <w:u w:val="none"/>
                <w:lang w:val="en-US" w:eastAsia="zh-CN"/>
              </w:rPr>
            </w:pPr>
            <w:r>
              <w:rPr>
                <w:rFonts w:hint="eastAsia" w:eastAsia="宋体" w:cs="Times New Roman"/>
                <w:b w:val="0"/>
                <w:bCs w:val="0"/>
                <w:sz w:val="24"/>
                <w:szCs w:val="22"/>
                <w:u w:val="none"/>
                <w:lang w:val="en-US" w:eastAsia="zh-CN"/>
              </w:rPr>
              <w:t>Q=q</w:t>
            </w:r>
            <w:r>
              <w:rPr>
                <w:rFonts w:hint="eastAsia" w:eastAsia="宋体" w:cs="Times New Roman"/>
                <w:b w:val="0"/>
                <w:bCs w:val="0"/>
                <w:sz w:val="24"/>
                <w:szCs w:val="22"/>
                <w:u w:val="none"/>
                <w:vertAlign w:val="subscript"/>
                <w:lang w:val="en-US" w:eastAsia="zh-CN"/>
              </w:rPr>
              <w:t>1</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1</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2</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2</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n</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n</w:t>
            </w:r>
          </w:p>
          <w:p w14:paraId="6EC0D9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 w:val="0"/>
                <w:bCs w:val="0"/>
                <w:color w:val="auto"/>
                <w:sz w:val="24"/>
                <w:szCs w:val="22"/>
                <w:u w:val="none"/>
              </w:rPr>
            </w:pPr>
            <w:r>
              <w:rPr>
                <w:rFonts w:ascii="Times New Roman" w:hAnsi="Times New Roman" w:eastAsia="宋体" w:cs="Times New Roman"/>
                <w:b w:val="0"/>
                <w:bCs w:val="0"/>
                <w:color w:val="auto"/>
                <w:sz w:val="24"/>
                <w:szCs w:val="22"/>
                <w:u w:val="none"/>
              </w:rPr>
              <w:t>式中：</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1</w:t>
            </w:r>
            <w:r>
              <w:rPr>
                <w:rFonts w:ascii="Times New Roman" w:hAnsi="Times New Roman" w:eastAsia="宋体" w:cs="Times New Roman"/>
                <w:b w:val="0"/>
                <w:bCs w:val="0"/>
                <w:color w:val="auto"/>
                <w:sz w:val="24"/>
                <w:szCs w:val="22"/>
                <w:u w:val="none"/>
              </w:rPr>
              <w:t>，</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2</w:t>
            </w:r>
            <w:r>
              <w:rPr>
                <w:rFonts w:ascii="Times New Roman" w:hAnsi="Times New Roman" w:eastAsia="宋体" w:cs="Times New Roman"/>
                <w:b w:val="0"/>
                <w:bCs w:val="0"/>
                <w:color w:val="auto"/>
                <w:sz w:val="24"/>
                <w:szCs w:val="22"/>
                <w:u w:val="none"/>
              </w:rPr>
              <w:t>…，</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n</w:t>
            </w:r>
            <w:r>
              <w:rPr>
                <w:rFonts w:ascii="Times New Roman" w:hAnsi="Times New Roman" w:eastAsia="宋体" w:cs="Times New Roman"/>
                <w:b w:val="0"/>
                <w:bCs w:val="0"/>
                <w:color w:val="auto"/>
                <w:sz w:val="24"/>
                <w:szCs w:val="22"/>
                <w:u w:val="none"/>
              </w:rPr>
              <w:t>—每种危险物质的最大存在总量，t；</w:t>
            </w:r>
          </w:p>
          <w:p w14:paraId="2A96E3B7">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b w:val="0"/>
                <w:bCs w:val="0"/>
                <w:color w:val="auto"/>
                <w:sz w:val="24"/>
                <w:szCs w:val="22"/>
                <w:u w:val="none"/>
                <w:lang w:eastAsia="zh-CN"/>
              </w:rPr>
            </w:pP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1</w:t>
            </w:r>
            <w:r>
              <w:rPr>
                <w:rFonts w:ascii="Times New Roman" w:hAnsi="Times New Roman" w:eastAsia="宋体" w:cs="Times New Roman"/>
                <w:b w:val="0"/>
                <w:bCs w:val="0"/>
                <w:color w:val="auto"/>
                <w:sz w:val="24"/>
                <w:szCs w:val="22"/>
                <w:u w:val="none"/>
              </w:rPr>
              <w:t>，</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2</w:t>
            </w:r>
            <w:r>
              <w:rPr>
                <w:rFonts w:ascii="Times New Roman" w:hAnsi="Times New Roman" w:eastAsia="宋体" w:cs="Times New Roman"/>
                <w:b w:val="0"/>
                <w:bCs w:val="0"/>
                <w:color w:val="auto"/>
                <w:sz w:val="24"/>
                <w:szCs w:val="22"/>
                <w:u w:val="none"/>
              </w:rPr>
              <w:t>…，</w:t>
            </w:r>
            <w:r>
              <w:rPr>
                <w:rFonts w:hint="eastAsia" w:eastAsia="宋体" w:cs="Times New Roman"/>
                <w:b w:val="0"/>
                <w:bCs w:val="0"/>
                <w:sz w:val="24"/>
                <w:szCs w:val="22"/>
                <w:u w:val="none"/>
                <w:lang w:val="en-US" w:eastAsia="zh-CN"/>
              </w:rPr>
              <w:t>Q</w:t>
            </w:r>
            <w:r>
              <w:rPr>
                <w:rFonts w:hint="eastAsia" w:eastAsia="宋体" w:cs="Times New Roman"/>
                <w:b w:val="0"/>
                <w:bCs w:val="0"/>
                <w:sz w:val="24"/>
                <w:szCs w:val="22"/>
                <w:u w:val="none"/>
                <w:vertAlign w:val="subscript"/>
                <w:lang w:val="en-US" w:eastAsia="zh-CN"/>
              </w:rPr>
              <w:t>n</w:t>
            </w:r>
            <w:r>
              <w:rPr>
                <w:rFonts w:ascii="Times New Roman" w:hAnsi="Times New Roman" w:eastAsia="宋体" w:cs="Times New Roman"/>
                <w:b w:val="0"/>
                <w:bCs w:val="0"/>
                <w:color w:val="auto"/>
                <w:sz w:val="24"/>
                <w:szCs w:val="22"/>
                <w:u w:val="none"/>
              </w:rPr>
              <w:t>—每种危险物质的临界量，t</w:t>
            </w:r>
            <w:r>
              <w:rPr>
                <w:rFonts w:hint="eastAsia" w:eastAsia="宋体" w:cs="Times New Roman"/>
                <w:b w:val="0"/>
                <w:bCs w:val="0"/>
                <w:color w:val="auto"/>
                <w:sz w:val="24"/>
                <w:szCs w:val="22"/>
                <w:u w:val="none"/>
                <w:lang w:eastAsia="zh-CN"/>
              </w:rPr>
              <w:t>；</w:t>
            </w:r>
          </w:p>
          <w:p w14:paraId="4D922AE2">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ascii="Times New Roman" w:hAnsi="Times New Roman" w:eastAsia="宋体" w:cs="Times New Roman"/>
                <w:b w:val="0"/>
                <w:bCs w:val="0"/>
                <w:color w:val="auto"/>
                <w:sz w:val="24"/>
                <w:szCs w:val="22"/>
                <w:u w:val="none"/>
              </w:rPr>
            </w:pPr>
            <w:r>
              <w:rPr>
                <w:rFonts w:ascii="Times New Roman" w:hAnsi="Times New Roman" w:eastAsia="宋体" w:cs="Times New Roman"/>
                <w:b w:val="0"/>
                <w:bCs w:val="0"/>
                <w:color w:val="auto"/>
                <w:sz w:val="24"/>
                <w:szCs w:val="22"/>
                <w:u w:val="none"/>
              </w:rPr>
              <w:t>当Q&lt;1时，该项目环境风险潜势为I。</w:t>
            </w:r>
          </w:p>
          <w:p w14:paraId="4323F602">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 w:val="0"/>
                <w:bCs w:val="0"/>
                <w:sz w:val="24"/>
                <w:szCs w:val="22"/>
                <w:u w:val="none"/>
              </w:rPr>
            </w:pPr>
            <w:r>
              <w:rPr>
                <w:rFonts w:ascii="Times New Roman" w:hAnsi="Times New Roman" w:eastAsia="宋体" w:cs="Times New Roman"/>
                <w:b w:val="0"/>
                <w:bCs w:val="0"/>
                <w:color w:val="auto"/>
                <w:sz w:val="24"/>
                <w:szCs w:val="22"/>
                <w:u w:val="none"/>
              </w:rPr>
              <w:t>当Q≥1时，将Q值划分为：1≤Q&lt;10；10≤Q&lt;100；Q≥100。</w:t>
            </w:r>
          </w:p>
          <w:p w14:paraId="00904FDF">
            <w:pPr>
              <w:spacing w:line="360" w:lineRule="auto"/>
              <w:ind w:firstLine="480" w:firstLineChars="200"/>
              <w:rPr>
                <w:rFonts w:ascii="Times New Roman" w:hAnsi="Times New Roman" w:eastAsia="宋体" w:cs="Times New Roman"/>
                <w:b w:val="0"/>
                <w:bCs w:val="0"/>
                <w:color w:val="auto"/>
                <w:sz w:val="24"/>
                <w:szCs w:val="22"/>
                <w:u w:val="single"/>
              </w:rPr>
            </w:pPr>
            <w:r>
              <w:rPr>
                <w:rFonts w:hint="eastAsia" w:ascii="Times New Roman" w:hAnsi="Times New Roman" w:eastAsia="宋体" w:cs="Times New Roman"/>
                <w:b w:val="0"/>
                <w:bCs w:val="0"/>
                <w:color w:val="auto"/>
                <w:sz w:val="24"/>
                <w:szCs w:val="22"/>
                <w:u w:val="none"/>
                <w:lang w:eastAsia="zh-CN"/>
              </w:rPr>
              <w:t>本</w:t>
            </w:r>
            <w:r>
              <w:rPr>
                <w:rFonts w:ascii="Times New Roman" w:hAnsi="Times New Roman" w:eastAsia="宋体" w:cs="Times New Roman"/>
                <w:b w:val="0"/>
                <w:bCs w:val="0"/>
                <w:color w:val="auto"/>
                <w:sz w:val="24"/>
                <w:szCs w:val="22"/>
                <w:u w:val="none"/>
              </w:rPr>
              <w:t>项目涉及主要</w:t>
            </w:r>
            <w:r>
              <w:rPr>
                <w:rFonts w:hint="eastAsia" w:ascii="Times New Roman" w:hAnsi="Times New Roman" w:eastAsia="宋体" w:cs="Times New Roman"/>
                <w:b w:val="0"/>
                <w:bCs w:val="0"/>
                <w:color w:val="auto"/>
                <w:sz w:val="24"/>
                <w:szCs w:val="22"/>
                <w:u w:val="none"/>
                <w:lang w:eastAsia="zh-CN"/>
              </w:rPr>
              <w:t>危险</w:t>
            </w:r>
            <w:r>
              <w:rPr>
                <w:rFonts w:ascii="Times New Roman" w:hAnsi="Times New Roman" w:eastAsia="宋体" w:cs="Times New Roman"/>
                <w:b w:val="0"/>
                <w:bCs w:val="0"/>
                <w:color w:val="auto"/>
                <w:sz w:val="24"/>
                <w:szCs w:val="22"/>
                <w:u w:val="none"/>
              </w:rPr>
              <w:t>物质临界量见</w:t>
            </w:r>
            <w:r>
              <w:rPr>
                <w:rFonts w:hint="eastAsia" w:eastAsia="宋体" w:cs="Times New Roman"/>
                <w:b w:val="0"/>
                <w:bCs w:val="0"/>
                <w:color w:val="auto"/>
                <w:sz w:val="24"/>
                <w:szCs w:val="22"/>
                <w:u w:val="none"/>
                <w:lang w:eastAsia="zh-CN"/>
              </w:rPr>
              <w:t>下表</w:t>
            </w:r>
            <w:r>
              <w:rPr>
                <w:rFonts w:ascii="Times New Roman" w:hAnsi="Times New Roman" w:eastAsia="宋体" w:cs="Times New Roman"/>
                <w:b w:val="0"/>
                <w:bCs w:val="0"/>
                <w:color w:val="auto"/>
                <w:sz w:val="24"/>
                <w:szCs w:val="22"/>
                <w:u w:val="none"/>
              </w:rPr>
              <w:t>。</w:t>
            </w:r>
          </w:p>
          <w:p w14:paraId="4352436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黑体" w:hAnsi="黑体" w:eastAsia="黑体" w:cs="Times New Roman"/>
                <w:b w:val="0"/>
                <w:bCs w:val="0"/>
                <w:color w:val="auto"/>
                <w:sz w:val="24"/>
                <w:szCs w:val="22"/>
                <w:u w:val="none"/>
              </w:rPr>
            </w:pPr>
            <w:r>
              <w:rPr>
                <w:rFonts w:ascii="黑体" w:hAnsi="黑体" w:eastAsia="黑体" w:cs="Times New Roman"/>
                <w:b w:val="0"/>
                <w:bCs w:val="0"/>
                <w:color w:val="auto"/>
                <w:sz w:val="24"/>
                <w:szCs w:val="22"/>
                <w:u w:val="none"/>
              </w:rPr>
              <w:t>表</w:t>
            </w:r>
            <w:r>
              <w:rPr>
                <w:rFonts w:hint="eastAsia" w:eastAsia="宋体" w:cs="Times New Roman"/>
                <w:b w:val="0"/>
                <w:bCs w:val="0"/>
                <w:color w:val="auto"/>
                <w:sz w:val="24"/>
                <w:szCs w:val="22"/>
                <w:u w:val="none"/>
                <w:lang w:val="en-US" w:eastAsia="zh-CN"/>
              </w:rPr>
              <w:t>4-13</w:t>
            </w:r>
            <w:r>
              <w:rPr>
                <w:rFonts w:ascii="黑体" w:hAnsi="黑体" w:eastAsia="黑体" w:cs="Times New Roman"/>
                <w:b w:val="0"/>
                <w:bCs w:val="0"/>
                <w:color w:val="auto"/>
                <w:sz w:val="24"/>
                <w:szCs w:val="22"/>
                <w:u w:val="none"/>
              </w:rPr>
              <w:t xml:space="preserve">  项目</w:t>
            </w:r>
            <w:r>
              <w:rPr>
                <w:rFonts w:hint="eastAsia" w:ascii="黑体" w:hAnsi="黑体" w:eastAsia="黑体" w:cs="Times New Roman"/>
                <w:b w:val="0"/>
                <w:bCs w:val="0"/>
                <w:color w:val="auto"/>
                <w:sz w:val="24"/>
                <w:szCs w:val="22"/>
                <w:u w:val="none"/>
                <w:lang w:val="en-US" w:eastAsia="zh-CN"/>
              </w:rPr>
              <w:t>风险物质与临界量比值核算一览表</w:t>
            </w:r>
          </w:p>
          <w:tbl>
            <w:tblPr>
              <w:tblStyle w:val="28"/>
              <w:tblW w:w="4994"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2535"/>
              <w:gridCol w:w="1141"/>
              <w:gridCol w:w="1626"/>
              <w:gridCol w:w="1522"/>
              <w:gridCol w:w="1043"/>
            </w:tblGrid>
            <w:tr w14:paraId="65A3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0" w:type="pct"/>
                  <w:tcBorders>
                    <w:tl2br w:val="nil"/>
                    <w:tr2bl w:val="nil"/>
                  </w:tcBorders>
                  <w:noWrap w:val="0"/>
                  <w:vAlign w:val="center"/>
                </w:tcPr>
                <w:p w14:paraId="7AFA66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sz w:val="21"/>
                      <w:szCs w:val="21"/>
                      <w:u w:val="none"/>
                    </w:rPr>
                  </w:pPr>
                  <w:r>
                    <w:rPr>
                      <w:rFonts w:ascii="Times New Roman" w:hAnsi="Times New Roman" w:eastAsia="宋体" w:cs="Times New Roman"/>
                      <w:b w:val="0"/>
                      <w:bCs w:val="0"/>
                      <w:color w:val="auto"/>
                      <w:sz w:val="21"/>
                      <w:szCs w:val="21"/>
                      <w:u w:val="none"/>
                    </w:rPr>
                    <w:t>序号</w:t>
                  </w:r>
                </w:p>
              </w:tc>
              <w:tc>
                <w:tcPr>
                  <w:tcW w:w="1482" w:type="pct"/>
                  <w:tcBorders>
                    <w:tl2br w:val="nil"/>
                    <w:tr2bl w:val="nil"/>
                  </w:tcBorders>
                  <w:noWrap w:val="0"/>
                  <w:vAlign w:val="center"/>
                </w:tcPr>
                <w:p w14:paraId="5EF911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sz w:val="21"/>
                      <w:szCs w:val="21"/>
                      <w:u w:val="none"/>
                    </w:rPr>
                  </w:pPr>
                  <w:r>
                    <w:rPr>
                      <w:rFonts w:ascii="Times New Roman" w:hAnsi="Times New Roman" w:eastAsia="宋体" w:cs="Times New Roman"/>
                      <w:b w:val="0"/>
                      <w:bCs w:val="0"/>
                      <w:color w:val="auto"/>
                      <w:sz w:val="21"/>
                      <w:szCs w:val="21"/>
                      <w:u w:val="none"/>
                    </w:rPr>
                    <w:t>物质名称</w:t>
                  </w:r>
                </w:p>
              </w:tc>
              <w:tc>
                <w:tcPr>
                  <w:tcW w:w="667" w:type="pct"/>
                  <w:tcBorders>
                    <w:tl2br w:val="nil"/>
                    <w:tr2bl w:val="nil"/>
                  </w:tcBorders>
                  <w:noWrap w:val="0"/>
                  <w:vAlign w:val="center"/>
                </w:tcPr>
                <w:p w14:paraId="540E10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CAS号</w:t>
                  </w:r>
                </w:p>
              </w:tc>
              <w:tc>
                <w:tcPr>
                  <w:tcW w:w="951" w:type="pct"/>
                  <w:tcBorders>
                    <w:tl2br w:val="nil"/>
                    <w:tr2bl w:val="nil"/>
                  </w:tcBorders>
                  <w:noWrap w:val="0"/>
                  <w:vAlign w:val="center"/>
                </w:tcPr>
                <w:p w14:paraId="6A1480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sz w:val="21"/>
                      <w:szCs w:val="21"/>
                      <w:u w:val="none"/>
                    </w:rPr>
                  </w:pPr>
                  <w:r>
                    <w:rPr>
                      <w:rFonts w:ascii="Times New Roman" w:hAnsi="Times New Roman" w:eastAsia="宋体" w:cs="Times New Roman"/>
                      <w:b w:val="0"/>
                      <w:bCs w:val="0"/>
                      <w:color w:val="auto"/>
                      <w:sz w:val="21"/>
                      <w:szCs w:val="21"/>
                      <w:u w:val="none"/>
                    </w:rPr>
                    <w:t>标准临界量</w:t>
                  </w:r>
                </w:p>
                <w:p w14:paraId="078243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（t）</w:t>
                  </w:r>
                </w:p>
              </w:tc>
              <w:tc>
                <w:tcPr>
                  <w:tcW w:w="888" w:type="pct"/>
                  <w:tcBorders>
                    <w:tl2br w:val="nil"/>
                    <w:tr2bl w:val="nil"/>
                  </w:tcBorders>
                  <w:noWrap w:val="0"/>
                  <w:vAlign w:val="center"/>
                </w:tcPr>
                <w:p w14:paraId="5DED89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u w:val="none"/>
                      <w:lang w:eastAsia="zh-CN"/>
                    </w:rPr>
                  </w:pPr>
                  <w:r>
                    <w:rPr>
                      <w:rFonts w:ascii="Times New Roman" w:hAnsi="Times New Roman" w:eastAsia="宋体" w:cs="Times New Roman"/>
                      <w:b w:val="0"/>
                      <w:bCs w:val="0"/>
                      <w:color w:val="auto"/>
                      <w:sz w:val="21"/>
                      <w:szCs w:val="21"/>
                      <w:u w:val="none"/>
                    </w:rPr>
                    <w:t>厂区最大储存量</w:t>
                  </w:r>
                  <w:r>
                    <w:rPr>
                      <w:rFonts w:hint="eastAsia" w:ascii="Times New Roman" w:hAnsi="Times New Roman" w:eastAsia="宋体" w:cs="Times New Roman"/>
                      <w:b w:val="0"/>
                      <w:bCs w:val="0"/>
                      <w:color w:val="auto"/>
                      <w:sz w:val="21"/>
                      <w:szCs w:val="21"/>
                      <w:u w:val="none"/>
                      <w:lang w:eastAsia="zh-CN"/>
                    </w:rPr>
                    <w:t>（</w:t>
                  </w:r>
                  <w:r>
                    <w:rPr>
                      <w:rFonts w:hint="eastAsia" w:ascii="Times New Roman" w:hAnsi="Times New Roman" w:eastAsia="宋体" w:cs="Times New Roman"/>
                      <w:b w:val="0"/>
                      <w:bCs w:val="0"/>
                      <w:color w:val="auto"/>
                      <w:sz w:val="21"/>
                      <w:szCs w:val="21"/>
                      <w:u w:val="none"/>
                      <w:lang w:val="en-US" w:eastAsia="zh-CN"/>
                    </w:rPr>
                    <w:t>t</w:t>
                  </w:r>
                  <w:r>
                    <w:rPr>
                      <w:rFonts w:hint="eastAsia" w:ascii="Times New Roman" w:hAnsi="Times New Roman" w:eastAsia="宋体" w:cs="Times New Roman"/>
                      <w:b w:val="0"/>
                      <w:bCs w:val="0"/>
                      <w:color w:val="auto"/>
                      <w:sz w:val="21"/>
                      <w:szCs w:val="21"/>
                      <w:u w:val="none"/>
                      <w:lang w:eastAsia="zh-CN"/>
                    </w:rPr>
                    <w:t>）</w:t>
                  </w:r>
                </w:p>
              </w:tc>
              <w:tc>
                <w:tcPr>
                  <w:tcW w:w="609" w:type="pct"/>
                  <w:tcBorders>
                    <w:tl2br w:val="nil"/>
                    <w:tr2bl w:val="nil"/>
                  </w:tcBorders>
                  <w:noWrap w:val="0"/>
                  <w:vAlign w:val="center"/>
                </w:tcPr>
                <w:p w14:paraId="551B11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sz w:val="21"/>
                      <w:szCs w:val="21"/>
                      <w:u w:val="none"/>
                    </w:rPr>
                  </w:pPr>
                  <w:r>
                    <w:rPr>
                      <w:rFonts w:ascii="Times New Roman" w:hAnsi="Times New Roman" w:eastAsia="宋体" w:cs="Times New Roman"/>
                      <w:b w:val="0"/>
                      <w:bCs w:val="0"/>
                      <w:color w:val="auto"/>
                      <w:sz w:val="21"/>
                      <w:szCs w:val="21"/>
                      <w:u w:val="none"/>
                    </w:rPr>
                    <w:t>Q值</w:t>
                  </w:r>
                </w:p>
              </w:tc>
            </w:tr>
            <w:tr w14:paraId="172B7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0" w:type="pct"/>
                  <w:tcBorders>
                    <w:tl2br w:val="nil"/>
                    <w:tr2bl w:val="nil"/>
                  </w:tcBorders>
                  <w:noWrap w:val="0"/>
                  <w:vAlign w:val="center"/>
                </w:tcPr>
                <w:p w14:paraId="78987A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1</w:t>
                  </w:r>
                </w:p>
              </w:tc>
              <w:tc>
                <w:tcPr>
                  <w:tcW w:w="1482" w:type="pct"/>
                  <w:tcBorders>
                    <w:tl2br w:val="nil"/>
                    <w:tr2bl w:val="nil"/>
                  </w:tcBorders>
                  <w:noWrap w:val="0"/>
                  <w:vAlign w:val="center"/>
                </w:tcPr>
                <w:p w14:paraId="2A22A9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油类物质（矿物油类，如石油、汽油、柴油等；生物柴油等）</w:t>
                  </w:r>
                </w:p>
              </w:tc>
              <w:tc>
                <w:tcPr>
                  <w:tcW w:w="667" w:type="pct"/>
                  <w:tcBorders>
                    <w:tl2br w:val="nil"/>
                    <w:tr2bl w:val="nil"/>
                  </w:tcBorders>
                  <w:noWrap w:val="0"/>
                  <w:vAlign w:val="center"/>
                </w:tcPr>
                <w:p w14:paraId="1A18B8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w:t>
                  </w:r>
                </w:p>
              </w:tc>
              <w:tc>
                <w:tcPr>
                  <w:tcW w:w="951" w:type="pct"/>
                  <w:tcBorders>
                    <w:tl2br w:val="nil"/>
                    <w:tr2bl w:val="nil"/>
                  </w:tcBorders>
                  <w:noWrap w:val="0"/>
                  <w:vAlign w:val="center"/>
                </w:tcPr>
                <w:p w14:paraId="5CBCBD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2500</w:t>
                  </w:r>
                </w:p>
              </w:tc>
              <w:tc>
                <w:tcPr>
                  <w:tcW w:w="888" w:type="pct"/>
                  <w:tcBorders>
                    <w:tl2br w:val="nil"/>
                    <w:tr2bl w:val="nil"/>
                  </w:tcBorders>
                  <w:noWrap w:val="0"/>
                  <w:vAlign w:val="center"/>
                </w:tcPr>
                <w:p w14:paraId="68BE56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0.5</w:t>
                  </w:r>
                </w:p>
              </w:tc>
              <w:tc>
                <w:tcPr>
                  <w:tcW w:w="609" w:type="pct"/>
                  <w:tcBorders>
                    <w:tl2br w:val="nil"/>
                    <w:tr2bl w:val="nil"/>
                  </w:tcBorders>
                  <w:noWrap w:val="0"/>
                  <w:vAlign w:val="center"/>
                </w:tcPr>
                <w:p w14:paraId="4F4D8EBD">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0.0002</w:t>
                  </w:r>
                </w:p>
              </w:tc>
            </w:tr>
            <w:tr w14:paraId="13610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0" w:type="pct"/>
                  <w:tcBorders>
                    <w:tl2br w:val="nil"/>
                    <w:tr2bl w:val="nil"/>
                  </w:tcBorders>
                  <w:noWrap w:val="0"/>
                  <w:vAlign w:val="center"/>
                </w:tcPr>
                <w:p w14:paraId="1303D5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2</w:t>
                  </w:r>
                </w:p>
              </w:tc>
              <w:tc>
                <w:tcPr>
                  <w:tcW w:w="1482" w:type="pct"/>
                  <w:tcBorders>
                    <w:tl2br w:val="nil"/>
                    <w:tr2bl w:val="nil"/>
                  </w:tcBorders>
                  <w:shd w:val="clear" w:color="auto" w:fill="auto"/>
                  <w:noWrap w:val="0"/>
                  <w:vAlign w:val="center"/>
                </w:tcPr>
                <w:p w14:paraId="1E5BDED8">
                  <w:pPr>
                    <w:pStyle w:val="6"/>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color w:val="000000"/>
                      <w:sz w:val="21"/>
                      <w:szCs w:val="21"/>
                    </w:rPr>
                    <w:t>甲醛</w:t>
                  </w:r>
                </w:p>
              </w:tc>
              <w:tc>
                <w:tcPr>
                  <w:tcW w:w="667" w:type="pct"/>
                  <w:tcBorders>
                    <w:tl2br w:val="nil"/>
                    <w:tr2bl w:val="nil"/>
                  </w:tcBorders>
                  <w:shd w:val="clear" w:color="auto" w:fill="auto"/>
                  <w:noWrap w:val="0"/>
                  <w:vAlign w:val="center"/>
                </w:tcPr>
                <w:p w14:paraId="4A6FA43C">
                  <w:pPr>
                    <w:pStyle w:val="6"/>
                    <w:ind w:firstLine="0" w:firstLineChars="0"/>
                    <w:jc w:val="center"/>
                    <w:rPr>
                      <w:rFonts w:hint="eastAsia" w:ascii="Times New Roman" w:hAnsi="Times New Roman" w:eastAsia="宋体" w:cs="Times New Roman"/>
                      <w:color w:val="000000"/>
                      <w:kern w:val="2"/>
                      <w:sz w:val="21"/>
                      <w:szCs w:val="21"/>
                      <w:lang w:val="en-US" w:eastAsia="zh-CN" w:bidi="ar-SA"/>
                    </w:rPr>
                  </w:pPr>
                </w:p>
              </w:tc>
              <w:tc>
                <w:tcPr>
                  <w:tcW w:w="1626" w:type="dxa"/>
                  <w:tcBorders>
                    <w:tl2br w:val="nil"/>
                    <w:tr2bl w:val="nil"/>
                  </w:tcBorders>
                  <w:shd w:val="clear" w:color="auto" w:fill="auto"/>
                  <w:noWrap w:val="0"/>
                  <w:vAlign w:val="center"/>
                </w:tcPr>
                <w:p w14:paraId="236BAED0">
                  <w:pPr>
                    <w:pStyle w:val="6"/>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color w:val="000000"/>
                      <w:sz w:val="21"/>
                      <w:szCs w:val="21"/>
                    </w:rPr>
                    <w:t>0.5</w:t>
                  </w:r>
                </w:p>
              </w:tc>
              <w:tc>
                <w:tcPr>
                  <w:tcW w:w="1522" w:type="dxa"/>
                  <w:tcBorders>
                    <w:tl2br w:val="nil"/>
                    <w:tr2bl w:val="nil"/>
                  </w:tcBorders>
                  <w:shd w:val="clear" w:color="auto" w:fill="auto"/>
                  <w:noWrap w:val="0"/>
                  <w:vAlign w:val="center"/>
                </w:tcPr>
                <w:p w14:paraId="602C3665">
                  <w:pPr>
                    <w:pStyle w:val="6"/>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color w:val="000000"/>
                      <w:sz w:val="21"/>
                      <w:szCs w:val="21"/>
                    </w:rPr>
                    <w:t>0.0</w:t>
                  </w:r>
                  <w:r>
                    <w:rPr>
                      <w:rFonts w:hint="eastAsia"/>
                      <w:color w:val="000000"/>
                      <w:sz w:val="21"/>
                      <w:szCs w:val="21"/>
                      <w:lang w:val="en-US" w:eastAsia="zh-CN"/>
                    </w:rPr>
                    <w:t>3</w:t>
                  </w:r>
                </w:p>
              </w:tc>
              <w:tc>
                <w:tcPr>
                  <w:tcW w:w="1043" w:type="dxa"/>
                  <w:tcBorders>
                    <w:tl2br w:val="nil"/>
                    <w:tr2bl w:val="nil"/>
                  </w:tcBorders>
                  <w:noWrap w:val="0"/>
                  <w:vAlign w:val="center"/>
                </w:tcPr>
                <w:p w14:paraId="76E326F0">
                  <w:pPr>
                    <w:pStyle w:val="6"/>
                    <w:ind w:firstLine="0" w:firstLineChars="0"/>
                    <w:jc w:val="center"/>
                    <w:rPr>
                      <w:rFonts w:hint="eastAsia" w:eastAsia="宋体" w:cs="Times New Roman"/>
                      <w:b w:val="0"/>
                      <w:bCs w:val="0"/>
                      <w:color w:val="auto"/>
                      <w:sz w:val="21"/>
                      <w:szCs w:val="21"/>
                      <w:u w:val="none"/>
                      <w:lang w:val="en-US" w:eastAsia="zh-CN"/>
                    </w:rPr>
                  </w:pPr>
                  <w:r>
                    <w:rPr>
                      <w:rFonts w:hint="eastAsia"/>
                      <w:color w:val="000000"/>
                      <w:sz w:val="21"/>
                      <w:szCs w:val="21"/>
                    </w:rPr>
                    <w:t>0.0</w:t>
                  </w:r>
                  <w:r>
                    <w:rPr>
                      <w:rFonts w:hint="eastAsia"/>
                      <w:color w:val="000000"/>
                      <w:sz w:val="21"/>
                      <w:szCs w:val="21"/>
                      <w:lang w:val="en-US" w:eastAsia="zh-CN"/>
                    </w:rPr>
                    <w:t>6</w:t>
                  </w:r>
                </w:p>
              </w:tc>
            </w:tr>
            <w:tr w14:paraId="4AF8C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90" w:type="pct"/>
                  <w:gridSpan w:val="5"/>
                  <w:tcBorders>
                    <w:tl2br w:val="nil"/>
                    <w:tr2bl w:val="nil"/>
                  </w:tcBorders>
                  <w:noWrap w:val="0"/>
                  <w:vAlign w:val="center"/>
                </w:tcPr>
                <w:p w14:paraId="6FD8A1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本项目</w:t>
                  </w:r>
                  <w:r>
                    <w:rPr>
                      <w:rFonts w:ascii="Times New Roman" w:hAnsi="Times New Roman" w:eastAsia="宋体" w:cs="Times New Roman"/>
                      <w:b w:val="0"/>
                      <w:bCs w:val="0"/>
                      <w:color w:val="auto"/>
                      <w:sz w:val="21"/>
                      <w:szCs w:val="21"/>
                      <w:u w:val="none"/>
                    </w:rPr>
                    <w:t>Q值</w:t>
                  </w:r>
                </w:p>
              </w:tc>
              <w:tc>
                <w:tcPr>
                  <w:tcW w:w="609" w:type="pct"/>
                  <w:tcBorders>
                    <w:tl2br w:val="nil"/>
                    <w:tr2bl w:val="nil"/>
                  </w:tcBorders>
                  <w:noWrap w:val="0"/>
                  <w:vAlign w:val="center"/>
                </w:tcPr>
                <w:p w14:paraId="645A34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0.0602</w:t>
                  </w:r>
                </w:p>
              </w:tc>
            </w:tr>
            <w:tr w14:paraId="44A20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l2br w:val="nil"/>
                    <w:tr2bl w:val="nil"/>
                  </w:tcBorders>
                  <w:noWrap w:val="0"/>
                  <w:vAlign w:val="center"/>
                </w:tcPr>
                <w:p w14:paraId="6750969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s="Times New Roman"/>
                      <w:b w:val="0"/>
                      <w:bCs w:val="0"/>
                      <w:color w:val="auto"/>
                      <w:sz w:val="21"/>
                      <w:szCs w:val="21"/>
                      <w:u w:val="none"/>
                      <w:lang w:val="en-US" w:eastAsia="zh-CN"/>
                    </w:rPr>
                  </w:pPr>
                  <w:r>
                    <w:rPr>
                      <w:rFonts w:hint="eastAsia" w:eastAsia="宋体" w:cs="Times New Roman"/>
                      <w:b w:val="0"/>
                      <w:bCs w:val="0"/>
                      <w:color w:val="auto"/>
                      <w:sz w:val="21"/>
                      <w:szCs w:val="21"/>
                      <w:u w:val="none"/>
                      <w:lang w:val="en-US" w:eastAsia="zh-CN"/>
                    </w:rPr>
                    <w:t>根据上文分析可知，项目呋喃树脂中甲醛的最大储存量为10t</w:t>
                  </w:r>
                  <w:r>
                    <w:rPr>
                      <w:rFonts w:hint="default" w:ascii="Arial" w:hAnsi="Arial" w:eastAsia="宋体" w:cs="Arial"/>
                      <w:b w:val="0"/>
                      <w:bCs w:val="0"/>
                      <w:color w:val="auto"/>
                      <w:sz w:val="21"/>
                      <w:szCs w:val="21"/>
                      <w:u w:val="none"/>
                      <w:lang w:val="en-US" w:eastAsia="zh-CN"/>
                    </w:rPr>
                    <w:t>×</w:t>
                  </w:r>
                  <w:r>
                    <w:rPr>
                      <w:rFonts w:hint="eastAsia" w:eastAsia="宋体" w:cs="Times New Roman"/>
                      <w:b w:val="0"/>
                      <w:bCs w:val="0"/>
                      <w:color w:val="auto"/>
                      <w:sz w:val="21"/>
                      <w:szCs w:val="21"/>
                      <w:u w:val="none"/>
                      <w:lang w:val="en-US" w:eastAsia="zh-CN"/>
                    </w:rPr>
                    <w:t>0.3%=0.03t。</w:t>
                  </w:r>
                </w:p>
              </w:tc>
            </w:tr>
          </w:tbl>
          <w:p w14:paraId="7A1F7D38">
            <w:pPr>
              <w:spacing w:line="360" w:lineRule="auto"/>
              <w:ind w:firstLine="480" w:firstLineChars="200"/>
              <w:rPr>
                <w:rFonts w:hint="eastAsia" w:ascii="Times New Roman" w:hAnsi="Times New Roman"/>
                <w:b w:val="0"/>
                <w:bCs w:val="0"/>
                <w:color w:val="auto"/>
                <w:sz w:val="24"/>
                <w:u w:val="single"/>
                <w:lang w:val="en-US" w:eastAsia="zh-CN"/>
              </w:rPr>
            </w:pPr>
            <w:r>
              <w:rPr>
                <w:rFonts w:hint="eastAsia" w:ascii="Times New Roman" w:hAnsi="Times New Roman"/>
                <w:b w:val="0"/>
                <w:bCs w:val="0"/>
                <w:color w:val="auto"/>
                <w:sz w:val="24"/>
                <w:u w:val="none"/>
                <w:lang w:val="en-US" w:eastAsia="zh-CN"/>
              </w:rPr>
              <w:t>根据上表统计结果，</w:t>
            </w:r>
            <w:r>
              <w:rPr>
                <w:rFonts w:hint="eastAsia" w:ascii="Times New Roman" w:hAnsi="Times New Roman" w:eastAsia="宋体" w:cs="Times New Roman"/>
                <w:b w:val="0"/>
                <w:bCs w:val="0"/>
                <w:color w:val="auto"/>
                <w:sz w:val="24"/>
                <w:szCs w:val="22"/>
                <w:u w:val="none"/>
                <w:lang w:val="en-US" w:eastAsia="zh-CN"/>
              </w:rPr>
              <w:t>本项目Q</w:t>
            </w:r>
            <w:r>
              <w:rPr>
                <w:rFonts w:hint="eastAsia" w:eastAsia="宋体" w:cs="Times New Roman"/>
                <w:b w:val="0"/>
                <w:bCs w:val="0"/>
                <w:color w:val="auto"/>
                <w:sz w:val="24"/>
                <w:szCs w:val="22"/>
                <w:u w:val="none"/>
                <w:lang w:val="en-US" w:eastAsia="zh-CN"/>
              </w:rPr>
              <w:t>值＝0.0602</w:t>
            </w:r>
            <w:r>
              <w:rPr>
                <w:rFonts w:hint="eastAsia" w:ascii="Times New Roman" w:hAnsi="Times New Roman" w:eastAsia="宋体" w:cs="Times New Roman"/>
                <w:b w:val="0"/>
                <w:bCs w:val="0"/>
                <w:color w:val="auto"/>
                <w:sz w:val="24"/>
                <w:szCs w:val="22"/>
                <w:u w:val="none"/>
                <w:lang w:val="en-US" w:eastAsia="zh-CN"/>
              </w:rPr>
              <w:t>&lt;1</w:t>
            </w:r>
            <w:r>
              <w:rPr>
                <w:rFonts w:hint="eastAsia" w:eastAsia="宋体" w:cs="Times New Roman"/>
                <w:b w:val="0"/>
                <w:bCs w:val="0"/>
                <w:color w:val="auto"/>
                <w:sz w:val="24"/>
                <w:szCs w:val="22"/>
                <w:u w:val="none"/>
                <w:lang w:val="en-US" w:eastAsia="zh-CN"/>
              </w:rPr>
              <w:t>，环境风险潜势为I。</w:t>
            </w:r>
          </w:p>
          <w:p w14:paraId="100FE27A">
            <w:pPr>
              <w:spacing w:line="360" w:lineRule="auto"/>
              <w:ind w:firstLine="480" w:firstLineChars="200"/>
              <w:rPr>
                <w:rFonts w:hint="eastAsia" w:eastAsiaTheme="minorEastAsia"/>
                <w:b w:val="0"/>
                <w:bCs w:val="0"/>
                <w:color w:val="000000"/>
                <w:szCs w:val="24"/>
                <w:u w:val="none"/>
                <w:lang w:eastAsia="zh-CN"/>
              </w:rPr>
            </w:pPr>
            <w:r>
              <w:rPr>
                <w:rFonts w:hint="eastAsia"/>
                <w:b w:val="0"/>
                <w:bCs w:val="0"/>
                <w:color w:val="000000"/>
                <w:szCs w:val="24"/>
                <w:u w:val="none"/>
                <w:lang w:val="en-US" w:eastAsia="zh-CN"/>
              </w:rPr>
              <w:t>②评价工作等级确定</w:t>
            </w:r>
          </w:p>
          <w:p w14:paraId="0916ACF4">
            <w:pPr>
              <w:spacing w:line="360" w:lineRule="auto"/>
              <w:ind w:firstLine="480" w:firstLineChars="200"/>
              <w:rPr>
                <w:rFonts w:hint="eastAsia"/>
                <w:b w:val="0"/>
                <w:bCs w:val="0"/>
                <w:color w:val="000000"/>
                <w:szCs w:val="24"/>
                <w:u w:val="none"/>
              </w:rPr>
            </w:pPr>
            <w:r>
              <w:rPr>
                <w:rFonts w:hint="eastAsia" w:ascii="Times New Roman" w:hAnsi="Times New Roman" w:eastAsia="宋体" w:cs="Times New Roman"/>
                <w:b w:val="0"/>
                <w:bCs w:val="0"/>
                <w:sz w:val="24"/>
                <w:szCs w:val="22"/>
                <w:u w:val="none"/>
                <w:lang w:val="en-US" w:eastAsia="zh-CN"/>
              </w:rPr>
              <w:t>根据《建设项目环境风险评价技术导则》（HJ169-2018），评价工作等级划分原则见下表。</w:t>
            </w:r>
          </w:p>
          <w:p w14:paraId="179B30F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val="0"/>
                <w:sz w:val="24"/>
                <w:szCs w:val="22"/>
                <w:u w:val="none"/>
              </w:rPr>
            </w:pPr>
            <w:r>
              <w:rPr>
                <w:rFonts w:hint="default" w:ascii="Times New Roman" w:hAnsi="Times New Roman" w:eastAsia="黑体" w:cs="Times New Roman"/>
                <w:b w:val="0"/>
                <w:bCs w:val="0"/>
                <w:sz w:val="24"/>
                <w:szCs w:val="22"/>
                <w:u w:val="none"/>
              </w:rPr>
              <w:t>表</w:t>
            </w:r>
            <w:r>
              <w:rPr>
                <w:rFonts w:hint="eastAsia" w:ascii="Times New Roman" w:hAnsi="Times New Roman" w:eastAsia="宋体" w:cs="Times New Roman"/>
                <w:b w:val="0"/>
                <w:bCs w:val="0"/>
                <w:color w:val="auto"/>
                <w:sz w:val="24"/>
                <w:szCs w:val="22"/>
                <w:u w:val="none"/>
                <w:lang w:val="en-US" w:eastAsia="zh-CN"/>
              </w:rPr>
              <w:t>4-</w:t>
            </w:r>
            <w:r>
              <w:rPr>
                <w:rFonts w:hint="eastAsia" w:eastAsia="宋体" w:cs="Times New Roman"/>
                <w:b w:val="0"/>
                <w:bCs w:val="0"/>
                <w:color w:val="auto"/>
                <w:sz w:val="24"/>
                <w:szCs w:val="22"/>
                <w:u w:val="none"/>
                <w:lang w:val="en-US" w:eastAsia="zh-CN"/>
              </w:rPr>
              <w:t>14</w:t>
            </w:r>
            <w:r>
              <w:rPr>
                <w:rFonts w:hint="default" w:ascii="Times New Roman" w:hAnsi="Times New Roman" w:eastAsia="黑体" w:cs="Times New Roman"/>
                <w:b w:val="0"/>
                <w:bCs w:val="0"/>
                <w:sz w:val="24"/>
                <w:szCs w:val="22"/>
                <w:u w:val="none"/>
              </w:rPr>
              <w:t xml:space="preserve">  风险评价工作等级</w:t>
            </w:r>
          </w:p>
          <w:tbl>
            <w:tblPr>
              <w:tblStyle w:val="28"/>
              <w:tblW w:w="0" w:type="auto"/>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85"/>
              <w:gridCol w:w="1277"/>
              <w:gridCol w:w="582"/>
              <w:gridCol w:w="1133"/>
              <w:gridCol w:w="2774"/>
            </w:tblGrid>
            <w:tr w14:paraId="69397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935" w:type="dxa"/>
                  <w:tcBorders>
                    <w:tl2br w:val="nil"/>
                    <w:tr2bl w:val="nil"/>
                  </w:tcBorders>
                  <w:noWrap w:val="0"/>
                  <w:vAlign w:val="center"/>
                </w:tcPr>
                <w:p w14:paraId="39F115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环境风险潜势</w:t>
                  </w:r>
                </w:p>
              </w:tc>
              <w:tc>
                <w:tcPr>
                  <w:tcW w:w="1317" w:type="dxa"/>
                  <w:tcBorders>
                    <w:tl2br w:val="nil"/>
                    <w:tr2bl w:val="nil"/>
                  </w:tcBorders>
                  <w:noWrap w:val="0"/>
                  <w:vAlign w:val="center"/>
                </w:tcPr>
                <w:p w14:paraId="408E81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ascii="Times New Roman" w:hAnsi="Times New Roman" w:eastAsia="宋体" w:cs="Times New Roman"/>
                      <w:b w:val="0"/>
                      <w:bCs w:val="0"/>
                      <w:sz w:val="21"/>
                      <w:szCs w:val="21"/>
                      <w:u w:val="none"/>
                    </w:rPr>
                    <w:t>Ⅳ</w:t>
                  </w:r>
                  <w:r>
                    <w:rPr>
                      <w:rFonts w:hint="default" w:ascii="Times New Roman" w:hAnsi="Times New Roman" w:eastAsia="宋体" w:cs="Times New Roman"/>
                      <w:b w:val="0"/>
                      <w:bCs w:val="0"/>
                      <w:kern w:val="0"/>
                      <w:sz w:val="21"/>
                      <w:szCs w:val="21"/>
                      <w:u w:val="none"/>
                    </w:rPr>
                    <w:t>、</w:t>
                  </w:r>
                  <w:r>
                    <w:rPr>
                      <w:rFonts w:ascii="Times New Roman" w:hAnsi="Times New Roman" w:eastAsia="宋体" w:cs="Times New Roman"/>
                      <w:b w:val="0"/>
                      <w:bCs w:val="0"/>
                      <w:sz w:val="21"/>
                      <w:szCs w:val="21"/>
                      <w:u w:val="none"/>
                    </w:rPr>
                    <w:t>Ⅳ</w:t>
                  </w:r>
                  <w:r>
                    <w:rPr>
                      <w:rFonts w:ascii="Times New Roman" w:hAnsi="Times New Roman" w:eastAsia="宋体" w:cs="Times New Roman"/>
                      <w:b w:val="0"/>
                      <w:bCs w:val="0"/>
                      <w:sz w:val="21"/>
                      <w:szCs w:val="21"/>
                      <w:u w:val="none"/>
                      <w:vertAlign w:val="superscript"/>
                    </w:rPr>
                    <w:t>+</w:t>
                  </w:r>
                </w:p>
              </w:tc>
              <w:tc>
                <w:tcPr>
                  <w:tcW w:w="592" w:type="dxa"/>
                  <w:tcBorders>
                    <w:tl2br w:val="nil"/>
                    <w:tr2bl w:val="nil"/>
                  </w:tcBorders>
                  <w:noWrap w:val="0"/>
                  <w:vAlign w:val="center"/>
                </w:tcPr>
                <w:p w14:paraId="5764F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Ⅲ</w:t>
                  </w:r>
                </w:p>
              </w:tc>
              <w:tc>
                <w:tcPr>
                  <w:tcW w:w="1178" w:type="dxa"/>
                  <w:tcBorders>
                    <w:tl2br w:val="nil"/>
                    <w:tr2bl w:val="nil"/>
                  </w:tcBorders>
                  <w:noWrap w:val="0"/>
                  <w:vAlign w:val="center"/>
                </w:tcPr>
                <w:p w14:paraId="09EC21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Ⅱ</w:t>
                  </w:r>
                </w:p>
              </w:tc>
              <w:tc>
                <w:tcPr>
                  <w:tcW w:w="2924" w:type="dxa"/>
                  <w:tcBorders>
                    <w:tl2br w:val="nil"/>
                    <w:tr2bl w:val="nil"/>
                  </w:tcBorders>
                  <w:noWrap w:val="0"/>
                  <w:vAlign w:val="center"/>
                </w:tcPr>
                <w:p w14:paraId="2BC64F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Ⅰ</w:t>
                  </w:r>
                </w:p>
              </w:tc>
            </w:tr>
            <w:tr w14:paraId="38371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blHeader/>
              </w:trPr>
              <w:tc>
                <w:tcPr>
                  <w:tcW w:w="2935" w:type="dxa"/>
                  <w:tcBorders>
                    <w:tl2br w:val="nil"/>
                    <w:tr2bl w:val="nil"/>
                  </w:tcBorders>
                  <w:noWrap w:val="0"/>
                  <w:vAlign w:val="center"/>
                </w:tcPr>
                <w:p w14:paraId="71A8CE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评价工作等级</w:t>
                  </w:r>
                </w:p>
              </w:tc>
              <w:tc>
                <w:tcPr>
                  <w:tcW w:w="1317" w:type="dxa"/>
                  <w:tcBorders>
                    <w:tl2br w:val="nil"/>
                    <w:tr2bl w:val="nil"/>
                  </w:tcBorders>
                  <w:noWrap w:val="0"/>
                  <w:vAlign w:val="center"/>
                </w:tcPr>
                <w:p w14:paraId="25BE7A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一</w:t>
                  </w:r>
                </w:p>
              </w:tc>
              <w:tc>
                <w:tcPr>
                  <w:tcW w:w="592" w:type="dxa"/>
                  <w:tcBorders>
                    <w:tl2br w:val="nil"/>
                    <w:tr2bl w:val="nil"/>
                  </w:tcBorders>
                  <w:noWrap w:val="0"/>
                  <w:vAlign w:val="center"/>
                </w:tcPr>
                <w:p w14:paraId="3A0D13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二</w:t>
                  </w:r>
                </w:p>
              </w:tc>
              <w:tc>
                <w:tcPr>
                  <w:tcW w:w="1178" w:type="dxa"/>
                  <w:tcBorders>
                    <w:tl2br w:val="nil"/>
                    <w:tr2bl w:val="nil"/>
                  </w:tcBorders>
                  <w:noWrap w:val="0"/>
                  <w:vAlign w:val="center"/>
                </w:tcPr>
                <w:p w14:paraId="274133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三</w:t>
                  </w:r>
                </w:p>
              </w:tc>
              <w:tc>
                <w:tcPr>
                  <w:tcW w:w="2924" w:type="dxa"/>
                  <w:tcBorders>
                    <w:tl2br w:val="nil"/>
                    <w:tr2bl w:val="nil"/>
                  </w:tcBorders>
                  <w:noWrap w:val="0"/>
                  <w:vAlign w:val="center"/>
                </w:tcPr>
                <w:p w14:paraId="6D943F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rPr>
                    <w:t>简单分析</w:t>
                  </w:r>
                </w:p>
              </w:tc>
            </w:tr>
            <w:tr w14:paraId="7FE19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blHeader/>
              </w:trPr>
              <w:tc>
                <w:tcPr>
                  <w:tcW w:w="8946" w:type="dxa"/>
                  <w:gridSpan w:val="5"/>
                  <w:tcBorders>
                    <w:tl2br w:val="nil"/>
                    <w:tr2bl w:val="nil"/>
                  </w:tcBorders>
                  <w:noWrap w:val="0"/>
                  <w:vAlign w:val="center"/>
                </w:tcPr>
                <w:p w14:paraId="29254D7B">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b w:val="0"/>
                      <w:bCs w:val="0"/>
                      <w:kern w:val="0"/>
                      <w:sz w:val="21"/>
                      <w:szCs w:val="21"/>
                      <w:u w:val="none"/>
                      <w:lang w:eastAsia="zh-CN"/>
                    </w:rPr>
                    <w:t>a是相对于详细评价工作内容而言，在描述危险物质、环境影响途径、环境危害后果、风险防范措施等方面给出定性的说明，见附录A。</w:t>
                  </w:r>
                </w:p>
              </w:tc>
            </w:tr>
          </w:tbl>
          <w:p w14:paraId="2E16A81C">
            <w:pPr>
              <w:spacing w:line="360" w:lineRule="auto"/>
              <w:ind w:firstLine="480" w:firstLineChars="200"/>
              <w:rPr>
                <w:rFonts w:hint="eastAsia"/>
                <w:b w:val="0"/>
                <w:bCs w:val="0"/>
                <w:color w:val="000000"/>
                <w:szCs w:val="24"/>
                <w:u w:val="none"/>
              </w:rPr>
            </w:pPr>
            <w:r>
              <w:rPr>
                <w:rFonts w:hint="eastAsia"/>
                <w:b w:val="0"/>
                <w:bCs w:val="0"/>
                <w:color w:val="000000"/>
                <w:szCs w:val="24"/>
                <w:u w:val="none"/>
              </w:rPr>
              <w:t>根据上表判定结果，本次环境风险评价工作等级为简单分析。</w:t>
            </w:r>
          </w:p>
          <w:p w14:paraId="4A17118D">
            <w:pPr>
              <w:bidi w:val="0"/>
            </w:pPr>
            <w:r>
              <w:rPr>
                <w:rFonts w:hint="eastAsia"/>
                <w:lang w:val="en-US" w:eastAsia="zh-CN"/>
              </w:rPr>
              <w:t>6</w:t>
            </w:r>
            <w:r>
              <w:t>.3环境风险识别</w:t>
            </w:r>
          </w:p>
          <w:p w14:paraId="4F367D11">
            <w:pPr>
              <w:bidi w:val="0"/>
              <w:rPr>
                <w:rFonts w:hint="eastAsia"/>
                <w:lang w:val="en-GB" w:eastAsia="zh-CN"/>
              </w:rPr>
            </w:pPr>
            <w:r>
              <w:rPr>
                <w:rFonts w:hint="eastAsia"/>
                <w:lang w:val="en-GB" w:eastAsia="zh-CN"/>
              </w:rPr>
              <w:t>（</w:t>
            </w:r>
            <w:r>
              <w:rPr>
                <w:rFonts w:hint="eastAsia"/>
                <w:lang w:val="en-US" w:eastAsia="zh-CN"/>
              </w:rPr>
              <w:t>1</w:t>
            </w:r>
            <w:r>
              <w:rPr>
                <w:rFonts w:hint="eastAsia"/>
                <w:lang w:val="en-GB" w:eastAsia="zh-CN"/>
              </w:rPr>
              <w:t>）危险物质风险识别</w:t>
            </w:r>
          </w:p>
          <w:p w14:paraId="117B7DA5">
            <w:pPr>
              <w:bidi w:val="0"/>
              <w:rPr>
                <w:rFonts w:hint="eastAsia"/>
                <w:lang w:val="en-GB" w:eastAsia="zh-CN"/>
              </w:rPr>
            </w:pPr>
            <w:r>
              <w:rPr>
                <w:rFonts w:hint="eastAsia"/>
                <w:lang w:val="en-GB" w:eastAsia="zh-CN"/>
              </w:rPr>
              <w:t>本项目全厂生产过程中涉及的风险物质有</w:t>
            </w:r>
            <w:r>
              <w:rPr>
                <w:rFonts w:hint="eastAsia"/>
                <w:lang w:val="en-US" w:eastAsia="zh-CN"/>
              </w:rPr>
              <w:t>呋喃树脂中的</w:t>
            </w:r>
            <w:r>
              <w:rPr>
                <w:rFonts w:hint="eastAsia"/>
                <w:lang w:val="en-GB" w:eastAsia="zh-CN"/>
              </w:rPr>
              <w:t>糠醇、</w:t>
            </w:r>
            <w:r>
              <w:rPr>
                <w:rFonts w:hint="eastAsia"/>
                <w:lang w:val="en-US" w:eastAsia="zh-CN"/>
              </w:rPr>
              <w:t>甲醛</w:t>
            </w:r>
            <w:r>
              <w:rPr>
                <w:rFonts w:hint="eastAsia"/>
                <w:lang w:val="en-GB" w:eastAsia="zh-CN"/>
              </w:rPr>
              <w:t>，主要危险特性详见</w:t>
            </w:r>
            <w:r>
              <w:rPr>
                <w:rFonts w:hint="eastAsia"/>
                <w:lang w:val="en-US" w:eastAsia="zh-CN"/>
              </w:rPr>
              <w:t>下</w:t>
            </w:r>
            <w:r>
              <w:rPr>
                <w:rFonts w:hint="eastAsia"/>
                <w:lang w:val="en-GB" w:eastAsia="zh-CN"/>
              </w:rPr>
              <w:t>表。</w:t>
            </w:r>
          </w:p>
          <w:p w14:paraId="6737C87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color w:val="000000"/>
                <w:sz w:val="24"/>
                <w:szCs w:val="24"/>
                <w:highlight w:val="none"/>
                <w:u w:val="none" w:color="auto"/>
              </w:rPr>
            </w:pPr>
            <w:r>
              <w:rPr>
                <w:rFonts w:hint="default" w:ascii="Times New Roman" w:hAnsi="Times New Roman" w:eastAsia="黑体" w:cs="Times New Roman"/>
                <w:b w:val="0"/>
                <w:bCs/>
                <w:color w:val="000000"/>
                <w:sz w:val="24"/>
                <w:szCs w:val="24"/>
                <w:highlight w:val="none"/>
                <w:u w:val="none" w:color="auto"/>
              </w:rPr>
              <w:t>表4-</w:t>
            </w:r>
            <w:r>
              <w:rPr>
                <w:rFonts w:hint="eastAsia" w:ascii="Times New Roman" w:hAnsi="Times New Roman" w:eastAsia="黑体" w:cs="Times New Roman"/>
                <w:b w:val="0"/>
                <w:bCs/>
                <w:color w:val="000000"/>
                <w:sz w:val="24"/>
                <w:szCs w:val="24"/>
                <w:highlight w:val="none"/>
                <w:u w:val="none" w:color="auto"/>
                <w:lang w:val="en-US" w:eastAsia="zh-CN"/>
              </w:rPr>
              <w:t>15</w:t>
            </w:r>
            <w:r>
              <w:rPr>
                <w:rFonts w:hint="default" w:ascii="Times New Roman" w:hAnsi="Times New Roman" w:eastAsia="黑体" w:cs="Times New Roman"/>
                <w:b w:val="0"/>
                <w:bCs/>
                <w:color w:val="000000"/>
                <w:sz w:val="24"/>
                <w:szCs w:val="24"/>
                <w:highlight w:val="none"/>
                <w:u w:val="none" w:color="auto"/>
              </w:rPr>
              <w:t xml:space="preserve">  糠醇危险特性一览表</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04"/>
              <w:gridCol w:w="7452"/>
            </w:tblGrid>
            <w:tr w14:paraId="24940F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2A40EB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标识</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4660FFD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名称：糠醇；CAS：</w:t>
                  </w:r>
                  <w:r>
                    <w:rPr>
                      <w:rFonts w:hint="default" w:ascii="Times New Roman" w:hAnsi="Times New Roman" w:cs="Times New Roman"/>
                      <w:bCs/>
                      <w:color w:val="000000"/>
                      <w:sz w:val="21"/>
                      <w:szCs w:val="21"/>
                      <w:highlight w:val="none"/>
                      <w:u w:val="none" w:color="auto"/>
                    </w:rPr>
                    <w:fldChar w:fldCharType="begin"/>
                  </w:r>
                  <w:r>
                    <w:rPr>
                      <w:rFonts w:hint="default" w:ascii="Times New Roman" w:hAnsi="Times New Roman" w:cs="Times New Roman"/>
                      <w:bCs/>
                      <w:color w:val="000000"/>
                      <w:sz w:val="21"/>
                      <w:szCs w:val="21"/>
                      <w:highlight w:val="none"/>
                      <w:u w:val="none" w:color="auto"/>
                    </w:rPr>
                    <w:instrText xml:space="preserve"> HYPERLINK "https://www.chemsrc.com/baike/1189658.html" \t "https://www.chemsrc.com/cas/_blank" </w:instrText>
                  </w:r>
                  <w:r>
                    <w:rPr>
                      <w:rFonts w:hint="default" w:ascii="Times New Roman" w:hAnsi="Times New Roman" w:cs="Times New Roman"/>
                      <w:bCs/>
                      <w:color w:val="000000"/>
                      <w:sz w:val="21"/>
                      <w:szCs w:val="21"/>
                      <w:highlight w:val="none"/>
                      <w:u w:val="none" w:color="auto"/>
                    </w:rPr>
                    <w:fldChar w:fldCharType="separate"/>
                  </w:r>
                  <w:r>
                    <w:rPr>
                      <w:rFonts w:hint="default" w:ascii="Times New Roman" w:hAnsi="Times New Roman" w:cs="Times New Roman"/>
                      <w:bCs/>
                      <w:color w:val="000000"/>
                      <w:sz w:val="21"/>
                      <w:szCs w:val="21"/>
                      <w:highlight w:val="none"/>
                      <w:u w:val="none" w:color="auto"/>
                    </w:rPr>
                    <w:t>98-00-0</w:t>
                  </w:r>
                  <w:r>
                    <w:rPr>
                      <w:rFonts w:hint="default" w:ascii="Times New Roman" w:hAnsi="Times New Roman" w:cs="Times New Roman"/>
                      <w:bCs/>
                      <w:color w:val="000000"/>
                      <w:sz w:val="21"/>
                      <w:szCs w:val="21"/>
                      <w:highlight w:val="none"/>
                      <w:u w:val="none" w:color="auto"/>
                    </w:rPr>
                    <w:fldChar w:fldCharType="end"/>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分子式</w:t>
                  </w:r>
                  <w:r>
                    <w:rPr>
                      <w:rFonts w:hint="default" w:ascii="Times New Roman" w:hAnsi="Times New Roman" w:eastAsia="宋体" w:cs="Times New Roman"/>
                      <w:bCs/>
                      <w:color w:val="000000"/>
                      <w:sz w:val="21"/>
                      <w:szCs w:val="21"/>
                      <w:highlight w:val="none"/>
                      <w:u w:val="none" w:color="auto"/>
                    </w:rPr>
                    <w:t>：C</w:t>
                  </w:r>
                  <w:r>
                    <w:rPr>
                      <w:rFonts w:hint="default" w:ascii="Times New Roman" w:hAnsi="Times New Roman" w:eastAsia="宋体" w:cs="Times New Roman"/>
                      <w:bCs/>
                      <w:color w:val="000000"/>
                      <w:sz w:val="21"/>
                      <w:szCs w:val="21"/>
                      <w:highlight w:val="none"/>
                      <w:u w:val="none" w:color="auto"/>
                      <w:vertAlign w:val="subscript"/>
                    </w:rPr>
                    <w:t>5</w:t>
                  </w:r>
                  <w:r>
                    <w:rPr>
                      <w:rFonts w:hint="default" w:ascii="Times New Roman" w:hAnsi="Times New Roman" w:eastAsia="宋体" w:cs="Times New Roman"/>
                      <w:bCs/>
                      <w:color w:val="000000"/>
                      <w:sz w:val="21"/>
                      <w:szCs w:val="21"/>
                      <w:highlight w:val="none"/>
                      <w:u w:val="none" w:color="auto"/>
                    </w:rPr>
                    <w:t>H</w:t>
                  </w:r>
                  <w:r>
                    <w:rPr>
                      <w:rFonts w:hint="default" w:ascii="Times New Roman" w:hAnsi="Times New Roman" w:eastAsia="宋体" w:cs="Times New Roman"/>
                      <w:bCs/>
                      <w:color w:val="000000"/>
                      <w:sz w:val="21"/>
                      <w:szCs w:val="21"/>
                      <w:highlight w:val="none"/>
                      <w:u w:val="none" w:color="auto"/>
                      <w:vertAlign w:val="subscript"/>
                    </w:rPr>
                    <w:t>6</w:t>
                  </w:r>
                  <w:r>
                    <w:rPr>
                      <w:rFonts w:hint="default" w:ascii="Times New Roman" w:hAnsi="Times New Roman" w:eastAsia="宋体" w:cs="Times New Roman"/>
                      <w:bCs/>
                      <w:color w:val="000000"/>
                      <w:sz w:val="21"/>
                      <w:szCs w:val="21"/>
                      <w:highlight w:val="none"/>
                      <w:u w:val="none" w:color="auto"/>
                    </w:rPr>
                    <w:t>O</w:t>
                  </w:r>
                  <w:r>
                    <w:rPr>
                      <w:rFonts w:hint="default" w:ascii="Times New Roman" w:hAnsi="Times New Roman" w:eastAsia="宋体" w:cs="Times New Roman"/>
                      <w:bCs/>
                      <w:color w:val="000000"/>
                      <w:sz w:val="21"/>
                      <w:szCs w:val="21"/>
                      <w:highlight w:val="none"/>
                      <w:u w:val="none" w:color="auto"/>
                      <w:vertAlign w:val="subscript"/>
                    </w:rPr>
                    <w:t>2</w:t>
                  </w:r>
                </w:p>
              </w:tc>
            </w:tr>
            <w:tr w14:paraId="154F98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3F1004F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理化特性</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503C2BF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外观与性状：无色易流动液体，具有特殊的苦辣气味。</w:t>
                  </w:r>
                </w:p>
                <w:p w14:paraId="047467B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主要用途：用于合成树脂和加工染料等。</w:t>
                  </w:r>
                </w:p>
                <w:p w14:paraId="699653B8">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沸点（℃）：</w:t>
                  </w:r>
                  <w:r>
                    <w:rPr>
                      <w:rFonts w:hint="default" w:ascii="Times New Roman" w:hAnsi="Times New Roman" w:cs="Times New Roman"/>
                      <w:bCs/>
                      <w:color w:val="000000"/>
                      <w:sz w:val="21"/>
                      <w:szCs w:val="21"/>
                      <w:highlight w:val="none"/>
                      <w:u w:val="none" w:color="auto"/>
                      <w:lang w:val="en-US" w:eastAsia="zh-CN"/>
                    </w:rPr>
                    <w:t>171</w:t>
                  </w:r>
                  <w:r>
                    <w:rPr>
                      <w:rFonts w:hint="default" w:ascii="Times New Roman" w:hAnsi="Times New Roman" w:cs="Times New Roman"/>
                      <w:bCs/>
                      <w:color w:val="000000"/>
                      <w:sz w:val="21"/>
                      <w:szCs w:val="21"/>
                      <w:highlight w:val="none"/>
                      <w:u w:val="none" w:color="auto"/>
                    </w:rPr>
                    <w:t>℃</w:t>
                  </w:r>
                </w:p>
              </w:tc>
            </w:tr>
            <w:tr w14:paraId="291C55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73D88A4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燃烧、爆炸危险特性</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5982F6E7">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爆炸极限（v%）：</w:t>
                  </w:r>
                  <w:r>
                    <w:rPr>
                      <w:rFonts w:hint="default" w:ascii="Times New Roman" w:hAnsi="Times New Roman" w:eastAsia="宋体" w:cs="Times New Roman"/>
                      <w:bCs/>
                      <w:color w:val="000000"/>
                      <w:sz w:val="21"/>
                      <w:szCs w:val="21"/>
                      <w:highlight w:val="none"/>
                      <w:u w:val="none" w:color="auto"/>
                      <w:lang w:val="en-US" w:eastAsia="zh-CN"/>
                    </w:rPr>
                    <w:t>1.8</w:t>
                  </w:r>
                  <w:r>
                    <w:rPr>
                      <w:rFonts w:hint="default" w:ascii="Times New Roman" w:hAnsi="Times New Roman" w:cs="Times New Roman"/>
                      <w:bCs/>
                      <w:color w:val="000000"/>
                      <w:sz w:val="21"/>
                      <w:szCs w:val="21"/>
                      <w:highlight w:val="none"/>
                      <w:u w:val="none" w:color="auto"/>
                    </w:rPr>
                    <w:t>-</w:t>
                  </w:r>
                  <w:r>
                    <w:rPr>
                      <w:rFonts w:hint="default" w:ascii="Times New Roman" w:hAnsi="Times New Roman" w:eastAsia="宋体" w:cs="Times New Roman"/>
                      <w:bCs/>
                      <w:color w:val="000000"/>
                      <w:sz w:val="21"/>
                      <w:szCs w:val="21"/>
                      <w:highlight w:val="none"/>
                      <w:u w:val="none" w:color="auto"/>
                      <w:lang w:val="en-US" w:eastAsia="zh-CN"/>
                    </w:rPr>
                    <w:t>16.3</w:t>
                  </w:r>
                  <w:r>
                    <w:rPr>
                      <w:rFonts w:hint="default" w:ascii="Times New Roman" w:hAnsi="Times New Roman" w:cs="Times New Roman"/>
                      <w:bCs/>
                      <w:color w:val="000000"/>
                      <w:sz w:val="21"/>
                      <w:szCs w:val="21"/>
                      <w:highlight w:val="none"/>
                      <w:u w:val="none" w:color="auto"/>
                    </w:rPr>
                    <w:t>；闪点：</w:t>
                  </w:r>
                  <w:r>
                    <w:rPr>
                      <w:rFonts w:hint="default" w:ascii="Times New Roman" w:hAnsi="Times New Roman" w:cs="Times New Roman"/>
                      <w:bCs/>
                      <w:color w:val="000000"/>
                      <w:sz w:val="21"/>
                      <w:szCs w:val="21"/>
                      <w:highlight w:val="none"/>
                      <w:u w:val="none" w:color="auto"/>
                      <w:lang w:val="en-US" w:eastAsia="zh-CN"/>
                    </w:rPr>
                    <w:t>65℃</w:t>
                  </w:r>
                  <w:r>
                    <w:rPr>
                      <w:rFonts w:hint="default" w:ascii="Times New Roman" w:hAnsi="Times New Roman" w:cs="Times New Roman"/>
                      <w:bCs/>
                      <w:color w:val="000000"/>
                      <w:sz w:val="21"/>
                      <w:szCs w:val="21"/>
                      <w:highlight w:val="none"/>
                      <w:u w:val="none" w:color="auto"/>
                    </w:rPr>
                    <w:t>；</w:t>
                  </w:r>
                </w:p>
                <w:p w14:paraId="5D1D3F0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危险特性：</w:t>
                  </w:r>
                  <w:r>
                    <w:rPr>
                      <w:rFonts w:hint="default" w:ascii="Times New Roman" w:hAnsi="Times New Roman" w:cs="Times New Roman"/>
                      <w:bCs/>
                      <w:color w:val="000000"/>
                      <w:sz w:val="21"/>
                      <w:szCs w:val="21"/>
                      <w:highlight w:val="none"/>
                      <w:u w:val="none" w:color="auto"/>
                      <w:lang w:eastAsia="zh-CN"/>
                    </w:rPr>
                    <w:t>遇明火、高热可燃。与氧化剂可发生反应。与强酸接触能发生强烈反应</w:t>
                  </w:r>
                  <w:r>
                    <w:rPr>
                      <w:rFonts w:hint="eastAsia"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lang w:eastAsia="zh-CN"/>
                    </w:rPr>
                    <w:t>引起燃烧或爆炸。其蒸气比空气重，能在较低处扩散到相当远的地方，遇火源会着火回燃。若遇高热，容器内压增大，有开裂和爆炸的危险。</w:t>
                  </w:r>
                </w:p>
                <w:p w14:paraId="1EEE11E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000000"/>
                      <w:sz w:val="21"/>
                      <w:szCs w:val="21"/>
                      <w:highlight w:val="none"/>
                      <w:u w:val="none" w:color="auto"/>
                      <w:lang w:eastAsia="zh-CN"/>
                    </w:rPr>
                  </w:pPr>
                  <w:r>
                    <w:rPr>
                      <w:rFonts w:hint="default" w:ascii="Times New Roman" w:hAnsi="Times New Roman" w:cs="Times New Roman"/>
                      <w:bCs/>
                      <w:color w:val="000000"/>
                      <w:sz w:val="21"/>
                      <w:szCs w:val="21"/>
                      <w:highlight w:val="none"/>
                      <w:u w:val="none" w:color="auto"/>
                    </w:rPr>
                    <w:t>稳定性：在常温常压下稳定</w:t>
                  </w:r>
                  <w:r>
                    <w:rPr>
                      <w:rFonts w:hint="default" w:ascii="Times New Roman" w:hAnsi="Times New Roman" w:cs="Times New Roman"/>
                      <w:bCs/>
                      <w:color w:val="000000"/>
                      <w:sz w:val="21"/>
                      <w:szCs w:val="21"/>
                      <w:highlight w:val="none"/>
                      <w:u w:val="none" w:color="auto"/>
                      <w:lang w:eastAsia="zh-CN"/>
                    </w:rPr>
                    <w:t>。</w:t>
                  </w:r>
                </w:p>
                <w:p w14:paraId="167CFD7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禁忌物：酰基氯、氧、酸类</w:t>
                  </w:r>
                </w:p>
                <w:p w14:paraId="51A4465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灭火方法：采用</w:t>
                  </w:r>
                  <w:r>
                    <w:rPr>
                      <w:rFonts w:hint="default" w:ascii="Times New Roman" w:hAnsi="Times New Roman" w:cs="Times New Roman"/>
                      <w:bCs/>
                      <w:color w:val="000000"/>
                      <w:sz w:val="21"/>
                      <w:szCs w:val="21"/>
                      <w:highlight w:val="none"/>
                      <w:u w:val="none" w:color="auto"/>
                      <w:lang w:eastAsia="zh-CN"/>
                    </w:rPr>
                    <w:t>雾状水、泡沫、干粉、二氧化碳、砂土</w:t>
                  </w:r>
                  <w:r>
                    <w:rPr>
                      <w:rFonts w:hint="default" w:ascii="Times New Roman" w:hAnsi="Times New Roman" w:cs="Times New Roman"/>
                      <w:bCs/>
                      <w:color w:val="000000"/>
                      <w:sz w:val="21"/>
                      <w:szCs w:val="21"/>
                      <w:highlight w:val="none"/>
                      <w:u w:val="none" w:color="auto"/>
                    </w:rPr>
                    <w:t>灭火。</w:t>
                  </w:r>
                </w:p>
              </w:tc>
            </w:tr>
            <w:tr w14:paraId="2EF965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759335A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健康危害</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03020F72">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bCs/>
                      <w:color w:val="000000"/>
                      <w:sz w:val="21"/>
                      <w:szCs w:val="21"/>
                      <w:highlight w:val="none"/>
                      <w:u w:val="none" w:color="auto"/>
                      <w:lang w:eastAsia="zh-CN"/>
                    </w:rPr>
                  </w:pPr>
                  <w:r>
                    <w:rPr>
                      <w:rFonts w:hint="default" w:ascii="Times New Roman" w:hAnsi="Times New Roman" w:cs="Times New Roman"/>
                      <w:bCs/>
                      <w:color w:val="000000"/>
                      <w:sz w:val="21"/>
                      <w:szCs w:val="21"/>
                      <w:highlight w:val="none"/>
                      <w:u w:val="none" w:color="auto"/>
                    </w:rPr>
                    <w:t>毒性：</w:t>
                  </w:r>
                  <w:r>
                    <w:rPr>
                      <w:rFonts w:hint="default" w:ascii="Times New Roman" w:hAnsi="Times New Roman" w:eastAsia="宋体" w:cs="Times New Roman"/>
                      <w:i w:val="0"/>
                      <w:iCs w:val="0"/>
                      <w:caps w:val="0"/>
                      <w:color w:val="000000"/>
                      <w:spacing w:val="0"/>
                      <w:sz w:val="21"/>
                      <w:szCs w:val="21"/>
                      <w:u w:val="none" w:color="auto"/>
                      <w:shd w:val="clear" w:color="auto" w:fill="FFFFFF"/>
                    </w:rPr>
                    <w:t>LD</w:t>
                  </w:r>
                  <w:r>
                    <w:rPr>
                      <w:rFonts w:hint="default" w:ascii="Times New Roman" w:hAnsi="Times New Roman" w:eastAsia="宋体" w:cs="Times New Roman"/>
                      <w:i w:val="0"/>
                      <w:iCs w:val="0"/>
                      <w:caps w:val="0"/>
                      <w:color w:val="000000"/>
                      <w:spacing w:val="0"/>
                      <w:sz w:val="21"/>
                      <w:szCs w:val="21"/>
                      <w:u w:val="none" w:color="auto"/>
                      <w:shd w:val="clear" w:color="auto" w:fill="FFFFFF"/>
                      <w:vertAlign w:val="subscript"/>
                    </w:rPr>
                    <w:t>50</w:t>
                  </w:r>
                  <w:r>
                    <w:rPr>
                      <w:rFonts w:hint="default" w:ascii="Times New Roman" w:hAnsi="Times New Roman" w:eastAsia="Helvetica" w:cs="Times New Roman"/>
                      <w:i w:val="0"/>
                      <w:iCs w:val="0"/>
                      <w:caps w:val="0"/>
                      <w:color w:val="000000"/>
                      <w:spacing w:val="0"/>
                      <w:sz w:val="21"/>
                      <w:szCs w:val="21"/>
                      <w:u w:val="none" w:color="auto"/>
                      <w:shd w:val="clear" w:color="auto" w:fill="FFFFFF"/>
                    </w:rPr>
                    <w:t>：</w:t>
                  </w:r>
                  <w:r>
                    <w:rPr>
                      <w:rFonts w:hint="default" w:ascii="Times New Roman" w:hAnsi="Times New Roman" w:eastAsia="宋体" w:cs="Times New Roman"/>
                      <w:i w:val="0"/>
                      <w:iCs w:val="0"/>
                      <w:caps w:val="0"/>
                      <w:color w:val="000000"/>
                      <w:spacing w:val="0"/>
                      <w:sz w:val="21"/>
                      <w:szCs w:val="21"/>
                      <w:u w:val="none" w:color="auto"/>
                      <w:shd w:val="clear" w:color="auto" w:fill="FFFFFF"/>
                      <w:lang w:val="en-US" w:eastAsia="zh-CN"/>
                    </w:rPr>
                    <w:t>275</w:t>
                  </w:r>
                  <w:r>
                    <w:rPr>
                      <w:rFonts w:hint="default" w:ascii="Times New Roman" w:hAnsi="Times New Roman" w:eastAsia="Helvetica" w:cs="Times New Roman"/>
                      <w:i w:val="0"/>
                      <w:iCs w:val="0"/>
                      <w:caps w:val="0"/>
                      <w:color w:val="000000"/>
                      <w:spacing w:val="0"/>
                      <w:sz w:val="21"/>
                      <w:szCs w:val="21"/>
                      <w:u w:val="none" w:color="auto"/>
                      <w:shd w:val="clear" w:color="auto" w:fill="FFFFFF"/>
                    </w:rPr>
                    <w:t>mg</w:t>
                  </w:r>
                  <w:r>
                    <w:rPr>
                      <w:rFonts w:hint="default" w:ascii="Times New Roman" w:hAnsi="Times New Roman" w:eastAsia="宋体" w:cs="Times New Roman"/>
                      <w:i w:val="0"/>
                      <w:iCs w:val="0"/>
                      <w:caps w:val="0"/>
                      <w:color w:val="000000"/>
                      <w:spacing w:val="0"/>
                      <w:sz w:val="21"/>
                      <w:szCs w:val="21"/>
                      <w:u w:val="none" w:color="auto"/>
                      <w:shd w:val="clear" w:color="auto" w:fill="FFFFFF"/>
                      <w:lang w:val="en-US"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kg</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大鼠经口</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cs="Times New Roman"/>
                      <w:bCs/>
                      <w:color w:val="000000"/>
                      <w:sz w:val="21"/>
                      <w:szCs w:val="21"/>
                      <w:highlight w:val="none"/>
                      <w:u w:val="none" w:color="auto"/>
                    </w:rPr>
                    <w:t>；LC</w:t>
                  </w:r>
                  <w:r>
                    <w:rPr>
                      <w:rFonts w:hint="default" w:ascii="Times New Roman" w:hAnsi="Times New Roman" w:cs="Times New Roman"/>
                      <w:bCs/>
                      <w:color w:val="000000"/>
                      <w:sz w:val="21"/>
                      <w:szCs w:val="21"/>
                      <w:highlight w:val="none"/>
                      <w:u w:val="none" w:color="auto"/>
                      <w:vertAlign w:val="subscript"/>
                    </w:rPr>
                    <w:t>50</w:t>
                  </w:r>
                  <w:r>
                    <w:rPr>
                      <w:rFonts w:hint="default" w:ascii="Times New Roman" w:hAnsi="Times New Roman" w:cs="Times New Roman"/>
                      <w:bCs/>
                      <w:color w:val="000000"/>
                      <w:sz w:val="21"/>
                      <w:szCs w:val="21"/>
                      <w:highlight w:val="none"/>
                      <w:u w:val="none" w:color="auto"/>
                    </w:rPr>
                    <w:t>：</w:t>
                  </w:r>
                  <w:r>
                    <w:rPr>
                      <w:rFonts w:hint="default" w:ascii="Times New Roman" w:hAnsi="Times New Roman" w:cs="Times New Roman"/>
                      <w:bCs/>
                      <w:color w:val="000000"/>
                      <w:sz w:val="21"/>
                      <w:szCs w:val="21"/>
                      <w:highlight w:val="none"/>
                      <w:u w:val="none" w:color="auto"/>
                      <w:lang w:val="en-US" w:eastAsia="zh-CN"/>
                    </w:rPr>
                    <w:t>＞600</w:t>
                  </w:r>
                  <w:r>
                    <w:rPr>
                      <w:rFonts w:hint="default" w:ascii="Times New Roman" w:hAnsi="Times New Roman" w:eastAsia="Helvetica" w:cs="Times New Roman"/>
                      <w:i w:val="0"/>
                      <w:iCs w:val="0"/>
                      <w:caps w:val="0"/>
                      <w:color w:val="000000"/>
                      <w:spacing w:val="0"/>
                      <w:sz w:val="21"/>
                      <w:szCs w:val="21"/>
                      <w:u w:val="none" w:color="auto"/>
                      <w:shd w:val="clear" w:color="auto" w:fill="FFFFFF"/>
                    </w:rPr>
                    <w:t>mg</w:t>
                  </w:r>
                  <w:r>
                    <w:rPr>
                      <w:rFonts w:hint="default" w:ascii="Times New Roman" w:hAnsi="Times New Roman" w:eastAsia="宋体" w:cs="Times New Roman"/>
                      <w:i w:val="0"/>
                      <w:iCs w:val="0"/>
                      <w:caps w:val="0"/>
                      <w:color w:val="000000"/>
                      <w:spacing w:val="0"/>
                      <w:sz w:val="21"/>
                      <w:szCs w:val="21"/>
                      <w:u w:val="none" w:color="auto"/>
                      <w:shd w:val="clear" w:color="auto" w:fill="FFFFFF"/>
                      <w:lang w:val="en-US"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kg</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兔经皮</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p>
                <w:p w14:paraId="5585AB4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侵入途径：吸入食入经皮吸收</w:t>
                  </w:r>
                </w:p>
                <w:p w14:paraId="3D9D46B4">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健康危害：高浓度持续吸入引起咳嗽、气短和胸部紧束感。极高浓度可引起死亡。蒸气对眼有刺激性，液体可引起眼部炎症和角膜混浊。皮肤接触其液体，引起皮肤干燥和刺激。口服出现头痛、恶心，口腔和胃刺激。</w:t>
                  </w:r>
                </w:p>
              </w:tc>
            </w:tr>
            <w:tr w14:paraId="13E560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5FC1C8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急救措施</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69D24854">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皮肤接触</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脱去污染的衣着，立即用流动清水彻底冲洗。</w:t>
                  </w:r>
                </w:p>
                <w:p w14:paraId="10890EA2">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眼睛接触</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立即提起眼睑，用大量流动清水彻底冲洗。</w:t>
                  </w:r>
                </w:p>
                <w:p w14:paraId="0F66F23A">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吸入</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迅速脱离现场至空气新鲜处。保持呼吸道通畅。呼吸困难时给输氧。呼吸停止立即进行人工呼吸</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就医。</w:t>
                  </w:r>
                </w:p>
                <w:p w14:paraId="549893A8">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食入</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患者清醒时给饮大量温水，催吐，就医。</w:t>
                  </w:r>
                </w:p>
              </w:tc>
            </w:tr>
            <w:tr w14:paraId="2F78D4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595D0A5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防护措施</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0341AFB2">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密闭操作，提供充分的局部排风。操作人员必须经过专门培训，严格遵守操作规程。建议操作人员佩戴自吸过滤式防毒面具（半面罩），戴化学安全防护眼镜，穿防毒物渗透工作服，戴橡胶手套。远离火种、热源，工作场所严禁吸烟。使用防爆型的通风系统和设备。防止蒸气泄漏到工作场所空气中。避免与酸类接触。搬运时要轻装轻卸，防止包装及容器损坏。配备相应品种和数量的消防器材及泄漏应急处理设备。倒空的容器可能残留有害物。</w:t>
                  </w:r>
                </w:p>
              </w:tc>
            </w:tr>
            <w:tr w14:paraId="72D76F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036F135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bCs/>
                      <w:color w:val="000000"/>
                      <w:sz w:val="21"/>
                      <w:szCs w:val="21"/>
                      <w:highlight w:val="none"/>
                      <w:u w:val="none" w:color="auto"/>
                      <w:lang w:val="en-US" w:eastAsia="zh-CN"/>
                    </w:rPr>
                  </w:pPr>
                  <w:r>
                    <w:rPr>
                      <w:rFonts w:hint="default" w:ascii="Times New Roman" w:hAnsi="Times New Roman" w:cs="Times New Roman"/>
                      <w:bCs/>
                      <w:color w:val="000000"/>
                      <w:sz w:val="21"/>
                      <w:szCs w:val="21"/>
                      <w:highlight w:val="none"/>
                      <w:u w:val="none" w:color="auto"/>
                    </w:rPr>
                    <w:t>应急处理</w:t>
                  </w:r>
                  <w:r>
                    <w:rPr>
                      <w:rFonts w:hint="default" w:ascii="Times New Roman" w:hAnsi="Times New Roman" w:cs="Times New Roman"/>
                      <w:bCs/>
                      <w:color w:val="000000"/>
                      <w:sz w:val="21"/>
                      <w:szCs w:val="21"/>
                      <w:highlight w:val="none"/>
                      <w:u w:val="none" w:color="auto"/>
                      <w:lang w:val="en-US" w:eastAsia="zh-CN"/>
                    </w:rPr>
                    <w:t>措施</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48042A6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疏散泄漏污染区人员至安全区，禁止无关人员进入污染区，切断火源。建议应急处理人员戴自给式呼吸器，穿化学防护服。不要直接接触泄漏物，在确保安全情况下堵漏。喷雾状水，减少蒸发。用沙土或其它不燃性吸附剂混合吸收，然后收集运至废物处理场所处置。也可以用大量水冲洗，经稀释的洗水放入废水系统。如大量泄漏，收集回收或无害处理后废弃。</w:t>
                  </w:r>
                </w:p>
              </w:tc>
            </w:tr>
          </w:tbl>
          <w:p w14:paraId="7EA1638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color w:val="000000"/>
                <w:sz w:val="24"/>
                <w:szCs w:val="24"/>
                <w:highlight w:val="none"/>
                <w:u w:val="none" w:color="auto"/>
              </w:rPr>
            </w:pPr>
            <w:r>
              <w:rPr>
                <w:rFonts w:hint="default" w:ascii="Times New Roman" w:hAnsi="Times New Roman" w:eastAsia="黑体" w:cs="Times New Roman"/>
                <w:b w:val="0"/>
                <w:bCs/>
                <w:color w:val="000000"/>
                <w:sz w:val="24"/>
                <w:szCs w:val="24"/>
                <w:highlight w:val="none"/>
                <w:u w:val="none" w:color="auto"/>
              </w:rPr>
              <w:t>表4-</w:t>
            </w:r>
            <w:r>
              <w:rPr>
                <w:rFonts w:hint="eastAsia" w:ascii="Times New Roman" w:hAnsi="Times New Roman" w:eastAsia="黑体" w:cs="Times New Roman"/>
                <w:b w:val="0"/>
                <w:bCs/>
                <w:color w:val="000000"/>
                <w:sz w:val="24"/>
                <w:szCs w:val="24"/>
                <w:highlight w:val="none"/>
                <w:u w:val="none" w:color="auto"/>
                <w:lang w:val="en-US" w:eastAsia="zh-CN"/>
              </w:rPr>
              <w:t>16</w:t>
            </w:r>
            <w:r>
              <w:rPr>
                <w:rFonts w:hint="default" w:ascii="Times New Roman" w:hAnsi="Times New Roman" w:eastAsia="黑体" w:cs="Times New Roman"/>
                <w:b w:val="0"/>
                <w:bCs/>
                <w:color w:val="000000"/>
                <w:sz w:val="24"/>
                <w:szCs w:val="24"/>
                <w:highlight w:val="none"/>
                <w:u w:val="none" w:color="auto"/>
              </w:rPr>
              <w:t xml:space="preserve">  </w:t>
            </w:r>
            <w:r>
              <w:rPr>
                <w:rFonts w:hint="default" w:ascii="Times New Roman" w:hAnsi="Times New Roman" w:eastAsia="黑体" w:cs="Times New Roman"/>
                <w:b w:val="0"/>
                <w:bCs/>
                <w:color w:val="000000"/>
                <w:sz w:val="24"/>
                <w:szCs w:val="24"/>
                <w:highlight w:val="none"/>
                <w:u w:val="none" w:color="auto"/>
                <w:lang w:val="en-US" w:eastAsia="zh-CN"/>
              </w:rPr>
              <w:t>甲醛</w:t>
            </w:r>
            <w:r>
              <w:rPr>
                <w:rFonts w:hint="default" w:ascii="Times New Roman" w:hAnsi="Times New Roman" w:eastAsia="黑体" w:cs="Times New Roman"/>
                <w:b w:val="0"/>
                <w:bCs/>
                <w:color w:val="000000"/>
                <w:sz w:val="24"/>
                <w:szCs w:val="24"/>
                <w:highlight w:val="none"/>
                <w:u w:val="none" w:color="auto"/>
              </w:rPr>
              <w:t>危险特性一览表</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04"/>
              <w:gridCol w:w="7452"/>
            </w:tblGrid>
            <w:tr w14:paraId="48EF0B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7C239C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标识</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4CD7E0C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auto"/>
                    <w:rPr>
                      <w:rFonts w:hint="default" w:ascii="Times New Roman" w:hAnsi="Times New Roman" w:eastAsia="宋体" w:cs="Times New Roman"/>
                      <w:bCs/>
                      <w:color w:val="000000"/>
                      <w:sz w:val="21"/>
                      <w:szCs w:val="21"/>
                      <w:highlight w:val="none"/>
                      <w:u w:val="none" w:color="auto"/>
                      <w:lang w:eastAsia="zh-CN"/>
                    </w:rPr>
                  </w:pPr>
                  <w:r>
                    <w:rPr>
                      <w:rFonts w:hint="default" w:ascii="Times New Roman" w:hAnsi="Times New Roman" w:cs="Times New Roman"/>
                      <w:bCs/>
                      <w:color w:val="000000"/>
                      <w:sz w:val="21"/>
                      <w:szCs w:val="21"/>
                      <w:highlight w:val="none"/>
                      <w:u w:val="none" w:color="auto"/>
                    </w:rPr>
                    <w:t>名称：</w:t>
                  </w:r>
                  <w:r>
                    <w:rPr>
                      <w:rFonts w:hint="default" w:ascii="Times New Roman" w:hAnsi="Times New Roman" w:cs="Times New Roman"/>
                      <w:bCs/>
                      <w:color w:val="000000"/>
                      <w:sz w:val="21"/>
                      <w:szCs w:val="21"/>
                      <w:highlight w:val="none"/>
                      <w:u w:val="none" w:color="auto"/>
                      <w:lang w:val="en-US" w:eastAsia="zh-CN"/>
                    </w:rPr>
                    <w:t>甲醛</w:t>
                  </w:r>
                  <w:r>
                    <w:rPr>
                      <w:rFonts w:hint="default" w:ascii="Times New Roman" w:hAnsi="Times New Roman" w:cs="Times New Roman"/>
                      <w:bCs/>
                      <w:color w:val="000000"/>
                      <w:sz w:val="21"/>
                      <w:szCs w:val="21"/>
                      <w:highlight w:val="none"/>
                      <w:u w:val="none" w:color="auto"/>
                    </w:rPr>
                    <w:t>；CAS：50-00-0</w:t>
                  </w:r>
                  <w:r>
                    <w:rPr>
                      <w:rFonts w:hint="default" w:ascii="Times New Roman" w:hAnsi="Times New Roman" w:cs="Times New Roman"/>
                      <w:bCs/>
                      <w:color w:val="000000"/>
                      <w:sz w:val="21"/>
                      <w:szCs w:val="21"/>
                      <w:highlight w:val="none"/>
                      <w:u w:val="none" w:color="auto"/>
                      <w:lang w:eastAsia="zh-CN"/>
                    </w:rPr>
                    <w:t>；</w:t>
                  </w:r>
                  <w:r>
                    <w:rPr>
                      <w:rFonts w:hint="default" w:ascii="Times New Roman" w:hAnsi="Times New Roman" w:cs="Times New Roman"/>
                      <w:bCs/>
                      <w:color w:val="000000"/>
                      <w:sz w:val="21"/>
                      <w:szCs w:val="21"/>
                      <w:highlight w:val="none"/>
                      <w:u w:val="none" w:color="auto"/>
                    </w:rPr>
                    <w:t>分子式</w:t>
                  </w:r>
                  <w:r>
                    <w:rPr>
                      <w:rFonts w:hint="default" w:ascii="Times New Roman" w:hAnsi="Times New Roman" w:eastAsia="宋体" w:cs="Times New Roman"/>
                      <w:bCs/>
                      <w:color w:val="000000"/>
                      <w:sz w:val="21"/>
                      <w:szCs w:val="21"/>
                      <w:highlight w:val="none"/>
                      <w:u w:val="none" w:color="auto"/>
                    </w:rPr>
                    <w:t>：CH</w:t>
                  </w:r>
                  <w:r>
                    <w:rPr>
                      <w:rFonts w:hint="default" w:ascii="Times New Roman" w:hAnsi="Times New Roman" w:eastAsia="宋体" w:cs="Times New Roman"/>
                      <w:bCs/>
                      <w:color w:val="000000"/>
                      <w:sz w:val="21"/>
                      <w:szCs w:val="21"/>
                      <w:highlight w:val="none"/>
                      <w:u w:val="none" w:color="auto"/>
                      <w:vertAlign w:val="subscript"/>
                    </w:rPr>
                    <w:t>2</w:t>
                  </w:r>
                  <w:r>
                    <w:rPr>
                      <w:rFonts w:hint="default" w:ascii="Times New Roman" w:hAnsi="Times New Roman" w:eastAsia="宋体" w:cs="Times New Roman"/>
                      <w:bCs/>
                      <w:color w:val="000000"/>
                      <w:sz w:val="21"/>
                      <w:szCs w:val="21"/>
                      <w:highlight w:val="none"/>
                      <w:u w:val="none" w:color="auto"/>
                    </w:rPr>
                    <w:t>O</w:t>
                  </w:r>
                  <w:r>
                    <w:rPr>
                      <w:rFonts w:hint="default" w:ascii="Times New Roman" w:hAnsi="Times New Roman" w:cs="Times New Roman"/>
                      <w:bCs/>
                      <w:color w:val="000000"/>
                      <w:sz w:val="21"/>
                      <w:szCs w:val="21"/>
                      <w:highlight w:val="none"/>
                      <w:u w:val="none" w:color="auto"/>
                      <w:lang w:eastAsia="zh-CN"/>
                    </w:rPr>
                    <w:t>；HCHO</w:t>
                  </w:r>
                </w:p>
              </w:tc>
            </w:tr>
            <w:tr w14:paraId="7A5FCA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A4B684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理化特性</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7C7CEC85">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外观与性状：无色，具有刺激性和窒息性的气体。</w:t>
                  </w:r>
                </w:p>
                <w:p w14:paraId="2F5B40A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主要用途：是一种重要的有机原料，也是炸药、染料、医药、农药的原料，也作杀菌剂、消毒剂等。</w:t>
                  </w:r>
                </w:p>
                <w:p w14:paraId="1F0D3952">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沸点（℃）：</w:t>
                  </w:r>
                  <w:r>
                    <w:rPr>
                      <w:rFonts w:hint="default" w:ascii="Times New Roman" w:hAnsi="Times New Roman" w:cs="Times New Roman"/>
                      <w:bCs/>
                      <w:color w:val="000000"/>
                      <w:sz w:val="21"/>
                      <w:szCs w:val="21"/>
                      <w:highlight w:val="none"/>
                      <w:u w:val="none" w:color="auto"/>
                      <w:lang w:val="en-US" w:eastAsia="zh-CN"/>
                    </w:rPr>
                    <w:t>-19.4</w:t>
                  </w:r>
                  <w:r>
                    <w:rPr>
                      <w:rFonts w:hint="default" w:ascii="Times New Roman" w:hAnsi="Times New Roman" w:cs="Times New Roman"/>
                      <w:bCs/>
                      <w:color w:val="000000"/>
                      <w:sz w:val="21"/>
                      <w:szCs w:val="21"/>
                      <w:highlight w:val="none"/>
                      <w:u w:val="none" w:color="auto"/>
                    </w:rPr>
                    <w:t>℃</w:t>
                  </w:r>
                </w:p>
              </w:tc>
            </w:tr>
            <w:tr w14:paraId="34CAAC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3FCCDB9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燃烧、爆炸危险特性</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33DB82E5">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爆炸极限（v%）：</w:t>
                  </w:r>
                  <w:r>
                    <w:rPr>
                      <w:rFonts w:hint="default" w:ascii="Times New Roman" w:hAnsi="Times New Roman" w:cs="Times New Roman"/>
                      <w:bCs/>
                      <w:color w:val="000000"/>
                      <w:sz w:val="21"/>
                      <w:szCs w:val="21"/>
                      <w:highlight w:val="none"/>
                      <w:u w:val="none" w:color="auto"/>
                      <w:lang w:val="en-US" w:eastAsia="zh-CN"/>
                    </w:rPr>
                    <w:t>7</w:t>
                  </w:r>
                  <w:r>
                    <w:rPr>
                      <w:rFonts w:hint="default" w:ascii="Times New Roman" w:hAnsi="Times New Roman" w:cs="Times New Roman"/>
                      <w:bCs/>
                      <w:color w:val="000000"/>
                      <w:sz w:val="21"/>
                      <w:szCs w:val="21"/>
                      <w:highlight w:val="none"/>
                      <w:u w:val="none" w:color="auto"/>
                    </w:rPr>
                    <w:t>-</w:t>
                  </w:r>
                  <w:r>
                    <w:rPr>
                      <w:rFonts w:hint="default" w:ascii="Times New Roman" w:hAnsi="Times New Roman" w:cs="Times New Roman"/>
                      <w:bCs/>
                      <w:color w:val="000000"/>
                      <w:sz w:val="21"/>
                      <w:szCs w:val="21"/>
                      <w:highlight w:val="none"/>
                      <w:u w:val="none" w:color="auto"/>
                      <w:lang w:val="en-US" w:eastAsia="zh-CN"/>
                    </w:rPr>
                    <w:t>73</w:t>
                  </w:r>
                  <w:r>
                    <w:rPr>
                      <w:rFonts w:hint="default" w:ascii="Times New Roman" w:hAnsi="Times New Roman" w:cs="Times New Roman"/>
                      <w:bCs/>
                      <w:color w:val="000000"/>
                      <w:sz w:val="21"/>
                      <w:szCs w:val="21"/>
                      <w:highlight w:val="none"/>
                      <w:u w:val="none" w:color="auto"/>
                    </w:rPr>
                    <w:t>；闪点：</w:t>
                  </w:r>
                  <w:r>
                    <w:rPr>
                      <w:rFonts w:hint="default" w:ascii="Times New Roman" w:hAnsi="Times New Roman" w:cs="Times New Roman"/>
                      <w:bCs/>
                      <w:color w:val="000000"/>
                      <w:sz w:val="21"/>
                      <w:szCs w:val="21"/>
                      <w:highlight w:val="none"/>
                      <w:u w:val="none" w:color="auto"/>
                      <w:lang w:val="en-US" w:eastAsia="zh-CN"/>
                    </w:rPr>
                    <w:t>56℃</w:t>
                  </w:r>
                  <w:r>
                    <w:rPr>
                      <w:rFonts w:hint="default" w:ascii="Times New Roman" w:hAnsi="Times New Roman" w:cs="Times New Roman"/>
                      <w:bCs/>
                      <w:color w:val="000000"/>
                      <w:sz w:val="21"/>
                      <w:szCs w:val="21"/>
                      <w:highlight w:val="none"/>
                      <w:u w:val="none" w:color="auto"/>
                    </w:rPr>
                    <w:t>；</w:t>
                  </w:r>
                </w:p>
                <w:p w14:paraId="37DE4357">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危险特性：</w:t>
                  </w:r>
                  <w:r>
                    <w:rPr>
                      <w:rFonts w:hint="default" w:ascii="Times New Roman" w:hAnsi="Times New Roman" w:cs="Times New Roman"/>
                      <w:bCs/>
                      <w:color w:val="000000"/>
                      <w:sz w:val="21"/>
                      <w:szCs w:val="21"/>
                      <w:highlight w:val="none"/>
                      <w:u w:val="none" w:color="auto"/>
                      <w:lang w:eastAsia="zh-CN"/>
                    </w:rPr>
                    <w:t>其蒸气与空气形成爆炸性混合物，遇明火、高热能引起燃烧爆炸，若遇高热，容器内压增大，有开裂和爆炸的危险。</w:t>
                  </w:r>
                </w:p>
                <w:p w14:paraId="13E1CA1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Cs/>
                      <w:color w:val="000000"/>
                      <w:sz w:val="21"/>
                      <w:szCs w:val="21"/>
                      <w:highlight w:val="none"/>
                      <w:u w:val="none" w:color="auto"/>
                      <w:lang w:eastAsia="zh-CN"/>
                    </w:rPr>
                  </w:pPr>
                  <w:r>
                    <w:rPr>
                      <w:rFonts w:hint="default" w:ascii="Times New Roman" w:hAnsi="Times New Roman" w:cs="Times New Roman"/>
                      <w:bCs/>
                      <w:color w:val="000000"/>
                      <w:sz w:val="21"/>
                      <w:szCs w:val="21"/>
                      <w:highlight w:val="none"/>
                      <w:u w:val="none" w:color="auto"/>
                    </w:rPr>
                    <w:t>稳定性：稳定</w:t>
                  </w:r>
                  <w:r>
                    <w:rPr>
                      <w:rFonts w:hint="default" w:ascii="Times New Roman" w:hAnsi="Times New Roman" w:cs="Times New Roman"/>
                      <w:bCs/>
                      <w:color w:val="000000"/>
                      <w:sz w:val="21"/>
                      <w:szCs w:val="21"/>
                      <w:highlight w:val="none"/>
                      <w:u w:val="none" w:color="auto"/>
                      <w:lang w:eastAsia="zh-CN"/>
                    </w:rPr>
                    <w:t>。</w:t>
                  </w:r>
                </w:p>
                <w:p w14:paraId="268DFEF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灭火方法：采用</w:t>
                  </w:r>
                  <w:r>
                    <w:rPr>
                      <w:rFonts w:hint="default" w:ascii="Times New Roman" w:hAnsi="Times New Roman" w:cs="Times New Roman"/>
                      <w:bCs/>
                      <w:color w:val="000000"/>
                      <w:sz w:val="21"/>
                      <w:szCs w:val="21"/>
                      <w:highlight w:val="none"/>
                      <w:u w:val="none" w:color="auto"/>
                      <w:lang w:eastAsia="zh-CN"/>
                    </w:rPr>
                    <w:t>雾状水、泡沫、二氧化碳、砂土</w:t>
                  </w:r>
                  <w:r>
                    <w:rPr>
                      <w:rFonts w:hint="default" w:ascii="Times New Roman" w:hAnsi="Times New Roman" w:cs="Times New Roman"/>
                      <w:bCs/>
                      <w:color w:val="000000"/>
                      <w:sz w:val="21"/>
                      <w:szCs w:val="21"/>
                      <w:highlight w:val="none"/>
                      <w:u w:val="none" w:color="auto"/>
                    </w:rPr>
                    <w:t>灭火。</w:t>
                  </w:r>
                </w:p>
              </w:tc>
            </w:tr>
            <w:tr w14:paraId="20FF99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716EA38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健康危害</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258C104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毒性：</w:t>
                  </w:r>
                  <w:r>
                    <w:rPr>
                      <w:rFonts w:hint="default" w:ascii="Times New Roman" w:hAnsi="Times New Roman" w:eastAsia="宋体" w:cs="Times New Roman"/>
                      <w:i w:val="0"/>
                      <w:iCs w:val="0"/>
                      <w:caps w:val="0"/>
                      <w:color w:val="000000"/>
                      <w:spacing w:val="0"/>
                      <w:sz w:val="21"/>
                      <w:szCs w:val="21"/>
                      <w:u w:val="none" w:color="auto"/>
                      <w:shd w:val="clear" w:color="auto" w:fill="FFFFFF"/>
                    </w:rPr>
                    <w:t>LD</w:t>
                  </w:r>
                  <w:r>
                    <w:rPr>
                      <w:rFonts w:hint="default" w:ascii="Times New Roman" w:hAnsi="Times New Roman" w:eastAsia="宋体" w:cs="Times New Roman"/>
                      <w:i w:val="0"/>
                      <w:iCs w:val="0"/>
                      <w:caps w:val="0"/>
                      <w:color w:val="000000"/>
                      <w:spacing w:val="0"/>
                      <w:sz w:val="21"/>
                      <w:szCs w:val="21"/>
                      <w:u w:val="none" w:color="auto"/>
                      <w:shd w:val="clear" w:color="auto" w:fill="FFFFFF"/>
                      <w:vertAlign w:val="subscript"/>
                    </w:rPr>
                    <w:t>50</w:t>
                  </w:r>
                  <w:r>
                    <w:rPr>
                      <w:rFonts w:hint="default" w:ascii="Times New Roman" w:hAnsi="Times New Roman" w:eastAsia="Helvetica" w:cs="Times New Roman"/>
                      <w:i w:val="0"/>
                      <w:iCs w:val="0"/>
                      <w:caps w:val="0"/>
                      <w:color w:val="000000"/>
                      <w:spacing w:val="0"/>
                      <w:sz w:val="21"/>
                      <w:szCs w:val="21"/>
                      <w:u w:val="none" w:color="auto"/>
                      <w:shd w:val="clear" w:color="auto" w:fill="FFFFFF"/>
                    </w:rPr>
                    <w:t>：</w:t>
                  </w:r>
                  <w:r>
                    <w:rPr>
                      <w:rFonts w:hint="default" w:ascii="Times New Roman" w:hAnsi="Times New Roman" w:cs="Times New Roman"/>
                      <w:i w:val="0"/>
                      <w:iCs w:val="0"/>
                      <w:caps w:val="0"/>
                      <w:color w:val="000000"/>
                      <w:spacing w:val="0"/>
                      <w:sz w:val="21"/>
                      <w:szCs w:val="21"/>
                      <w:u w:val="none" w:color="auto"/>
                      <w:shd w:val="clear" w:color="auto" w:fill="FFFFFF"/>
                      <w:lang w:val="en-US" w:eastAsia="zh-CN"/>
                    </w:rPr>
                    <w:t>800</w:t>
                  </w:r>
                  <w:r>
                    <w:rPr>
                      <w:rFonts w:hint="default" w:ascii="Times New Roman" w:hAnsi="Times New Roman" w:eastAsia="Helvetica" w:cs="Times New Roman"/>
                      <w:i w:val="0"/>
                      <w:iCs w:val="0"/>
                      <w:caps w:val="0"/>
                      <w:color w:val="000000"/>
                      <w:spacing w:val="0"/>
                      <w:sz w:val="21"/>
                      <w:szCs w:val="21"/>
                      <w:u w:val="none" w:color="auto"/>
                      <w:shd w:val="clear" w:color="auto" w:fill="FFFFFF"/>
                    </w:rPr>
                    <w:t>mg</w:t>
                  </w:r>
                  <w:r>
                    <w:rPr>
                      <w:rFonts w:hint="default" w:ascii="Times New Roman" w:hAnsi="Times New Roman" w:eastAsia="宋体" w:cs="Times New Roman"/>
                      <w:i w:val="0"/>
                      <w:iCs w:val="0"/>
                      <w:caps w:val="0"/>
                      <w:color w:val="000000"/>
                      <w:spacing w:val="0"/>
                      <w:sz w:val="21"/>
                      <w:szCs w:val="21"/>
                      <w:u w:val="none" w:color="auto"/>
                      <w:shd w:val="clear" w:color="auto" w:fill="FFFFFF"/>
                      <w:lang w:val="en-US"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kg</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大鼠经口</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cs="Times New Roman"/>
                      <w:bCs/>
                      <w:color w:val="000000"/>
                      <w:sz w:val="21"/>
                      <w:szCs w:val="21"/>
                      <w:highlight w:val="none"/>
                      <w:u w:val="none" w:color="auto"/>
                    </w:rPr>
                    <w:t>； LC</w:t>
                  </w:r>
                  <w:r>
                    <w:rPr>
                      <w:rFonts w:hint="default" w:ascii="Times New Roman" w:hAnsi="Times New Roman" w:cs="Times New Roman"/>
                      <w:bCs/>
                      <w:color w:val="000000"/>
                      <w:sz w:val="21"/>
                      <w:szCs w:val="21"/>
                      <w:highlight w:val="none"/>
                      <w:u w:val="none" w:color="auto"/>
                      <w:vertAlign w:val="subscript"/>
                    </w:rPr>
                    <w:t>50</w:t>
                  </w:r>
                  <w:r>
                    <w:rPr>
                      <w:rFonts w:hint="default" w:ascii="Times New Roman" w:hAnsi="Times New Roman" w:cs="Times New Roman"/>
                      <w:bCs/>
                      <w:color w:val="000000"/>
                      <w:sz w:val="21"/>
                      <w:szCs w:val="21"/>
                      <w:highlight w:val="none"/>
                      <w:u w:val="none" w:color="auto"/>
                    </w:rPr>
                    <w:t>：</w:t>
                  </w:r>
                  <w:r>
                    <w:rPr>
                      <w:rFonts w:hint="default" w:ascii="Times New Roman" w:hAnsi="Times New Roman" w:cs="Times New Roman"/>
                      <w:bCs/>
                      <w:color w:val="000000"/>
                      <w:sz w:val="21"/>
                      <w:szCs w:val="21"/>
                      <w:highlight w:val="none"/>
                      <w:u w:val="none" w:color="auto"/>
                      <w:lang w:val="en-US" w:eastAsia="zh-CN"/>
                    </w:rPr>
                    <w:t>2700</w:t>
                  </w:r>
                  <w:r>
                    <w:rPr>
                      <w:rFonts w:hint="default" w:ascii="Times New Roman" w:hAnsi="Times New Roman" w:eastAsia="Helvetica" w:cs="Times New Roman"/>
                      <w:i w:val="0"/>
                      <w:iCs w:val="0"/>
                      <w:caps w:val="0"/>
                      <w:color w:val="000000"/>
                      <w:spacing w:val="0"/>
                      <w:sz w:val="21"/>
                      <w:szCs w:val="21"/>
                      <w:u w:val="none" w:color="auto"/>
                      <w:shd w:val="clear" w:color="auto" w:fill="FFFFFF"/>
                    </w:rPr>
                    <w:t>mg</w:t>
                  </w:r>
                  <w:r>
                    <w:rPr>
                      <w:rFonts w:hint="default" w:ascii="Times New Roman" w:hAnsi="Times New Roman" w:eastAsia="宋体" w:cs="Times New Roman"/>
                      <w:i w:val="0"/>
                      <w:iCs w:val="0"/>
                      <w:caps w:val="0"/>
                      <w:color w:val="000000"/>
                      <w:spacing w:val="0"/>
                      <w:sz w:val="21"/>
                      <w:szCs w:val="21"/>
                      <w:u w:val="none" w:color="auto"/>
                      <w:shd w:val="clear" w:color="auto" w:fill="FFFFFF"/>
                      <w:lang w:val="en-US"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kg</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r>
                    <w:rPr>
                      <w:rFonts w:hint="default" w:ascii="Times New Roman" w:hAnsi="Times New Roman" w:eastAsia="Helvetica" w:cs="Times New Roman"/>
                      <w:i w:val="0"/>
                      <w:iCs w:val="0"/>
                      <w:caps w:val="0"/>
                      <w:color w:val="000000"/>
                      <w:spacing w:val="0"/>
                      <w:sz w:val="21"/>
                      <w:szCs w:val="21"/>
                      <w:u w:val="none" w:color="auto"/>
                      <w:shd w:val="clear" w:color="auto" w:fill="FFFFFF"/>
                    </w:rPr>
                    <w:t>兔经皮</w:t>
                  </w:r>
                  <w:r>
                    <w:rPr>
                      <w:rFonts w:hint="eastAsia" w:ascii="Times New Roman" w:hAnsi="Times New Roman" w:eastAsia="宋体" w:cs="Times New Roman"/>
                      <w:i w:val="0"/>
                      <w:iCs w:val="0"/>
                      <w:caps w:val="0"/>
                      <w:color w:val="000000"/>
                      <w:spacing w:val="0"/>
                      <w:sz w:val="21"/>
                      <w:szCs w:val="21"/>
                      <w:u w:val="none" w:color="auto"/>
                      <w:shd w:val="clear" w:color="auto" w:fill="FFFFFF"/>
                      <w:lang w:eastAsia="zh-CN"/>
                    </w:rPr>
                    <w:t>）</w:t>
                  </w:r>
                </w:p>
                <w:p w14:paraId="75E1401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侵入途径：吸入、食入、经皮吸收</w:t>
                  </w:r>
                </w:p>
                <w:p w14:paraId="425B5CF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健康危害：</w:t>
                  </w:r>
                  <w:r>
                    <w:rPr>
                      <w:rFonts w:hint="default" w:ascii="Times New Roman" w:hAnsi="Times New Roman" w:cs="Times New Roman"/>
                      <w:bCs/>
                      <w:color w:val="000000"/>
                      <w:sz w:val="21"/>
                      <w:szCs w:val="21"/>
                      <w:highlight w:val="none"/>
                      <w:u w:val="none" w:color="auto"/>
                      <w:lang w:eastAsia="zh-CN"/>
                    </w:rPr>
                    <w:t>对粘膜、上呼吸道、眼睛和皮肤有强烈刺激性。接触其蒸气，引起结膜炎、角膜炎、鼻炎、支气管炎；重者发生喉痉挛、声门水肿和肺炎等。对皮肤有原发性刺激和致敏作用；浓溶液可引起皮肤凝固性坏死。口服灼伤口腔和消化道，可致死。</w:t>
                  </w:r>
                </w:p>
              </w:tc>
            </w:tr>
            <w:tr w14:paraId="0D5CEA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369BE6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急救措施</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5F9335B4">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皮肤接触：脱去污染的衣着，用肥皂水及清水彻底冲洗。或用2%碳酸氢溶液冲洗。</w:t>
                  </w:r>
                </w:p>
                <w:p w14:paraId="7F8B9B0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眼睛接触：立即提起眼睑，用流动清水或生理盐水冲洗至少15分钟。</w:t>
                  </w:r>
                </w:p>
                <w:p w14:paraId="34D2573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吸入：迅速脱离现场至空气新鲜处。保持呼吸道通畅。必要时进行人工呼吸。就医。</w:t>
                  </w:r>
                </w:p>
                <w:p w14:paraId="609E3247">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食入：患者清醒时立即漱口，洗胃。就医。</w:t>
                  </w:r>
                </w:p>
              </w:tc>
            </w:tr>
            <w:tr w14:paraId="36AAA6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4270503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防护措施</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06FA23E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呼吸系统防护：可能接触其蒸气时，应该佩带防毒面具。紧急事态抢救或逃生时，佩带自给式呼吸器。</w:t>
                  </w:r>
                </w:p>
                <w:p w14:paraId="623F04E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眼睛防护：戴化学安全防护眼镜。</w:t>
                  </w:r>
                </w:p>
                <w:p w14:paraId="15F958C4">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防护服：穿相应的防护服。</w:t>
                  </w:r>
                </w:p>
                <w:p w14:paraId="53EDFB16">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手防护：戴防化学品手套。</w:t>
                  </w:r>
                </w:p>
                <w:p w14:paraId="6E2E4DA6">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其它：工作现场禁止吸烟、进食和饮水。工作后，彻底清洗。注意个人清洁卫生。进行就业前和定期的体检。进入罐或其它高浓度区作业，须有人监护。</w:t>
                  </w:r>
                </w:p>
              </w:tc>
            </w:tr>
            <w:tr w14:paraId="2D8E43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tcBorders>
                    <w:top w:val="single" w:color="auto" w:sz="4" w:space="0"/>
                    <w:left w:val="single" w:color="auto" w:sz="4" w:space="0"/>
                    <w:bottom w:val="single" w:color="auto" w:sz="4" w:space="0"/>
                    <w:right w:val="single" w:color="auto" w:sz="4" w:space="0"/>
                  </w:tcBorders>
                  <w:noWrap w:val="0"/>
                  <w:vAlign w:val="center"/>
                </w:tcPr>
                <w:p w14:paraId="0FCB02F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bCs/>
                      <w:color w:val="000000"/>
                      <w:sz w:val="21"/>
                      <w:szCs w:val="21"/>
                      <w:highlight w:val="none"/>
                      <w:u w:val="none" w:color="auto"/>
                      <w:lang w:val="en-US" w:eastAsia="zh-CN"/>
                    </w:rPr>
                  </w:pPr>
                  <w:r>
                    <w:rPr>
                      <w:rFonts w:hint="default" w:ascii="Times New Roman" w:hAnsi="Times New Roman" w:eastAsia="宋体" w:cs="Times New Roman"/>
                      <w:bCs/>
                      <w:color w:val="000000"/>
                      <w:sz w:val="21"/>
                      <w:szCs w:val="21"/>
                      <w:highlight w:val="none"/>
                      <w:u w:val="none" w:color="auto"/>
                      <w:lang w:val="en-US" w:eastAsia="zh-CN"/>
                    </w:rPr>
                    <w:t>泄漏应急处理</w:t>
                  </w:r>
                </w:p>
              </w:tc>
              <w:tc>
                <w:tcPr>
                  <w:tcW w:w="4354" w:type="pct"/>
                  <w:tcBorders>
                    <w:top w:val="single" w:color="auto" w:sz="4" w:space="0"/>
                    <w:left w:val="single" w:color="auto" w:sz="4" w:space="0"/>
                    <w:bottom w:val="single" w:color="auto" w:sz="4" w:space="0"/>
                    <w:right w:val="single" w:color="auto" w:sz="4" w:space="0"/>
                  </w:tcBorders>
                  <w:noWrap w:val="0"/>
                  <w:vAlign w:val="center"/>
                </w:tcPr>
                <w:p w14:paraId="3DE1175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bCs/>
                      <w:color w:val="000000"/>
                      <w:sz w:val="21"/>
                      <w:szCs w:val="21"/>
                      <w:highlight w:val="none"/>
                      <w:u w:val="none" w:color="auto"/>
                    </w:rPr>
                  </w:pPr>
                  <w:r>
                    <w:rPr>
                      <w:rFonts w:hint="default" w:ascii="Times New Roman" w:hAnsi="Times New Roman" w:cs="Times New Roman"/>
                      <w:bCs/>
                      <w:color w:val="000000"/>
                      <w:sz w:val="21"/>
                      <w:szCs w:val="21"/>
                      <w:highlight w:val="none"/>
                      <w:u w:val="none" w:color="auto"/>
                    </w:rPr>
                    <w:t>疏散泄漏污染区人员至安全区，禁止无关人员进入污染区，切断火源。建议应急处理人员戴自给式呼吸器，穿化学防护服。不要直接接触泄漏物，在确保安全情况下堵漏。喷水雾能减少蒸发但不要使水进入储存容器内。用沙土或其它不燃性吸附剂混合吸收，然后收集运至集运至废物处理场所处置。也可以用大量水冲洗，经稀释的洗水放入废水系统。</w:t>
                  </w:r>
                </w:p>
              </w:tc>
            </w:tr>
          </w:tbl>
          <w:p w14:paraId="7291A56D">
            <w:pPr>
              <w:keepNext w:val="0"/>
              <w:keepLines w:val="0"/>
              <w:pageBreakBefore w:val="0"/>
              <w:widowControl w:val="0"/>
              <w:kinsoku/>
              <w:wordWrap/>
              <w:overflowPunct/>
              <w:topLinePunct w:val="0"/>
              <w:autoSpaceDE/>
              <w:autoSpaceDN/>
              <w:bidi w:val="0"/>
              <w:adjustRightInd/>
              <w:snapToGrid/>
              <w:spacing w:line="360" w:lineRule="auto"/>
              <w:ind w:left="0" w:right="0" w:firstLine="500" w:firstLineChars="200"/>
              <w:textAlignment w:val="auto"/>
              <w:rPr>
                <w:rFonts w:hint="default" w:ascii="Times New Roman" w:hAnsi="Times New Roman" w:eastAsia="宋体" w:cs="Times New Roman"/>
                <w:b w:val="0"/>
                <w:bCs w:val="0"/>
                <w:color w:val="000000"/>
                <w:spacing w:val="5"/>
                <w:sz w:val="24"/>
                <w:szCs w:val="24"/>
              </w:rPr>
            </w:pPr>
            <w:r>
              <w:rPr>
                <w:rFonts w:hint="eastAsia" w:ascii="Times New Roman" w:hAnsi="Times New Roman" w:eastAsia="宋体" w:cs="Times New Roman"/>
                <w:b w:val="0"/>
                <w:bCs w:val="0"/>
                <w:color w:val="000000"/>
                <w:spacing w:val="5"/>
                <w:sz w:val="24"/>
                <w:szCs w:val="24"/>
                <w:lang w:eastAsia="zh-CN"/>
              </w:rPr>
              <w:t>（</w:t>
            </w:r>
            <w:r>
              <w:rPr>
                <w:rFonts w:hint="eastAsia" w:ascii="Times New Roman" w:hAnsi="Times New Roman" w:eastAsia="宋体" w:cs="Times New Roman"/>
                <w:b w:val="0"/>
                <w:bCs w:val="0"/>
                <w:color w:val="000000"/>
                <w:spacing w:val="5"/>
                <w:sz w:val="24"/>
                <w:szCs w:val="24"/>
                <w:lang w:val="en-US" w:eastAsia="zh-CN"/>
              </w:rPr>
              <w:t>2</w:t>
            </w:r>
            <w:r>
              <w:rPr>
                <w:rFonts w:hint="eastAsia" w:ascii="Times New Roman" w:hAnsi="Times New Roman" w:eastAsia="宋体" w:cs="Times New Roman"/>
                <w:b w:val="0"/>
                <w:bCs w:val="0"/>
                <w:color w:val="000000"/>
                <w:spacing w:val="5"/>
                <w:sz w:val="24"/>
                <w:szCs w:val="24"/>
                <w:lang w:eastAsia="zh-CN"/>
              </w:rPr>
              <w:t>）</w:t>
            </w:r>
            <w:r>
              <w:rPr>
                <w:rFonts w:hint="default" w:ascii="Times New Roman" w:hAnsi="Times New Roman" w:eastAsia="宋体" w:cs="Times New Roman"/>
                <w:b w:val="0"/>
                <w:bCs w:val="0"/>
                <w:color w:val="000000"/>
                <w:spacing w:val="5"/>
                <w:sz w:val="24"/>
                <w:szCs w:val="24"/>
              </w:rPr>
              <w:t>生产系统潜在风险识别</w:t>
            </w:r>
          </w:p>
          <w:p w14:paraId="39762CB2">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pacing w:val="-2"/>
                <w:sz w:val="24"/>
                <w:szCs w:val="24"/>
              </w:rPr>
              <w:t>本项目生产系统的环境风险识别主要考虑贮存系统和运输系统两部分。</w:t>
            </w:r>
          </w:p>
          <w:p w14:paraId="60549C9D">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pacing w:val="-2"/>
                <w:sz w:val="24"/>
                <w:szCs w:val="24"/>
              </w:rPr>
              <w:t>①贮存过程潜在的风险因素：项目涉及到</w:t>
            </w:r>
            <w:r>
              <w:rPr>
                <w:rFonts w:hint="eastAsia" w:ascii="Times New Roman" w:hAnsi="Times New Roman" w:eastAsia="宋体" w:cs="Times New Roman"/>
                <w:b w:val="0"/>
                <w:bCs w:val="0"/>
                <w:color w:val="000000"/>
                <w:spacing w:val="-2"/>
                <w:sz w:val="24"/>
                <w:szCs w:val="24"/>
                <w:lang w:val="en-US" w:eastAsia="zh-CN"/>
              </w:rPr>
              <w:t>呋喃树脂</w:t>
            </w:r>
            <w:r>
              <w:rPr>
                <w:rFonts w:hint="default" w:ascii="Times New Roman" w:hAnsi="Times New Roman" w:eastAsia="宋体" w:cs="Times New Roman"/>
                <w:b w:val="0"/>
                <w:bCs w:val="0"/>
                <w:color w:val="000000"/>
                <w:spacing w:val="-2"/>
                <w:sz w:val="24"/>
                <w:szCs w:val="24"/>
              </w:rPr>
              <w:t>、</w:t>
            </w:r>
            <w:r>
              <w:rPr>
                <w:rFonts w:hint="eastAsia" w:ascii="Times New Roman" w:hAnsi="Times New Roman" w:eastAsia="宋体" w:cs="Times New Roman"/>
                <w:b w:val="0"/>
                <w:bCs w:val="0"/>
                <w:color w:val="000000"/>
                <w:spacing w:val="-2"/>
                <w:sz w:val="24"/>
                <w:szCs w:val="24"/>
                <w:lang w:val="en-US" w:eastAsia="zh-CN"/>
              </w:rPr>
              <w:t>润滑油</w:t>
            </w:r>
            <w:r>
              <w:rPr>
                <w:rFonts w:hint="default" w:ascii="Times New Roman" w:hAnsi="Times New Roman" w:eastAsia="宋体" w:cs="Times New Roman"/>
                <w:b w:val="0"/>
                <w:bCs w:val="0"/>
                <w:color w:val="000000"/>
                <w:spacing w:val="-2"/>
                <w:sz w:val="24"/>
                <w:szCs w:val="24"/>
              </w:rPr>
              <w:t>等可燃、</w:t>
            </w:r>
            <w:r>
              <w:rPr>
                <w:rFonts w:hint="default" w:ascii="Times New Roman" w:hAnsi="Times New Roman" w:eastAsia="宋体" w:cs="Times New Roman"/>
                <w:b w:val="0"/>
                <w:bCs w:val="0"/>
                <w:color w:val="000000"/>
                <w:spacing w:val="1"/>
                <w:sz w:val="24"/>
                <w:szCs w:val="24"/>
              </w:rPr>
              <w:t>易燃物质的暂存，暂存设施为桶装，其主要风险</w:t>
            </w:r>
            <w:r>
              <w:rPr>
                <w:rFonts w:hint="default" w:ascii="Times New Roman" w:hAnsi="Times New Roman" w:eastAsia="宋体" w:cs="Times New Roman"/>
                <w:b w:val="0"/>
                <w:bCs w:val="0"/>
                <w:color w:val="000000"/>
                <w:sz w:val="24"/>
                <w:szCs w:val="24"/>
              </w:rPr>
              <w:t>为桶装泄漏而可能引起的火灾、中</w:t>
            </w:r>
            <w:r>
              <w:rPr>
                <w:rFonts w:hint="default" w:ascii="Times New Roman" w:hAnsi="Times New Roman" w:eastAsia="宋体" w:cs="Times New Roman"/>
                <w:b w:val="0"/>
                <w:bCs w:val="0"/>
                <w:color w:val="000000"/>
                <w:spacing w:val="-11"/>
                <w:sz w:val="24"/>
                <w:szCs w:val="24"/>
              </w:rPr>
              <w:t>毒等。</w:t>
            </w:r>
          </w:p>
          <w:p w14:paraId="1235F39C">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pacing w:val="-3"/>
                <w:sz w:val="24"/>
                <w:szCs w:val="24"/>
              </w:rPr>
              <w:t>②运输过程潜在的风险因素：项目生产所需原料主要通过</w:t>
            </w:r>
            <w:r>
              <w:rPr>
                <w:rFonts w:hint="default" w:ascii="Times New Roman" w:hAnsi="Times New Roman" w:eastAsia="宋体" w:cs="Times New Roman"/>
                <w:b w:val="0"/>
                <w:bCs w:val="0"/>
                <w:color w:val="000000"/>
                <w:spacing w:val="-4"/>
                <w:sz w:val="24"/>
                <w:szCs w:val="24"/>
              </w:rPr>
              <w:t>汽车运输进厂，运</w:t>
            </w:r>
            <w:r>
              <w:rPr>
                <w:rFonts w:hint="default" w:ascii="Times New Roman" w:hAnsi="Times New Roman" w:eastAsia="宋体" w:cs="Times New Roman"/>
                <w:b w:val="0"/>
                <w:bCs w:val="0"/>
                <w:color w:val="000000"/>
                <w:spacing w:val="-3"/>
                <w:sz w:val="24"/>
                <w:szCs w:val="24"/>
              </w:rPr>
              <w:t>输量均较小，运输过程中的风险较小。</w:t>
            </w:r>
          </w:p>
          <w:p w14:paraId="461F7CE3">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pacing w:val="-1"/>
                <w:sz w:val="24"/>
                <w:szCs w:val="24"/>
              </w:rPr>
              <w:t>本项目生产过程中可能存在的风险因素见</w:t>
            </w:r>
            <w:r>
              <w:rPr>
                <w:rFonts w:hint="eastAsia" w:ascii="Times New Roman" w:hAnsi="Times New Roman" w:eastAsia="宋体" w:cs="Times New Roman"/>
                <w:color w:val="000000"/>
                <w:spacing w:val="-1"/>
                <w:sz w:val="24"/>
                <w:szCs w:val="24"/>
                <w:lang w:val="en-US" w:eastAsia="zh-CN"/>
              </w:rPr>
              <w:t>下</w:t>
            </w:r>
            <w:r>
              <w:rPr>
                <w:rFonts w:hint="default" w:ascii="Times New Roman" w:hAnsi="Times New Roman" w:eastAsia="宋体" w:cs="Times New Roman"/>
                <w:color w:val="000000"/>
                <w:spacing w:val="-1"/>
                <w:sz w:val="24"/>
                <w:szCs w:val="24"/>
              </w:rPr>
              <w:t>表。</w:t>
            </w:r>
          </w:p>
          <w:p w14:paraId="529CBBF3">
            <w:pPr>
              <w:keepNext w:val="0"/>
              <w:keepLines w:val="0"/>
              <w:pageBreakBefore w:val="0"/>
              <w:widowControl w:val="0"/>
              <w:kinsoku/>
              <w:wordWrap/>
              <w:overflowPunct/>
              <w:topLinePunct w:val="0"/>
              <w:autoSpaceDE/>
              <w:autoSpaceDN/>
              <w:bidi w:val="0"/>
              <w:adjustRightInd/>
              <w:snapToGrid/>
              <w:spacing w:line="360" w:lineRule="auto"/>
              <w:ind w:left="0" w:right="0"/>
              <w:jc w:val="center"/>
              <w:textAlignment w:val="auto"/>
              <w:rPr>
                <w:rFonts w:hint="default" w:ascii="Times New Roman" w:hAnsi="Times New Roman" w:eastAsia="黑体" w:cs="Times New Roman"/>
                <w:b w:val="0"/>
                <w:bCs w:val="0"/>
                <w:color w:val="000000"/>
                <w:sz w:val="24"/>
                <w:szCs w:val="24"/>
              </w:rPr>
            </w:pPr>
            <w:r>
              <w:rPr>
                <w:rFonts w:hint="default" w:ascii="Times New Roman" w:hAnsi="Times New Roman" w:eastAsia="黑体" w:cs="Times New Roman"/>
                <w:b w:val="0"/>
                <w:bCs w:val="0"/>
                <w:color w:val="000000"/>
                <w:spacing w:val="-2"/>
                <w:sz w:val="24"/>
                <w:szCs w:val="24"/>
              </w:rPr>
              <w:t>表</w:t>
            </w:r>
            <w:r>
              <w:rPr>
                <w:rFonts w:hint="default" w:ascii="Times New Roman" w:hAnsi="Times New Roman" w:eastAsia="黑体" w:cs="Times New Roman"/>
                <w:b w:val="0"/>
                <w:bCs w:val="0"/>
                <w:color w:val="000000"/>
                <w:spacing w:val="-2"/>
                <w:sz w:val="24"/>
                <w:szCs w:val="24"/>
                <w:lang w:val="en-US" w:eastAsia="zh-CN"/>
              </w:rPr>
              <w:t>4</w:t>
            </w:r>
            <w:r>
              <w:rPr>
                <w:rFonts w:hint="default" w:ascii="Times New Roman" w:hAnsi="Times New Roman" w:eastAsia="黑体" w:cs="Times New Roman"/>
                <w:b w:val="0"/>
                <w:bCs w:val="0"/>
                <w:color w:val="000000"/>
                <w:spacing w:val="-2"/>
                <w:sz w:val="24"/>
                <w:szCs w:val="24"/>
              </w:rPr>
              <w:t>-</w:t>
            </w:r>
            <w:r>
              <w:rPr>
                <w:rFonts w:hint="eastAsia" w:ascii="Times New Roman" w:hAnsi="Times New Roman" w:eastAsia="黑体" w:cs="Times New Roman"/>
                <w:b w:val="0"/>
                <w:bCs w:val="0"/>
                <w:color w:val="000000"/>
                <w:spacing w:val="-2"/>
                <w:sz w:val="24"/>
                <w:szCs w:val="24"/>
                <w:lang w:val="en-US" w:eastAsia="zh-CN"/>
              </w:rPr>
              <w:t>17</w:t>
            </w:r>
            <w:r>
              <w:rPr>
                <w:rFonts w:hint="default" w:ascii="Times New Roman" w:hAnsi="Times New Roman" w:eastAsia="黑体" w:cs="Times New Roman"/>
                <w:b w:val="0"/>
                <w:bCs w:val="0"/>
                <w:color w:val="000000"/>
                <w:spacing w:val="-2"/>
                <w:sz w:val="24"/>
                <w:szCs w:val="24"/>
              </w:rPr>
              <w:t xml:space="preserve">  生产系统划分表</w:t>
            </w:r>
          </w:p>
          <w:tbl>
            <w:tblPr>
              <w:tblStyle w:val="54"/>
              <w:tblW w:w="4998" w:type="pct"/>
              <w:tblInd w:w="1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615"/>
              <w:gridCol w:w="1361"/>
              <w:gridCol w:w="5582"/>
            </w:tblGrid>
            <w:tr w14:paraId="34D5E90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noWrap w:val="0"/>
                  <w:vAlign w:val="center"/>
                </w:tcPr>
                <w:p w14:paraId="64BA7B48">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事故发生环节</w:t>
                  </w:r>
                </w:p>
              </w:tc>
              <w:tc>
                <w:tcPr>
                  <w:tcW w:w="795" w:type="pct"/>
                  <w:noWrap w:val="0"/>
                  <w:vAlign w:val="center"/>
                </w:tcPr>
                <w:p w14:paraId="5A76377F">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事故类型</w:t>
                  </w:r>
                </w:p>
              </w:tc>
              <w:tc>
                <w:tcPr>
                  <w:tcW w:w="3260" w:type="pct"/>
                  <w:noWrap w:val="0"/>
                  <w:vAlign w:val="center"/>
                </w:tcPr>
                <w:p w14:paraId="1E378D19">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1"/>
                      <w:sz w:val="21"/>
                      <w:szCs w:val="21"/>
                    </w:rPr>
                    <w:t>事故引发可能原因</w:t>
                  </w:r>
                </w:p>
              </w:tc>
            </w:tr>
            <w:tr w14:paraId="204F1BD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vMerge w:val="restart"/>
                  <w:tcBorders>
                    <w:bottom w:val="nil"/>
                  </w:tcBorders>
                  <w:noWrap w:val="0"/>
                  <w:vAlign w:val="center"/>
                </w:tcPr>
                <w:p w14:paraId="0EA5D3ED">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贮存</w:t>
                  </w:r>
                </w:p>
              </w:tc>
              <w:tc>
                <w:tcPr>
                  <w:tcW w:w="795" w:type="pct"/>
                  <w:noWrap w:val="0"/>
                  <w:vAlign w:val="center"/>
                </w:tcPr>
                <w:p w14:paraId="46F3F43A">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泄露</w:t>
                  </w:r>
                </w:p>
              </w:tc>
              <w:tc>
                <w:tcPr>
                  <w:tcW w:w="3260" w:type="pct"/>
                  <w:noWrap w:val="0"/>
                  <w:vAlign w:val="center"/>
                </w:tcPr>
                <w:p w14:paraId="2E32C798">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贮存容器受损</w:t>
                  </w:r>
                </w:p>
              </w:tc>
            </w:tr>
            <w:tr w14:paraId="2AA5241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vMerge w:val="continue"/>
                  <w:tcBorders>
                    <w:top w:val="nil"/>
                    <w:bottom w:val="nil"/>
                  </w:tcBorders>
                  <w:noWrap w:val="0"/>
                  <w:vAlign w:val="center"/>
                </w:tcPr>
                <w:p w14:paraId="1BE402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000000"/>
                      <w:sz w:val="21"/>
                    </w:rPr>
                  </w:pPr>
                </w:p>
              </w:tc>
              <w:tc>
                <w:tcPr>
                  <w:tcW w:w="795" w:type="pct"/>
                  <w:noWrap w:val="0"/>
                  <w:vAlign w:val="center"/>
                </w:tcPr>
                <w:p w14:paraId="6041DA71">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火灾</w:t>
                  </w:r>
                </w:p>
              </w:tc>
              <w:tc>
                <w:tcPr>
                  <w:tcW w:w="3260" w:type="pct"/>
                  <w:noWrap w:val="0"/>
                  <w:vAlign w:val="center"/>
                </w:tcPr>
                <w:p w14:paraId="74604D17">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1"/>
                      <w:sz w:val="21"/>
                      <w:szCs w:val="21"/>
                    </w:rPr>
                    <w:t>物料堆放区、危废库遇明火</w:t>
                  </w:r>
                </w:p>
              </w:tc>
            </w:tr>
            <w:tr w14:paraId="38A93C6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vMerge w:val="continue"/>
                  <w:tcBorders>
                    <w:top w:val="nil"/>
                  </w:tcBorders>
                  <w:noWrap w:val="0"/>
                  <w:vAlign w:val="center"/>
                </w:tcPr>
                <w:p w14:paraId="4AC56D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000000"/>
                      <w:sz w:val="21"/>
                    </w:rPr>
                  </w:pPr>
                </w:p>
              </w:tc>
              <w:tc>
                <w:tcPr>
                  <w:tcW w:w="795" w:type="pct"/>
                  <w:noWrap w:val="0"/>
                  <w:vAlign w:val="center"/>
                </w:tcPr>
                <w:p w14:paraId="75E2105B">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7"/>
                      <w:sz w:val="21"/>
                      <w:szCs w:val="21"/>
                    </w:rPr>
                    <w:t>中毒</w:t>
                  </w:r>
                </w:p>
              </w:tc>
              <w:tc>
                <w:tcPr>
                  <w:tcW w:w="3260" w:type="pct"/>
                  <w:noWrap w:val="0"/>
                  <w:vAlign w:val="center"/>
                </w:tcPr>
                <w:p w14:paraId="7918367E">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rFonts w:hint="eastAsia"/>
                      <w:color w:val="000000"/>
                      <w:spacing w:val="-1"/>
                      <w:sz w:val="21"/>
                      <w:szCs w:val="21"/>
                      <w:lang w:val="en-US" w:eastAsia="zh-CN"/>
                    </w:rPr>
                    <w:t>呋喃树脂、固化剂</w:t>
                  </w:r>
                  <w:r>
                    <w:rPr>
                      <w:color w:val="000000"/>
                      <w:spacing w:val="-1"/>
                      <w:sz w:val="21"/>
                      <w:szCs w:val="21"/>
                    </w:rPr>
                    <w:t>泄露过多，浓度超标</w:t>
                  </w:r>
                </w:p>
              </w:tc>
            </w:tr>
            <w:tr w14:paraId="2305672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vMerge w:val="restart"/>
                  <w:tcBorders>
                    <w:bottom w:val="nil"/>
                  </w:tcBorders>
                  <w:noWrap w:val="0"/>
                  <w:vAlign w:val="center"/>
                </w:tcPr>
                <w:p w14:paraId="1C95E3EF">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运输</w:t>
                  </w:r>
                </w:p>
              </w:tc>
              <w:tc>
                <w:tcPr>
                  <w:tcW w:w="795" w:type="pct"/>
                  <w:noWrap w:val="0"/>
                  <w:vAlign w:val="center"/>
                </w:tcPr>
                <w:p w14:paraId="0E0A79B0">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泄露</w:t>
                  </w:r>
                </w:p>
              </w:tc>
              <w:tc>
                <w:tcPr>
                  <w:tcW w:w="3260" w:type="pct"/>
                  <w:noWrap w:val="0"/>
                  <w:vAlign w:val="center"/>
                </w:tcPr>
                <w:p w14:paraId="1895C7D5">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1"/>
                      <w:sz w:val="21"/>
                      <w:szCs w:val="21"/>
                    </w:rPr>
                    <w:t>包装物破损、管线破损、密封不佳、车辆事故、违章操作</w:t>
                  </w:r>
                </w:p>
              </w:tc>
            </w:tr>
            <w:tr w14:paraId="6704122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943" w:type="pct"/>
                  <w:vMerge w:val="continue"/>
                  <w:tcBorders>
                    <w:top w:val="nil"/>
                  </w:tcBorders>
                  <w:noWrap w:val="0"/>
                  <w:vAlign w:val="center"/>
                </w:tcPr>
                <w:p w14:paraId="3F3EE7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000000"/>
                      <w:sz w:val="21"/>
                    </w:rPr>
                  </w:pPr>
                </w:p>
              </w:tc>
              <w:tc>
                <w:tcPr>
                  <w:tcW w:w="795" w:type="pct"/>
                  <w:noWrap w:val="0"/>
                  <w:vAlign w:val="center"/>
                </w:tcPr>
                <w:p w14:paraId="3156F76B">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火灾</w:t>
                  </w:r>
                </w:p>
              </w:tc>
              <w:tc>
                <w:tcPr>
                  <w:tcW w:w="3260" w:type="pct"/>
                  <w:noWrap w:val="0"/>
                  <w:vAlign w:val="center"/>
                </w:tcPr>
                <w:p w14:paraId="787EAB4E">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1"/>
                      <w:sz w:val="21"/>
                      <w:szCs w:val="21"/>
                    </w:rPr>
                    <w:t>运输过程中碰撞、翻车、交通事故造成原料泄漏并遇明火、雷击、静电等而引发火灾、爆炸</w:t>
                  </w:r>
                </w:p>
              </w:tc>
            </w:tr>
          </w:tbl>
          <w:p w14:paraId="3F19189E">
            <w:pPr>
              <w:bidi w:val="0"/>
              <w:rPr>
                <w:rFonts w:hint="eastAsia"/>
                <w:lang w:val="en-GB" w:eastAsia="zh-CN"/>
              </w:rPr>
            </w:pPr>
            <w:r>
              <w:rPr>
                <w:rFonts w:hint="eastAsia"/>
                <w:lang w:val="en-GB" w:eastAsia="zh-CN"/>
              </w:rPr>
              <w:t>（</w:t>
            </w:r>
            <w:r>
              <w:rPr>
                <w:rFonts w:hint="eastAsia"/>
                <w:lang w:val="en-US" w:eastAsia="zh-CN"/>
              </w:rPr>
              <w:t>3</w:t>
            </w:r>
            <w:r>
              <w:rPr>
                <w:rFonts w:hint="eastAsia"/>
                <w:lang w:val="en-GB" w:eastAsia="zh-CN"/>
              </w:rPr>
              <w:t>）危险物质向环境转移的途径识别</w:t>
            </w:r>
          </w:p>
          <w:p w14:paraId="2FD34FE6">
            <w:pPr>
              <w:bidi w:val="0"/>
              <w:rPr>
                <w:rFonts w:hint="eastAsia"/>
                <w:lang w:val="en-GB" w:eastAsia="zh-CN"/>
              </w:rPr>
            </w:pPr>
            <w:r>
              <w:rPr>
                <w:rFonts w:hint="eastAsia"/>
                <w:lang w:val="en-GB" w:eastAsia="zh-CN"/>
              </w:rPr>
              <w:t>根据对项目事故风险的识别和分析，可知本项目存在的环境风险类型为呋喃树脂、固化剂和危废泄露，以及火灾、爆炸等引发的伴生/次生污染物排放，其污染物的转移途径和危害形式见</w:t>
            </w:r>
            <w:r>
              <w:rPr>
                <w:rFonts w:hint="eastAsia"/>
                <w:lang w:val="en-US" w:eastAsia="zh-CN"/>
              </w:rPr>
              <w:t>下</w:t>
            </w:r>
            <w:r>
              <w:rPr>
                <w:rFonts w:hint="eastAsia"/>
                <w:lang w:val="en-GB" w:eastAsia="zh-CN"/>
              </w:rPr>
              <w:t>表。</w:t>
            </w:r>
          </w:p>
          <w:p w14:paraId="621AED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w:t>
            </w:r>
            <w:r>
              <w:rPr>
                <w:rFonts w:hint="default" w:ascii="Times New Roman" w:hAnsi="Times New Roman" w:eastAsia="黑体" w:cs="Times New Roman"/>
                <w:lang w:val="en-US" w:eastAsia="zh-CN"/>
              </w:rPr>
              <w:t>4-</w:t>
            </w:r>
            <w:r>
              <w:rPr>
                <w:rFonts w:hint="eastAsia" w:ascii="Times New Roman" w:hAnsi="Times New Roman" w:eastAsia="黑体" w:cs="Times New Roman"/>
                <w:lang w:val="en-US" w:eastAsia="zh-CN"/>
              </w:rPr>
              <w:t>18</w:t>
            </w:r>
            <w:r>
              <w:rPr>
                <w:rFonts w:hint="default" w:ascii="Times New Roman" w:hAnsi="Times New Roman" w:eastAsia="黑体" w:cs="Times New Roman"/>
              </w:rPr>
              <w:t xml:space="preserve">  事故污染危害途径</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841"/>
              <w:gridCol w:w="2438"/>
              <w:gridCol w:w="1556"/>
              <w:gridCol w:w="2723"/>
            </w:tblGrid>
            <w:tr w14:paraId="25C3BAE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075" w:type="pct"/>
                  <w:noWrap w:val="0"/>
                  <w:vAlign w:val="center"/>
                </w:tcPr>
                <w:p w14:paraId="643FC421">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事故类型</w:t>
                  </w:r>
                </w:p>
              </w:tc>
              <w:tc>
                <w:tcPr>
                  <w:tcW w:w="1424" w:type="pct"/>
                  <w:noWrap w:val="0"/>
                  <w:vAlign w:val="center"/>
                </w:tcPr>
                <w:p w14:paraId="37FDB377">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事故位置</w:t>
                  </w:r>
                </w:p>
              </w:tc>
              <w:tc>
                <w:tcPr>
                  <w:tcW w:w="909" w:type="pct"/>
                  <w:noWrap w:val="0"/>
                  <w:vAlign w:val="center"/>
                </w:tcPr>
                <w:p w14:paraId="7B755F03">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事故影响类型</w:t>
                  </w:r>
                </w:p>
              </w:tc>
              <w:tc>
                <w:tcPr>
                  <w:tcW w:w="1590" w:type="pct"/>
                  <w:noWrap w:val="0"/>
                  <w:vAlign w:val="center"/>
                </w:tcPr>
                <w:p w14:paraId="23184C93">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污染物转移途径及危</w:t>
                  </w:r>
                  <w:r>
                    <w:rPr>
                      <w:color w:val="000000"/>
                      <w:spacing w:val="7"/>
                      <w:sz w:val="21"/>
                      <w:szCs w:val="21"/>
                    </w:rPr>
                    <w:t xml:space="preserve"> </w:t>
                  </w:r>
                  <w:r>
                    <w:rPr>
                      <w:color w:val="000000"/>
                      <w:spacing w:val="-3"/>
                      <w:sz w:val="21"/>
                      <w:szCs w:val="21"/>
                    </w:rPr>
                    <w:t>害形式</w:t>
                  </w:r>
                </w:p>
              </w:tc>
            </w:tr>
            <w:tr w14:paraId="7FFA642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075" w:type="pct"/>
                  <w:noWrap w:val="0"/>
                  <w:vAlign w:val="center"/>
                </w:tcPr>
                <w:p w14:paraId="68306AA7">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泄露</w:t>
                  </w:r>
                </w:p>
              </w:tc>
              <w:tc>
                <w:tcPr>
                  <w:tcW w:w="1424" w:type="pct"/>
                  <w:noWrap w:val="0"/>
                  <w:vAlign w:val="center"/>
                </w:tcPr>
                <w:p w14:paraId="77637894">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color w:val="000000"/>
                      <w:sz w:val="21"/>
                      <w:szCs w:val="21"/>
                      <w:lang w:val="en-US" w:eastAsia="zh-CN"/>
                    </w:rPr>
                  </w:pPr>
                  <w:r>
                    <w:rPr>
                      <w:rFonts w:hint="eastAsia"/>
                      <w:color w:val="000000"/>
                      <w:spacing w:val="-1"/>
                      <w:sz w:val="21"/>
                      <w:szCs w:val="21"/>
                      <w:lang w:val="en-US" w:eastAsia="zh-CN"/>
                    </w:rPr>
                    <w:t>原料</w:t>
                  </w:r>
                  <w:r>
                    <w:rPr>
                      <w:color w:val="000000"/>
                      <w:spacing w:val="-1"/>
                      <w:sz w:val="21"/>
                      <w:szCs w:val="21"/>
                    </w:rPr>
                    <w:t>区、危废</w:t>
                  </w:r>
                  <w:r>
                    <w:rPr>
                      <w:rFonts w:hint="eastAsia"/>
                      <w:color w:val="000000"/>
                      <w:spacing w:val="-1"/>
                      <w:sz w:val="21"/>
                      <w:szCs w:val="21"/>
                      <w:lang w:val="en-US" w:eastAsia="zh-CN"/>
                    </w:rPr>
                    <w:t>暂存间</w:t>
                  </w:r>
                </w:p>
              </w:tc>
              <w:tc>
                <w:tcPr>
                  <w:tcW w:w="909" w:type="pct"/>
                  <w:noWrap w:val="0"/>
                  <w:vAlign w:val="center"/>
                </w:tcPr>
                <w:p w14:paraId="06EBEEC9">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渗漏、扩散</w:t>
                  </w:r>
                </w:p>
              </w:tc>
              <w:tc>
                <w:tcPr>
                  <w:tcW w:w="1590" w:type="pct"/>
                  <w:noWrap w:val="0"/>
                  <w:vAlign w:val="center"/>
                </w:tcPr>
                <w:p w14:paraId="359DFC77">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2"/>
                      <w:sz w:val="21"/>
                      <w:szCs w:val="21"/>
                    </w:rPr>
                    <w:t>大气、地下水、土壤</w:t>
                  </w:r>
                </w:p>
              </w:tc>
            </w:tr>
            <w:tr w14:paraId="7347860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075" w:type="pct"/>
                  <w:noWrap w:val="0"/>
                  <w:vAlign w:val="center"/>
                </w:tcPr>
                <w:p w14:paraId="1BD3F65E">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7"/>
                      <w:sz w:val="21"/>
                      <w:szCs w:val="21"/>
                    </w:rPr>
                    <w:t>中毒</w:t>
                  </w:r>
                </w:p>
              </w:tc>
              <w:tc>
                <w:tcPr>
                  <w:tcW w:w="1424" w:type="pct"/>
                  <w:noWrap w:val="0"/>
                  <w:vAlign w:val="center"/>
                </w:tcPr>
                <w:p w14:paraId="3455B3A1">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rFonts w:hint="eastAsia"/>
                      <w:color w:val="000000"/>
                      <w:spacing w:val="-1"/>
                      <w:sz w:val="21"/>
                      <w:szCs w:val="21"/>
                      <w:lang w:val="en-US" w:eastAsia="zh-CN"/>
                    </w:rPr>
                    <w:t>原料</w:t>
                  </w:r>
                  <w:r>
                    <w:rPr>
                      <w:color w:val="000000"/>
                      <w:spacing w:val="-1"/>
                      <w:sz w:val="21"/>
                      <w:szCs w:val="21"/>
                    </w:rPr>
                    <w:t>区</w:t>
                  </w:r>
                </w:p>
              </w:tc>
              <w:tc>
                <w:tcPr>
                  <w:tcW w:w="909" w:type="pct"/>
                  <w:noWrap w:val="0"/>
                  <w:vAlign w:val="center"/>
                </w:tcPr>
                <w:p w14:paraId="4E57DFDA">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大气污染</w:t>
                  </w:r>
                </w:p>
              </w:tc>
              <w:tc>
                <w:tcPr>
                  <w:tcW w:w="1590" w:type="pct"/>
                  <w:noWrap w:val="0"/>
                  <w:vAlign w:val="center"/>
                </w:tcPr>
                <w:p w14:paraId="2F93297F">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大气</w:t>
                  </w:r>
                </w:p>
              </w:tc>
            </w:tr>
            <w:tr w14:paraId="69E0B0D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075" w:type="pct"/>
                  <w:noWrap w:val="0"/>
                  <w:vAlign w:val="center"/>
                </w:tcPr>
                <w:p w14:paraId="484B7895">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火灾</w:t>
                  </w:r>
                </w:p>
              </w:tc>
              <w:tc>
                <w:tcPr>
                  <w:tcW w:w="1424" w:type="pct"/>
                  <w:noWrap w:val="0"/>
                  <w:vAlign w:val="center"/>
                </w:tcPr>
                <w:p w14:paraId="5E90278C">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rFonts w:hint="eastAsia"/>
                      <w:color w:val="000000"/>
                      <w:spacing w:val="-1"/>
                      <w:sz w:val="21"/>
                      <w:szCs w:val="21"/>
                      <w:lang w:val="en-US" w:eastAsia="zh-CN"/>
                    </w:rPr>
                    <w:t>原料</w:t>
                  </w:r>
                  <w:r>
                    <w:rPr>
                      <w:color w:val="000000"/>
                      <w:spacing w:val="-1"/>
                      <w:sz w:val="21"/>
                      <w:szCs w:val="21"/>
                    </w:rPr>
                    <w:t>区、危废库</w:t>
                  </w:r>
                </w:p>
              </w:tc>
              <w:tc>
                <w:tcPr>
                  <w:tcW w:w="909" w:type="pct"/>
                  <w:noWrap w:val="0"/>
                  <w:vAlign w:val="center"/>
                </w:tcPr>
                <w:p w14:paraId="02CF1B9B">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大气污染</w:t>
                  </w:r>
                </w:p>
              </w:tc>
              <w:tc>
                <w:tcPr>
                  <w:tcW w:w="1590" w:type="pct"/>
                  <w:noWrap w:val="0"/>
                  <w:vAlign w:val="center"/>
                </w:tcPr>
                <w:p w14:paraId="33CBF273">
                  <w:pPr>
                    <w:pStyle w:val="3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000000"/>
                      <w:sz w:val="21"/>
                      <w:szCs w:val="21"/>
                    </w:rPr>
                  </w:pPr>
                  <w:r>
                    <w:rPr>
                      <w:color w:val="000000"/>
                      <w:spacing w:val="-3"/>
                      <w:sz w:val="21"/>
                      <w:szCs w:val="21"/>
                    </w:rPr>
                    <w:t>大气</w:t>
                  </w:r>
                </w:p>
              </w:tc>
            </w:tr>
          </w:tbl>
          <w:p w14:paraId="0972F7BB">
            <w:pPr>
              <w:bidi w:val="0"/>
            </w:pPr>
            <w:r>
              <w:rPr>
                <w:rFonts w:hint="eastAsia"/>
                <w:lang w:val="en-US" w:eastAsia="zh-CN"/>
              </w:rPr>
              <w:t>6</w:t>
            </w:r>
            <w:r>
              <w:t>.4环境风险分析</w:t>
            </w:r>
          </w:p>
          <w:p w14:paraId="23D22198">
            <w:pPr>
              <w:bidi w:val="0"/>
            </w:pPr>
            <w:r>
              <w:rPr>
                <w:rFonts w:hint="eastAsia"/>
                <w:lang w:eastAsia="zh-CN"/>
              </w:rPr>
              <w:t>（</w:t>
            </w:r>
            <w:r>
              <w:rPr>
                <w:rFonts w:hint="eastAsia"/>
                <w:lang w:val="en-US" w:eastAsia="zh-CN"/>
              </w:rPr>
              <w:t>1</w:t>
            </w:r>
            <w:r>
              <w:rPr>
                <w:rFonts w:hint="eastAsia"/>
                <w:lang w:eastAsia="zh-CN"/>
              </w:rPr>
              <w:t>）</w:t>
            </w:r>
            <w:r>
              <w:t>大气环境风险分析</w:t>
            </w:r>
          </w:p>
          <w:p w14:paraId="1F5CBC1F">
            <w:pPr>
              <w:bidi w:val="0"/>
            </w:pPr>
            <w:r>
              <w:t>本项目可能发生的风险事故中，对大气环境影响主要为</w:t>
            </w:r>
            <w:r>
              <w:rPr>
                <w:rFonts w:hint="eastAsia"/>
                <w:lang w:val="en-GB" w:eastAsia="zh-CN"/>
              </w:rPr>
              <w:t>呋喃树脂、固化剂和危废</w:t>
            </w:r>
            <w:r>
              <w:t>泄露风险事故、火灾风险事故以及环保设施故障风险事故。</w:t>
            </w:r>
          </w:p>
          <w:p w14:paraId="27A196DC">
            <w:pPr>
              <w:bidi w:val="0"/>
            </w:pPr>
            <w:r>
              <w:rPr>
                <w:rFonts w:hint="eastAsia"/>
              </w:rPr>
              <w:t>①</w:t>
            </w:r>
            <w:r>
              <w:t>火灾风险事故</w:t>
            </w:r>
          </w:p>
          <w:p w14:paraId="3C5BFFCC">
            <w:pPr>
              <w:bidi w:val="0"/>
            </w:pPr>
            <w:r>
              <w:t>本项目</w:t>
            </w:r>
            <w:r>
              <w:rPr>
                <w:rFonts w:hint="eastAsia"/>
                <w:lang w:val="en-US" w:eastAsia="zh-CN"/>
              </w:rPr>
              <w:t>呋喃树脂</w:t>
            </w:r>
            <w:r>
              <w:rPr>
                <w:rFonts w:hint="default"/>
              </w:rPr>
              <w:t>、</w:t>
            </w:r>
            <w:r>
              <w:rPr>
                <w:rFonts w:hint="eastAsia"/>
                <w:lang w:val="en-US" w:eastAsia="zh-CN"/>
              </w:rPr>
              <w:t>润滑油</w:t>
            </w:r>
            <w:r>
              <w:t>属于可燃、易燃液体，在在特定条件下发生火灾将难以扑灭；此外，燃烧产生的有毒气体具有致癌性，也将对周边环境造成影</w:t>
            </w:r>
            <w:bookmarkStart w:id="32" w:name="bookmark101"/>
            <w:bookmarkEnd w:id="32"/>
            <w:r>
              <w:t>响。通过提高物料堆存区和危废库的本体安全度，落实各项安全措施后，可使火灾、爆炸危险性下降。但值得注意的是，一旦某设备或装置发生火灾、爆炸，很可能会造成“多米诺效应”，发生事故连锁、造成事故蔓延，因此，企业要强化管理措施到位，要防微杜渐。</w:t>
            </w:r>
          </w:p>
          <w:p w14:paraId="4287B4AE">
            <w:pPr>
              <w:bidi w:val="0"/>
            </w:pPr>
            <w:r>
              <w:t>②</w:t>
            </w:r>
            <w:r>
              <w:rPr>
                <w:rFonts w:hint="eastAsia"/>
                <w:lang w:val="en-GB" w:eastAsia="zh-CN"/>
              </w:rPr>
              <w:t>呋喃树脂、</w:t>
            </w:r>
            <w:r>
              <w:rPr>
                <w:rFonts w:hint="eastAsia"/>
                <w:lang w:val="en-US" w:eastAsia="zh-CN"/>
              </w:rPr>
              <w:t>固化剂</w:t>
            </w:r>
            <w:r>
              <w:t>泄露风险事故</w:t>
            </w:r>
          </w:p>
          <w:p w14:paraId="14E29B23">
            <w:pPr>
              <w:bidi w:val="0"/>
            </w:pPr>
            <w:r>
              <w:t>本项目使用</w:t>
            </w:r>
            <w:r>
              <w:rPr>
                <w:rFonts w:hint="eastAsia"/>
                <w:lang w:val="en-GB" w:eastAsia="zh-CN"/>
              </w:rPr>
              <w:t>呋喃树脂、</w:t>
            </w:r>
            <w:r>
              <w:rPr>
                <w:rFonts w:hint="eastAsia"/>
                <w:lang w:val="en-US" w:eastAsia="zh-CN"/>
              </w:rPr>
              <w:t>固化剂通过混砂来制的树脂砂</w:t>
            </w:r>
            <w:r>
              <w:t>，项目外购的</w:t>
            </w:r>
            <w:r>
              <w:rPr>
                <w:rFonts w:hint="eastAsia"/>
                <w:lang w:val="en-GB" w:eastAsia="zh-CN"/>
              </w:rPr>
              <w:t>呋喃树脂</w:t>
            </w:r>
            <w:r>
              <w:t>为液体，贮存在相应的容器内，</w:t>
            </w:r>
            <w:r>
              <w:rPr>
                <w:rFonts w:hint="eastAsia"/>
                <w:lang w:val="en-GB" w:eastAsia="zh-CN"/>
              </w:rPr>
              <w:t>呋喃树脂</w:t>
            </w:r>
            <w:r>
              <w:t>泄露后挥发产生VOCs，并且</w:t>
            </w:r>
            <w:r>
              <w:rPr>
                <w:rFonts w:hint="eastAsia"/>
                <w:lang w:val="en-GB" w:eastAsia="zh-CN"/>
              </w:rPr>
              <w:t>呋喃树脂</w:t>
            </w:r>
            <w:r>
              <w:rPr>
                <w:rFonts w:hint="eastAsia"/>
                <w:lang w:val="en-US" w:eastAsia="zh-CN"/>
              </w:rPr>
              <w:t>中的甲醛</w:t>
            </w:r>
            <w:r>
              <w:t>属于中毒物质，挥发到大气环境中造成污染。</w:t>
            </w:r>
          </w:p>
          <w:p w14:paraId="409A99B8">
            <w:pPr>
              <w:bidi w:val="0"/>
              <w:rPr>
                <w:rFonts w:hint="default"/>
              </w:rPr>
            </w:pPr>
            <w:r>
              <w:rPr>
                <w:rFonts w:hint="default"/>
              </w:rPr>
              <w:t>③废</w:t>
            </w:r>
            <w:r>
              <w:rPr>
                <w:rFonts w:hint="eastAsia"/>
                <w:lang w:val="en-US" w:eastAsia="zh-CN"/>
              </w:rPr>
              <w:t>润滑</w:t>
            </w:r>
            <w:r>
              <w:rPr>
                <w:rFonts w:hint="default"/>
              </w:rPr>
              <w:t>油泄露事故</w:t>
            </w:r>
          </w:p>
          <w:p w14:paraId="10443090">
            <w:pPr>
              <w:bidi w:val="0"/>
              <w:rPr>
                <w:rFonts w:hint="default"/>
              </w:rPr>
            </w:pPr>
            <w:r>
              <w:rPr>
                <w:rFonts w:hint="default"/>
              </w:rPr>
              <w:t>废</w:t>
            </w:r>
            <w:r>
              <w:rPr>
                <w:rFonts w:hint="default"/>
                <w:lang w:val="en-US" w:eastAsia="zh-CN"/>
              </w:rPr>
              <w:t>润滑</w:t>
            </w:r>
            <w:r>
              <w:rPr>
                <w:rFonts w:hint="default"/>
              </w:rPr>
              <w:t>油泄露，会造成大气、地下水和土壤污染。其中废</w:t>
            </w:r>
            <w:r>
              <w:rPr>
                <w:rFonts w:hint="eastAsia"/>
                <w:lang w:val="en-US" w:eastAsia="zh-CN"/>
              </w:rPr>
              <w:t>润滑</w:t>
            </w:r>
            <w:r>
              <w:rPr>
                <w:rFonts w:hint="default"/>
              </w:rPr>
              <w:t>油属于易燃物质，泄露到大气环境中会引起中毒和癌肿。废</w:t>
            </w:r>
            <w:r>
              <w:rPr>
                <w:rFonts w:hint="eastAsia"/>
                <w:lang w:val="en-US" w:eastAsia="zh-CN"/>
              </w:rPr>
              <w:t>润滑</w:t>
            </w:r>
            <w:r>
              <w:rPr>
                <w:rFonts w:hint="default"/>
              </w:rPr>
              <w:t>油泄露到土表，会使得土壤污染，甚至污染地下水。</w:t>
            </w:r>
          </w:p>
          <w:p w14:paraId="5FF35F75">
            <w:pPr>
              <w:bidi w:val="0"/>
            </w:pPr>
            <w:r>
              <w:rPr>
                <w:rFonts w:hint="eastAsia"/>
              </w:rPr>
              <w:t>④</w:t>
            </w:r>
            <w:r>
              <w:t>废气处理设施故障事故</w:t>
            </w:r>
          </w:p>
          <w:p w14:paraId="2AAB443C">
            <w:pPr>
              <w:bidi w:val="0"/>
            </w:pPr>
            <w:r>
              <w:t>项目</w:t>
            </w:r>
            <w:r>
              <w:rPr>
                <w:rFonts w:hint="eastAsia"/>
                <w:lang w:val="en-US" w:eastAsia="zh-CN"/>
              </w:rPr>
              <w:t>各个工序</w:t>
            </w:r>
            <w:r>
              <w:t>产生的粉尘以及</w:t>
            </w:r>
            <w:r>
              <w:rPr>
                <w:rFonts w:hint="eastAsia"/>
                <w:lang w:val="en-US" w:eastAsia="zh-CN"/>
              </w:rPr>
              <w:t>有机</w:t>
            </w:r>
            <w:r>
              <w:t>废气均设置了对应的废气处理装置进行处理，若废气处理装置发生故障，导致废气污染物未经处理直接排放，对大气环境造成污染。</w:t>
            </w:r>
          </w:p>
          <w:p w14:paraId="1AC43C3D">
            <w:pPr>
              <w:bidi w:val="0"/>
            </w:pPr>
            <w:r>
              <w:rPr>
                <w:rFonts w:hint="eastAsia"/>
                <w:lang w:eastAsia="zh-CN"/>
              </w:rPr>
              <w:t>（</w:t>
            </w:r>
            <w:r>
              <w:rPr>
                <w:rFonts w:hint="eastAsia"/>
                <w:lang w:val="en-US" w:eastAsia="zh-CN"/>
              </w:rPr>
              <w:t>2</w:t>
            </w:r>
            <w:r>
              <w:rPr>
                <w:rFonts w:hint="eastAsia"/>
                <w:lang w:eastAsia="zh-CN"/>
              </w:rPr>
              <w:t>）</w:t>
            </w:r>
            <w:r>
              <w:t>地表水环境风险分析</w:t>
            </w:r>
          </w:p>
          <w:p w14:paraId="1CAB7D81">
            <w:pPr>
              <w:bidi w:val="0"/>
            </w:pPr>
            <w:r>
              <w:t>在</w:t>
            </w:r>
            <w:r>
              <w:rPr>
                <w:rFonts w:hint="eastAsia"/>
                <w:lang w:val="en-US" w:eastAsia="zh-CN"/>
              </w:rPr>
              <w:t>呋喃树脂</w:t>
            </w:r>
            <w:r>
              <w:rPr>
                <w:rFonts w:hint="default"/>
              </w:rPr>
              <w:t>、</w:t>
            </w:r>
            <w:r>
              <w:rPr>
                <w:rFonts w:hint="eastAsia"/>
                <w:lang w:val="en-US" w:eastAsia="zh-CN"/>
              </w:rPr>
              <w:t>润滑油</w:t>
            </w:r>
            <w:r>
              <w:t>等可燃、易燃风险物质遇明火时，将会发生火灾爆炸事故。当发生火灾等风险事故时，将用到大量消防水来灭火；或发生液体化工品泄漏时用不燃性分散剂制成的乳液刷洗产生冲洗液，或用泡沫覆盖，抑制蒸发。消防时，泄漏出来的物料混入消防水，消防水即被污染。消防污水具有以下几个特点：</w:t>
            </w:r>
          </w:p>
          <w:p w14:paraId="68E63164">
            <w:pPr>
              <w:bidi w:val="0"/>
            </w:pPr>
            <w:r>
              <w:rPr>
                <w:rFonts w:hint="eastAsia"/>
              </w:rPr>
              <w:t>①</w:t>
            </w:r>
            <w:r>
              <w:t>消防污水量变化大</w:t>
            </w:r>
          </w:p>
          <w:p w14:paraId="79B2ECD0">
            <w:pPr>
              <w:bidi w:val="0"/>
            </w:pPr>
            <w:r>
              <w:t>消防污水量与消防时实际用水量有关，而消防实际用水量与火灾严重程度密切相关。当火灾处于初期或程度比较轻时，消防实际用水量就小，产生的消防污水也就少；当火灾程度比较严重时，消防实际用水量就大，产生的消防污水也就。</w:t>
            </w:r>
          </w:p>
          <w:p w14:paraId="693A35A3">
            <w:pPr>
              <w:bidi w:val="0"/>
            </w:pPr>
            <w:r>
              <w:t>②污水中污染物组分复杂</w:t>
            </w:r>
          </w:p>
          <w:p w14:paraId="1643BB11">
            <w:pPr>
              <w:bidi w:val="0"/>
            </w:pPr>
            <w:r>
              <w:t>不同的货种泄漏，消防污水中污染物的组分都会不同，污染物的浓度也会有很大差异。本项目消防水中可能含有糠醇、</w:t>
            </w:r>
            <w:r>
              <w:rPr>
                <w:rFonts w:hint="eastAsia"/>
                <w:lang w:val="en-US" w:eastAsia="zh-CN"/>
              </w:rPr>
              <w:t>甲醛</w:t>
            </w:r>
            <w:r>
              <w:t>等化学品成分。</w:t>
            </w:r>
          </w:p>
          <w:p w14:paraId="00F2D16E">
            <w:pPr>
              <w:bidi w:val="0"/>
            </w:pPr>
            <w:r>
              <w:t>一旦消防用水量大于事故水池的容积，消防污水将可能进入周边水域，对周边水域水质造成较大的影响。因此，消防污水的收集与处理是十分必要的。当发生事故时，事故应急池可将事故废水全部收集，泄漏物料和消防废水可控制在厂区内，不外排到周边地表水环境。因此，本项目事故废水对周边地表水环境影响较小。</w:t>
            </w:r>
          </w:p>
          <w:p w14:paraId="643090DE">
            <w:pPr>
              <w:bidi w:val="0"/>
            </w:pPr>
            <w:r>
              <w:t>（</w:t>
            </w:r>
            <w:r>
              <w:rPr>
                <w:rFonts w:hint="eastAsia"/>
                <w:lang w:val="en-US" w:eastAsia="zh-CN"/>
              </w:rPr>
              <w:t>3</w:t>
            </w:r>
            <w:r>
              <w:t>）危险废物环境风险分析</w:t>
            </w:r>
          </w:p>
          <w:p w14:paraId="41AD2179">
            <w:pPr>
              <w:bidi w:val="0"/>
            </w:pPr>
            <w:r>
              <w:t>废活性炭、废</w:t>
            </w:r>
            <w:r>
              <w:rPr>
                <w:rFonts w:hint="eastAsia"/>
              </w:rPr>
              <w:t>润滑油</w:t>
            </w:r>
            <w:r>
              <w:t>等一旦发生泄漏事故，应及时进行收集处理，未收集的部分可能会导致土壤受到污染。</w:t>
            </w:r>
          </w:p>
          <w:p w14:paraId="64907F3A">
            <w:pPr>
              <w:bidi w:val="0"/>
              <w:rPr>
                <w:rFonts w:hint="eastAsia"/>
              </w:rPr>
            </w:pPr>
            <w:r>
              <w:t>本项目废</w:t>
            </w:r>
            <w:r>
              <w:rPr>
                <w:rFonts w:hint="eastAsia"/>
              </w:rPr>
              <w:t>润滑油</w:t>
            </w:r>
            <w:r>
              <w:t>等采用多个桶装储存，且存储量不大，在不发生爆炸的情况下，泄漏的概率几乎为零，其发生泄漏而不引起火灾爆炸事故时，主要影响是挥发的有机废气对环境空气的影响，由于单桶</w:t>
            </w:r>
            <w:r>
              <w:rPr>
                <w:rFonts w:hint="eastAsia"/>
              </w:rPr>
              <w:t>润滑油</w:t>
            </w:r>
            <w:r>
              <w:t>量相对较小，对厂区大气环境造成影响较小；项目废活性炭主要来源于废气处理设施，其吸附介质主要为挥发性有机物，储存过程采用密闭储存，储存过程基本无有机废气挥发出，其发生泄漏而不引起火灾爆炸事故时，主要影响是挥发的有机废气对环境空气的影响，由于废活性炭产生量少，产生频次低且及时委托有资质单位转运</w:t>
            </w:r>
            <w:r>
              <w:rPr>
                <w:rFonts w:hint="eastAsia"/>
                <w:lang w:eastAsia="zh-CN"/>
              </w:rPr>
              <w:t>，</w:t>
            </w:r>
            <w:r>
              <w:rPr>
                <w:rFonts w:hint="eastAsia"/>
              </w:rPr>
              <w:t>基本不会对周围环境造成影响。</w:t>
            </w:r>
          </w:p>
          <w:p w14:paraId="6FB1B61C">
            <w:pPr>
              <w:bidi w:val="0"/>
            </w:pPr>
            <w:r>
              <w:rPr>
                <w:rFonts w:hint="eastAsia"/>
                <w:lang w:val="en-US" w:eastAsia="zh-CN"/>
              </w:rPr>
              <w:t>6</w:t>
            </w:r>
            <w:r>
              <w:t>.5环境风险防范措施及应急要求</w:t>
            </w:r>
          </w:p>
          <w:p w14:paraId="5DC7F153">
            <w:pPr>
              <w:bidi w:val="0"/>
            </w:pPr>
            <w:r>
              <w:rPr>
                <w:rFonts w:hint="eastAsia"/>
                <w:lang w:val="en-US" w:eastAsia="zh-CN"/>
              </w:rPr>
              <w:t>6</w:t>
            </w:r>
            <w:r>
              <w:t>.5.1风险防范措施</w:t>
            </w:r>
          </w:p>
          <w:p w14:paraId="4ACC2A27">
            <w:pPr>
              <w:bidi w:val="0"/>
            </w:pPr>
            <w:r>
              <w:t>（1）原料储存过程事故收集措施</w:t>
            </w:r>
          </w:p>
          <w:p w14:paraId="1B25D5B5">
            <w:pPr>
              <w:bidi w:val="0"/>
            </w:pPr>
            <w:r>
              <w:t>原料（</w:t>
            </w:r>
            <w:r>
              <w:rPr>
                <w:rFonts w:hint="eastAsia"/>
              </w:rPr>
              <w:t>润滑油、呋喃树脂</w:t>
            </w:r>
            <w:r>
              <w:rPr>
                <w:rFonts w:hint="eastAsia"/>
                <w:lang w:eastAsia="zh-CN"/>
              </w:rPr>
              <w:t>、</w:t>
            </w:r>
            <w:r>
              <w:rPr>
                <w:rFonts w:hint="eastAsia"/>
                <w:lang w:val="en-US" w:eastAsia="zh-CN"/>
              </w:rPr>
              <w:t>固化剂</w:t>
            </w:r>
            <w:r>
              <w:t>）加强贮存使用管理，及时检查包装容器完好使用情况，严防出现泄漏事故。原料仓库四周设置围堰（容积2m</w:t>
            </w:r>
            <w:r>
              <w:rPr>
                <w:vertAlign w:val="superscript"/>
              </w:rPr>
              <w:t>3</w:t>
            </w:r>
            <w:r>
              <w:t>），泄露物料及时收集后作为危废处理，危废间设置“六防”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412625AF">
            <w:pPr>
              <w:bidi w:val="0"/>
            </w:pPr>
            <w:r>
              <w:t>（2）危废暂存过程中风险防范措施：</w:t>
            </w:r>
          </w:p>
          <w:p w14:paraId="6E1920C0">
            <w:pPr>
              <w:bidi w:val="0"/>
            </w:pPr>
            <w:r>
              <w:rPr>
                <w:rFonts w:hint="eastAsia"/>
              </w:rPr>
              <w:t>根据危险废物管理规定，危险废物应交由有资质的废物处理单位集中处置。为便于处置和防止危险废物的二次污染，应根据《危险废物贮存污染控制标准》（</w:t>
            </w:r>
            <w:r>
              <w:t>GB18597—2023</w:t>
            </w:r>
            <w:r>
              <w:rPr>
                <w:rFonts w:hint="eastAsia"/>
              </w:rPr>
              <w:t>）的要求在厂区或指定地点建设危险废物暂存设施，定期交有资质单位处理。本项目危废收集后，交由有资质的专业公司处理，不得排放。</w:t>
            </w:r>
          </w:p>
          <w:p w14:paraId="0BE15C96">
            <w:pPr>
              <w:bidi w:val="0"/>
            </w:pPr>
            <w:r>
              <w:t>①危废暂存间贮存区域应符合有关安全、防火规定，并设置相应的通风、防爆、防火、灭火等安全设施。</w:t>
            </w:r>
          </w:p>
          <w:p w14:paraId="2E2FE7A9">
            <w:pPr>
              <w:bidi w:val="0"/>
              <w:rPr>
                <w:rFonts w:hint="eastAsia"/>
              </w:rPr>
            </w:pPr>
            <w:r>
              <w:t>②储存地点设置围堰</w:t>
            </w:r>
            <w:r>
              <w:rPr>
                <w:rFonts w:hint="eastAsia"/>
              </w:rPr>
              <w:t>及事故池</w:t>
            </w:r>
            <w:r>
              <w:t>，防止事故泄露</w:t>
            </w:r>
            <w:r>
              <w:rPr>
                <w:rFonts w:hint="eastAsia"/>
              </w:rPr>
              <w:t>；</w:t>
            </w:r>
          </w:p>
          <w:p w14:paraId="072F6A00">
            <w:pPr>
              <w:bidi w:val="0"/>
            </w:pPr>
            <w:r>
              <w:t>③危废暂存间设置事故沟等风险防范措施；</w:t>
            </w:r>
          </w:p>
          <w:p w14:paraId="60B7CAF8">
            <w:pPr>
              <w:bidi w:val="0"/>
            </w:pPr>
            <w:r>
              <w:t>④建立安全生产岗位责任制，制定安全生产规章制度、安全操作规程，加强员工安全环保意识教育，树立安全生产意识，防止人为事故发生。</w:t>
            </w:r>
          </w:p>
          <w:p w14:paraId="5B023527">
            <w:pPr>
              <w:bidi w:val="0"/>
            </w:pPr>
            <w:r>
              <w:t>（3）火灾事故风险防范措施</w:t>
            </w:r>
          </w:p>
          <w:p w14:paraId="0BB9C2A4">
            <w:pPr>
              <w:bidi w:val="0"/>
            </w:pPr>
            <w: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250CFDAD">
            <w:pPr>
              <w:bidi w:val="0"/>
            </w:pPr>
            <w:r>
              <w:t>②建立健全安全、环境管理体系及高效的安全生产机构，一旦发生事故，要做到快速、高效、安全处置。</w:t>
            </w:r>
          </w:p>
          <w:p w14:paraId="29B27BFD">
            <w:pPr>
              <w:bidi w:val="0"/>
            </w:pPr>
            <w:r>
              <w:t>③厂内的电气设备严格按照防爆区划分配置。</w:t>
            </w:r>
          </w:p>
          <w:p w14:paraId="55A52D53">
            <w:pPr>
              <w:bidi w:val="0"/>
            </w:pPr>
            <w:r>
              <w:t>④如突发火灾，应立即采取急救措施，并及时向当地环保局等有关部门报告。一旦发生火灾事故，迅速按灭火作战预案紧急处理。</w:t>
            </w:r>
          </w:p>
          <w:p w14:paraId="68C0A4B8">
            <w:pPr>
              <w:bidi w:val="0"/>
            </w:pPr>
            <w:r>
              <w:t>⑤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参考《水体污染防控紧急措施设计导则》，</w:t>
            </w:r>
          </w:p>
          <w:p w14:paraId="39CE5D5D">
            <w:pPr>
              <w:widowControl/>
              <w:spacing w:line="360" w:lineRule="auto"/>
              <w:ind w:firstLine="480" w:firstLineChars="200"/>
              <w:rPr>
                <w:color w:val="000000"/>
                <w:sz w:val="24"/>
              </w:rPr>
            </w:pPr>
            <w:r>
              <w:rPr>
                <w:color w:val="000000"/>
                <w:kern w:val="0"/>
                <w:sz w:val="24"/>
                <w:lang w:bidi="ar"/>
              </w:rPr>
              <w:t>V</w:t>
            </w:r>
            <w:r>
              <w:rPr>
                <w:color w:val="000000"/>
                <w:kern w:val="0"/>
                <w:sz w:val="24"/>
                <w:vertAlign w:val="subscript"/>
                <w:lang w:bidi="ar"/>
              </w:rPr>
              <w:t>2</w:t>
            </w:r>
            <w:r>
              <w:rPr>
                <w:color w:val="000000"/>
                <w:kern w:val="0"/>
                <w:sz w:val="24"/>
                <w:lang w:bidi="ar"/>
              </w:rPr>
              <w:t>—发生事故的储罐或装置的消防水量，m</w:t>
            </w:r>
            <w:r>
              <w:rPr>
                <w:color w:val="000000"/>
                <w:kern w:val="0"/>
                <w:sz w:val="24"/>
                <w:vertAlign w:val="superscript"/>
                <w:lang w:bidi="ar"/>
              </w:rPr>
              <w:t>3</w:t>
            </w:r>
            <w:r>
              <w:rPr>
                <w:color w:val="000000"/>
                <w:kern w:val="0"/>
                <w:sz w:val="24"/>
                <w:lang w:bidi="ar"/>
              </w:rPr>
              <w:t>；</w:t>
            </w:r>
          </w:p>
          <w:p w14:paraId="49FD2EEC">
            <w:pPr>
              <w:widowControl/>
              <w:spacing w:line="360" w:lineRule="auto"/>
              <w:ind w:firstLine="480" w:firstLineChars="200"/>
              <w:jc w:val="center"/>
              <w:rPr>
                <w:color w:val="000000"/>
                <w:sz w:val="24"/>
              </w:rPr>
            </w:pPr>
            <w:r>
              <w:rPr>
                <w:color w:val="000000"/>
                <w:kern w:val="0"/>
                <w:sz w:val="24"/>
                <w:lang w:bidi="ar"/>
              </w:rPr>
              <w:t>V</w:t>
            </w:r>
            <w:r>
              <w:rPr>
                <w:color w:val="000000"/>
                <w:kern w:val="0"/>
                <w:sz w:val="24"/>
                <w:vertAlign w:val="subscript"/>
                <w:lang w:bidi="ar"/>
              </w:rPr>
              <w:t>2</w:t>
            </w:r>
            <w:r>
              <w:rPr>
                <w:color w:val="000000"/>
                <w:kern w:val="0"/>
                <w:sz w:val="24"/>
                <w:lang w:bidi="ar"/>
              </w:rPr>
              <w:t>=∑Q</w:t>
            </w:r>
            <w:r>
              <w:rPr>
                <w:color w:val="000000"/>
                <w:kern w:val="0"/>
                <w:sz w:val="24"/>
                <w:vertAlign w:val="subscript"/>
                <w:lang w:bidi="ar"/>
              </w:rPr>
              <w:t>消</w:t>
            </w:r>
            <w:r>
              <w:rPr>
                <w:color w:val="000000"/>
                <w:kern w:val="0"/>
                <w:sz w:val="24"/>
                <w:lang w:bidi="ar"/>
              </w:rPr>
              <w:t>t</w:t>
            </w:r>
            <w:r>
              <w:rPr>
                <w:color w:val="000000"/>
                <w:kern w:val="0"/>
                <w:sz w:val="24"/>
                <w:vertAlign w:val="subscript"/>
                <w:lang w:bidi="ar"/>
              </w:rPr>
              <w:t>消</w:t>
            </w:r>
          </w:p>
          <w:p w14:paraId="539509A6">
            <w:pPr>
              <w:widowControl/>
              <w:spacing w:line="360" w:lineRule="auto"/>
              <w:ind w:firstLine="480" w:firstLineChars="200"/>
              <w:rPr>
                <w:color w:val="000000"/>
                <w:sz w:val="24"/>
              </w:rPr>
            </w:pPr>
            <w:r>
              <w:rPr>
                <w:color w:val="000000"/>
                <w:kern w:val="0"/>
                <w:sz w:val="24"/>
                <w:lang w:bidi="ar"/>
              </w:rPr>
              <w:t>Q</w:t>
            </w:r>
            <w:r>
              <w:rPr>
                <w:color w:val="000000"/>
                <w:kern w:val="0"/>
                <w:sz w:val="24"/>
                <w:vertAlign w:val="subscript"/>
                <w:lang w:bidi="ar"/>
              </w:rPr>
              <w:t>消</w:t>
            </w:r>
            <w:r>
              <w:rPr>
                <w:color w:val="000000"/>
                <w:kern w:val="0"/>
                <w:sz w:val="24"/>
                <w:lang w:bidi="ar"/>
              </w:rPr>
              <w:t>—发生事故时的储罐或装置同时使用的消防设施给水流量，m</w:t>
            </w:r>
            <w:r>
              <w:rPr>
                <w:color w:val="000000"/>
                <w:kern w:val="0"/>
                <w:sz w:val="24"/>
                <w:vertAlign w:val="superscript"/>
                <w:lang w:bidi="ar"/>
              </w:rPr>
              <w:t>3</w:t>
            </w:r>
            <w:r>
              <w:rPr>
                <w:color w:val="000000"/>
                <w:kern w:val="0"/>
                <w:sz w:val="24"/>
                <w:lang w:bidi="ar"/>
              </w:rPr>
              <w:t>/h；综合考虑灭火喷淋消防给水量，取10L/s；</w:t>
            </w:r>
          </w:p>
          <w:p w14:paraId="345FC6E0">
            <w:pPr>
              <w:widowControl/>
              <w:spacing w:line="360" w:lineRule="auto"/>
              <w:ind w:firstLine="480" w:firstLineChars="200"/>
              <w:rPr>
                <w:color w:val="000000"/>
                <w:kern w:val="0"/>
                <w:sz w:val="24"/>
                <w:lang w:bidi="ar"/>
              </w:rPr>
            </w:pPr>
            <w:r>
              <w:rPr>
                <w:color w:val="000000"/>
                <w:kern w:val="0"/>
                <w:sz w:val="24"/>
                <w:lang w:bidi="ar"/>
              </w:rPr>
              <w:t>t</w:t>
            </w:r>
            <w:r>
              <w:rPr>
                <w:color w:val="000000"/>
                <w:kern w:val="0"/>
                <w:sz w:val="24"/>
                <w:vertAlign w:val="subscript"/>
                <w:lang w:bidi="ar"/>
              </w:rPr>
              <w:t>消</w:t>
            </w:r>
            <w:r>
              <w:rPr>
                <w:color w:val="000000"/>
                <w:kern w:val="0"/>
                <w:sz w:val="24"/>
                <w:lang w:bidi="ar"/>
              </w:rPr>
              <w:t>—消防设施对应的设计消防历时（h），取2.0h；</w:t>
            </w:r>
          </w:p>
          <w:p w14:paraId="3943304C">
            <w:pPr>
              <w:widowControl/>
              <w:spacing w:line="360" w:lineRule="auto"/>
              <w:ind w:firstLine="480" w:firstLineChars="200"/>
              <w:rPr>
                <w:bCs/>
                <w:color w:val="000000"/>
                <w:sz w:val="24"/>
              </w:rPr>
            </w:pPr>
            <w:r>
              <w:rPr>
                <w:color w:val="000000"/>
                <w:kern w:val="0"/>
                <w:sz w:val="24"/>
                <w:lang w:bidi="ar"/>
              </w:rPr>
              <w:t>经计算，消防用水量为72m</w:t>
            </w:r>
            <w:r>
              <w:rPr>
                <w:color w:val="000000"/>
                <w:kern w:val="0"/>
                <w:sz w:val="24"/>
                <w:vertAlign w:val="superscript"/>
                <w:lang w:bidi="ar"/>
              </w:rPr>
              <w:t>3</w:t>
            </w:r>
            <w:r>
              <w:rPr>
                <w:color w:val="000000"/>
                <w:kern w:val="0"/>
                <w:sz w:val="24"/>
                <w:lang w:bidi="ar"/>
              </w:rPr>
              <w:t>。</w:t>
            </w:r>
            <w:r>
              <w:rPr>
                <w:bCs/>
                <w:color w:val="000000"/>
                <w:sz w:val="24"/>
              </w:rPr>
              <w:t>评价建议修建一座100m</w:t>
            </w:r>
            <w:r>
              <w:rPr>
                <w:bCs/>
                <w:color w:val="000000"/>
                <w:sz w:val="24"/>
                <w:vertAlign w:val="superscript"/>
              </w:rPr>
              <w:t>3</w:t>
            </w:r>
            <w:r>
              <w:rPr>
                <w:bCs/>
                <w:color w:val="000000"/>
                <w:sz w:val="24"/>
              </w:rPr>
              <w:t>的</w:t>
            </w:r>
            <w:r>
              <w:rPr>
                <w:rFonts w:hint="eastAsia"/>
                <w:bCs/>
                <w:color w:val="000000"/>
                <w:sz w:val="24"/>
              </w:rPr>
              <w:t>消防废水池</w:t>
            </w:r>
            <w:r>
              <w:rPr>
                <w:bCs/>
                <w:color w:val="000000"/>
                <w:sz w:val="24"/>
              </w:rPr>
              <w:t>，待事故结束后，委托有资质单位对截留的消防废水水质进行检测，若水质满足污水处理厂的进水水质要求，将消防废水通过厂区污水总排放口进入污水处理厂处理；若水质不能满足污水处理厂的进水水质要求，将消防废水外运委托有资质单位处理。</w:t>
            </w:r>
          </w:p>
          <w:p w14:paraId="0CA1BED9">
            <w:pPr>
              <w:bidi w:val="0"/>
            </w:pPr>
            <w:r>
              <w:rPr>
                <w:rFonts w:hint="eastAsia"/>
                <w:lang w:val="en-US" w:eastAsia="zh-CN"/>
              </w:rPr>
              <w:t>6</w:t>
            </w:r>
            <w:r>
              <w:t>.5.2风险应急要求</w:t>
            </w:r>
          </w:p>
          <w:p w14:paraId="2BE142A4">
            <w:pPr>
              <w:bidi w:val="0"/>
            </w:pPr>
            <w:r>
              <w:t>（1）最早发现者应迅速报警。接警后迅速组织撤离泄漏污染区人员至安全区，并进行隔离，严格限制出入。切断火源、电源，并迅速通知应急救援中心采取相应救援措施。</w:t>
            </w:r>
          </w:p>
          <w:p w14:paraId="5E90D4F1">
            <w:pPr>
              <w:bidi w:val="0"/>
            </w:pPr>
            <w:r>
              <w:t>（2）值班人员应尽可能的查明泄漏点、佩戴空气呼吸器、穿防毒服，进入现场采取堵漏措施，尽可能降低事故程度。防止流入下水道、防洪沟等限制性空间。应急救援组和专业救援队伍到现场后，工作人员尽可能详细向他们汇报现场情况。</w:t>
            </w:r>
          </w:p>
          <w:p w14:paraId="0D0EDF31">
            <w:pPr>
              <w:bidi w:val="0"/>
            </w:pPr>
            <w:r>
              <w:t>（3）若发生小量泄漏：用消防砂或其他惰性材料吸收。</w:t>
            </w:r>
          </w:p>
          <w:p w14:paraId="73754C53">
            <w:pPr>
              <w:bidi w:val="0"/>
            </w:pPr>
            <w:r>
              <w:t>（4）若泄漏量大时，用泡沫覆盖，降低蒸汽灾害。喷雾状水或泡沫冷却和稀释蒸汽，保护现场人员。</w:t>
            </w:r>
          </w:p>
          <w:p w14:paraId="60F2B05C">
            <w:pPr>
              <w:bidi w:val="0"/>
            </w:pPr>
            <w:r>
              <w:t>（5）事故不可控时，启动公司应急救援预案，环评要求企业定期进行事故演练。</w:t>
            </w:r>
          </w:p>
          <w:p w14:paraId="47E771FB">
            <w:pPr>
              <w:bidi w:val="0"/>
            </w:pPr>
            <w:r>
              <w:t>（6）禁止使用金属器具敲打所泄漏管线和设备，避免二次事故的发生。</w:t>
            </w:r>
          </w:p>
          <w:p w14:paraId="31E183F2">
            <w:pPr>
              <w:bidi w:val="0"/>
            </w:pPr>
            <w:r>
              <w:t>（7）现场禁止吸烟，进食饮水。工作完毕后，沐浴更衣。</w:t>
            </w:r>
          </w:p>
          <w:p w14:paraId="02178D0B">
            <w:pPr>
              <w:bidi w:val="0"/>
              <w:rPr>
                <w:rFonts w:hint="default"/>
                <w:lang w:val="en-US" w:eastAsia="zh-CN"/>
              </w:rPr>
            </w:pPr>
            <w:r>
              <w:rPr>
                <w:rFonts w:hint="eastAsia"/>
                <w:lang w:val="en-US" w:eastAsia="zh-CN"/>
              </w:rPr>
              <w:t>6.6</w:t>
            </w:r>
            <w:r>
              <w:rPr>
                <w:rFonts w:hint="default"/>
              </w:rPr>
              <w:t>环境风险结论</w:t>
            </w:r>
          </w:p>
          <w:p w14:paraId="7C24AFE3">
            <w:pPr>
              <w:bidi w:val="0"/>
              <w:rPr>
                <w:rFonts w:hint="eastAsia"/>
              </w:rPr>
            </w:pPr>
            <w:r>
              <w:rPr>
                <w:rFonts w:hint="eastAsia"/>
                <w:lang w:val="en-US" w:eastAsia="zh-CN"/>
              </w:rPr>
              <w:t>本项目建成后厂区进行硬化、防渗。公司应设专人对危废暂存间、车间定期巡查，配置灭火器、泄漏吸附材料等应急处置物资，做到及时发现及时处理。从风险控制的角度来评价，建设单位在严格各项规章制度管理和工序操作外，制定详细的环境风险防范措施和应急预案，能大大减少事故发生概率，事故发生后能及时采取有利措施，减小对环境污染。本工程在严格实施各项规章制度，确保环境风险防范措施落实的基础上，项目环境风险水平在可接受范围内。</w:t>
            </w:r>
          </w:p>
          <w:p w14:paraId="5D570848">
            <w:pPr>
              <w:spacing w:line="360" w:lineRule="auto"/>
              <w:ind w:firstLine="0" w:firstLineChars="0"/>
              <w:rPr>
                <w:rFonts w:hint="default" w:ascii="Times New Roman" w:hAnsi="Times New Roman" w:eastAsia="黑体" w:cs="Times New Roman"/>
                <w:b w:val="0"/>
                <w:bCs w:val="0"/>
                <w:szCs w:val="24"/>
              </w:rPr>
            </w:pPr>
            <w:r>
              <w:rPr>
                <w:rFonts w:hint="default" w:ascii="Times New Roman" w:hAnsi="Times New Roman" w:eastAsia="黑体" w:cs="Times New Roman"/>
                <w:b w:val="0"/>
                <w:bCs w:val="0"/>
                <w:szCs w:val="24"/>
                <w:lang w:val="en-US" w:eastAsia="zh-CN"/>
              </w:rPr>
              <w:t>7</w:t>
            </w:r>
            <w:r>
              <w:rPr>
                <w:rFonts w:hint="default" w:ascii="Times New Roman" w:hAnsi="Times New Roman" w:eastAsia="黑体" w:cs="Times New Roman"/>
                <w:b w:val="0"/>
                <w:bCs w:val="0"/>
                <w:szCs w:val="24"/>
              </w:rPr>
              <w:t>、排污口规范化设置要求</w:t>
            </w:r>
          </w:p>
          <w:p w14:paraId="4BC2E483">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根据国家标准《环境保护图形标志》（GB15562.1-1995）和国家环保总局《排污口规范化</w:t>
            </w:r>
            <w:r>
              <w:rPr>
                <w:rFonts w:hint="eastAsia" w:eastAsia="宋体" w:cs="Times New Roman"/>
                <w:szCs w:val="24"/>
                <w:lang w:val="en-US" w:eastAsia="zh-CN"/>
              </w:rPr>
              <w:t>整治技术</w:t>
            </w:r>
            <w:r>
              <w:rPr>
                <w:rFonts w:hint="default" w:ascii="Times New Roman" w:hAnsi="Times New Roman" w:eastAsia="宋体" w:cs="Times New Roman"/>
                <w:szCs w:val="24"/>
              </w:rPr>
              <w:t>要求（试行）》的要求，企业所有排放口（包括水、气、声、固废）必须按照</w:t>
            </w:r>
            <w:r>
              <w:rPr>
                <w:rFonts w:hint="eastAsia" w:ascii="Times New Roman" w:hAnsi="Times New Roman" w:eastAsia="宋体" w:cs="Times New Roman"/>
                <w:szCs w:val="24"/>
                <w:lang w:eastAsia="zh-CN"/>
              </w:rPr>
              <w:t>“</w:t>
            </w:r>
            <w:r>
              <w:rPr>
                <w:rFonts w:hint="default" w:ascii="Times New Roman" w:hAnsi="Times New Roman" w:eastAsia="宋体" w:cs="Times New Roman"/>
                <w:szCs w:val="24"/>
              </w:rPr>
              <w:t>便于采样、便于计量检测、便于日常现场监督检查</w:t>
            </w:r>
            <w:r>
              <w:rPr>
                <w:rFonts w:hint="eastAsia" w:ascii="Times New Roman" w:hAnsi="Times New Roman" w:eastAsia="宋体" w:cs="Times New Roman"/>
                <w:szCs w:val="24"/>
                <w:lang w:eastAsia="zh-CN"/>
              </w:rPr>
              <w:t>”</w:t>
            </w:r>
            <w:r>
              <w:rPr>
                <w:rFonts w:hint="default" w:ascii="Times New Roman" w:hAnsi="Times New Roman" w:eastAsia="宋体" w:cs="Times New Roman"/>
                <w:szCs w:val="24"/>
              </w:rPr>
              <w:t>的原则和规范化要求，对排污口进行规范化设置。</w:t>
            </w:r>
          </w:p>
          <w:p w14:paraId="79934A95">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（1）排污口规范化设计的目的</w:t>
            </w:r>
          </w:p>
          <w:p w14:paraId="4454AACB">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①通过对污染源排污口的规范化设计，逐步实现污染物排放的科学、定量化管理，强化对污染源的日常现场监督检查；</w:t>
            </w:r>
          </w:p>
          <w:p w14:paraId="7D0A1784">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②加强管理，减少污染物的排放，节约和综合利用资源，保护和改善环境质量；</w:t>
            </w:r>
          </w:p>
          <w:p w14:paraId="7321199E">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③为加大环保执法力度提供技术保证，减少污染事故和污染纠纷的发生；</w:t>
            </w:r>
          </w:p>
          <w:p w14:paraId="7CE7E013">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（2）排污口规范化整治的要求</w:t>
            </w:r>
          </w:p>
          <w:p w14:paraId="7FFC6A08">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①应设置规范的、便于测量的采样口；</w:t>
            </w:r>
          </w:p>
          <w:p w14:paraId="25D9442E">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②设置一般固废间，用于暂存一般固废，必须有防扬散、防流失、防渗漏等防治措施；设置危险废物暂存间，其建设与管理须满足《危险废物贮存污染控制标准》（GB18597）的相关规定，做到防渗、防漏、防雨、防火、防爆、防腐等防治措施。</w:t>
            </w:r>
          </w:p>
          <w:p w14:paraId="390AF4B2">
            <w:pPr>
              <w:spacing w:line="360" w:lineRule="auto"/>
              <w:ind w:firstLine="480" w:firstLineChars="200"/>
              <w:rPr>
                <w:rFonts w:hint="default" w:ascii="Times New Roman" w:hAnsi="Times New Roman" w:eastAsia="宋体" w:cs="Times New Roman"/>
                <w:szCs w:val="24"/>
              </w:rPr>
            </w:pPr>
            <w:r>
              <w:rPr>
                <w:rFonts w:hint="eastAsia" w:ascii="Times New Roman" w:hAnsi="Times New Roman" w:eastAsia="宋体" w:cs="Times New Roman"/>
                <w:szCs w:val="24"/>
                <w:lang w:val="en-US" w:eastAsia="zh-CN"/>
              </w:rPr>
              <w:t>③</w:t>
            </w:r>
            <w:r>
              <w:rPr>
                <w:rFonts w:hint="default" w:ascii="Times New Roman" w:hAnsi="Times New Roman" w:eastAsia="宋体" w:cs="Times New Roman"/>
                <w:szCs w:val="24"/>
              </w:rPr>
              <w:t>根据不同噪声源情况，采取降噪、隔声等措施，使其达到功能区标准要求。</w:t>
            </w:r>
          </w:p>
          <w:p w14:paraId="6810930F">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（3）排污口规范化设计方案</w:t>
            </w:r>
          </w:p>
          <w:p w14:paraId="03F7BDC3">
            <w:pPr>
              <w:spacing w:line="360" w:lineRule="auto"/>
              <w:ind w:firstLine="480" w:firstLineChars="200"/>
              <w:rPr>
                <w:rFonts w:hint="default" w:ascii="Times New Roman" w:hAnsi="Times New Roman" w:eastAsia="宋体" w:cs="Times New Roman"/>
                <w:szCs w:val="24"/>
              </w:rPr>
            </w:pPr>
            <w:r>
              <w:rPr>
                <w:rFonts w:hint="default" w:ascii="Times New Roman" w:hAnsi="Times New Roman" w:eastAsia="宋体" w:cs="Times New Roman"/>
                <w:szCs w:val="24"/>
              </w:rPr>
              <w:t>厂区废气排放口、污水排放口等均设立规范的环境保护图形标志，按照《环境保护图形标志》（GB15562.1-1995）的要求执行。</w:t>
            </w:r>
          </w:p>
          <w:p w14:paraId="746EC4EB">
            <w:pPr>
              <w:spacing w:line="360" w:lineRule="auto"/>
              <w:ind w:firstLine="0" w:firstLineChars="0"/>
              <w:rPr>
                <w:rFonts w:hint="default" w:ascii="Times New Roman" w:hAnsi="Times New Roman" w:eastAsia="黑体" w:cs="Times New Roman"/>
                <w:b w:val="0"/>
                <w:bCs w:val="0"/>
                <w:szCs w:val="24"/>
                <w:lang w:val="en-US" w:eastAsia="zh-CN"/>
              </w:rPr>
            </w:pPr>
            <w:r>
              <w:rPr>
                <w:rFonts w:hint="default" w:ascii="Times New Roman" w:hAnsi="Times New Roman" w:eastAsia="黑体" w:cs="Times New Roman"/>
                <w:b w:val="0"/>
                <w:bCs w:val="0"/>
                <w:szCs w:val="24"/>
                <w:lang w:val="en-US" w:eastAsia="zh-CN"/>
              </w:rPr>
              <w:t>8、环境管理与监测计划</w:t>
            </w:r>
          </w:p>
          <w:p w14:paraId="6C3D1E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（1）环境管理</w:t>
            </w:r>
          </w:p>
          <w:p w14:paraId="2C5A7D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项目环境管理主要内容如下：</w:t>
            </w:r>
          </w:p>
          <w:p w14:paraId="6B1505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①企业应按照《建设项目环境保护设计规定》，施工期规范建设各类污染治理设施，落实环境风险防范措施，确保各项环保投资到位；落实施工期各项污染防治措施；</w:t>
            </w:r>
          </w:p>
          <w:p w14:paraId="4078A2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②建立企业内部环境保护管理机构，配备专职人员1-2人，实行主要领导负责制，由分管生产的领导直接负责；制定环境保护管理制度，制度上墙；</w:t>
            </w:r>
          </w:p>
          <w:p w14:paraId="7D9684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③贯彻执行国家和地方各项环保方针、政策和法规，制定全厂环境保护制度，组织开展职工环保教育，提高职工的环保意识；</w:t>
            </w:r>
          </w:p>
          <w:p w14:paraId="2C71F7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④完成政府部门下达的有关环保任务，配合当地环保部门及环境监测部门的工作；</w:t>
            </w:r>
          </w:p>
          <w:p w14:paraId="07FC2B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⑤建立健全环保档案管理制度，做好有关环保工作的资料收集、整理、记录、建档、宣传等工作；进行全厂的环保及环境监测数据的统计、分析，并建立相应的环保资料档案。</w:t>
            </w:r>
          </w:p>
          <w:p w14:paraId="154EB9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⑥制定并加强项目各污染治理设施操作规范和操作规程学习，建立各污染源监测制度，按规定定期对各污染源排放点进行监测，保证处理效果达到设计要求，各污染源达标排放。</w:t>
            </w:r>
          </w:p>
          <w:p w14:paraId="6C4812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⑦负责检查各污染治理设施运行情况，发现问题及时处理；并负责调查出现环境问题的缘由，协助有关部门解决问题，处理好由环境问题带来的纠纷等。</w:t>
            </w:r>
          </w:p>
          <w:p w14:paraId="407520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⑧项目投产后，建设单位应按照《建设项目竣工环境保护验收暂行办法》（国环规环评〔2017〕4号）的规定，完成自主验收。按照《固定污染源排污许可登记工作指南（试行）》（环办环评函〔2020〕9号）、《排污许可申请与核发技术规范 总则》（HJ942-2018）的规定，完成排污申报和排污许可证的登记工作。</w:t>
            </w:r>
          </w:p>
          <w:p w14:paraId="3D03EA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Cs w:val="24"/>
                <w:lang w:val="en-US" w:eastAsia="zh-CN"/>
              </w:rPr>
            </w:pPr>
            <w:r>
              <w:rPr>
                <w:rFonts w:hint="eastAsia" w:eastAsia="宋体" w:cs="Times New Roman"/>
                <w:szCs w:val="24"/>
                <w:lang w:val="en-US" w:eastAsia="zh-CN"/>
              </w:rPr>
              <w:t>（2）环境监测计划</w:t>
            </w:r>
          </w:p>
          <w:p w14:paraId="26E3626F">
            <w:pPr>
              <w:bidi w:val="0"/>
            </w:pPr>
            <w:r>
              <w:rPr>
                <w:rFonts w:hint="eastAsia"/>
                <w:lang w:val="en-US" w:eastAsia="zh-CN"/>
              </w:rPr>
              <w:t>环境监测是环境管理的基础，并为企业制定污染防治对策和规划提供依据。建设单位应按照《排污单位自行监测技术指南 总则》（HJ819-2017）的规定，在项目营运期开展污染源监测工作。项目营运期环境监测计划见下表。</w:t>
            </w:r>
          </w:p>
          <w:p w14:paraId="3A9D307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黑体" w:cs="Times New Roman"/>
                <w:b w:val="0"/>
                <w:bCs w:val="0"/>
                <w:sz w:val="24"/>
                <w:szCs w:val="22"/>
                <w:u w:val="none"/>
                <w:lang w:val="en-US" w:eastAsia="zh-CN"/>
              </w:rPr>
            </w:pPr>
            <w:r>
              <w:rPr>
                <w:rFonts w:hint="default" w:ascii="Times New Roman" w:hAnsi="Times New Roman" w:eastAsia="黑体" w:cs="Times New Roman"/>
                <w:b w:val="0"/>
                <w:bCs w:val="0"/>
                <w:sz w:val="24"/>
                <w:szCs w:val="22"/>
                <w:u w:val="none"/>
              </w:rPr>
              <w:t>表</w:t>
            </w:r>
            <w:r>
              <w:rPr>
                <w:rFonts w:hint="eastAsia" w:ascii="Times New Roman" w:hAnsi="Times New Roman" w:eastAsia="宋体" w:cs="Times New Roman"/>
                <w:b w:val="0"/>
                <w:bCs w:val="0"/>
                <w:color w:val="auto"/>
                <w:sz w:val="24"/>
                <w:szCs w:val="22"/>
                <w:u w:val="none"/>
                <w:lang w:val="en-US" w:eastAsia="zh-CN"/>
              </w:rPr>
              <w:t>4-19</w:t>
            </w:r>
            <w:r>
              <w:rPr>
                <w:rFonts w:hint="default" w:ascii="Times New Roman" w:hAnsi="Times New Roman" w:eastAsia="黑体" w:cs="Times New Roman"/>
                <w:b w:val="0"/>
                <w:bCs w:val="0"/>
                <w:sz w:val="24"/>
                <w:szCs w:val="22"/>
                <w:u w:val="none"/>
              </w:rPr>
              <w:t xml:space="preserve">  </w:t>
            </w:r>
            <w:r>
              <w:rPr>
                <w:rFonts w:hint="eastAsia" w:ascii="Times New Roman" w:hAnsi="Times New Roman" w:eastAsia="黑体" w:cs="Times New Roman"/>
                <w:b w:val="0"/>
                <w:bCs w:val="0"/>
                <w:sz w:val="24"/>
                <w:szCs w:val="22"/>
                <w:u w:val="none"/>
                <w:lang w:val="en-US" w:eastAsia="zh-CN"/>
              </w:rPr>
              <w:t>环境监测计划一览表</w:t>
            </w:r>
          </w:p>
          <w:tbl>
            <w:tblPr>
              <w:tblStyle w:val="28"/>
              <w:tblW w:w="498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00"/>
              <w:gridCol w:w="1013"/>
              <w:gridCol w:w="849"/>
              <w:gridCol w:w="1451"/>
              <w:gridCol w:w="965"/>
              <w:gridCol w:w="3444"/>
            </w:tblGrid>
            <w:tr w14:paraId="307F38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tcBorders>
                    <w:right w:val="single" w:color="auto" w:sz="4" w:space="0"/>
                  </w:tcBorders>
                  <w:noWrap w:val="0"/>
                  <w:vAlign w:val="center"/>
                </w:tcPr>
                <w:p w14:paraId="14D92D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类别</w:t>
                  </w:r>
                </w:p>
              </w:tc>
              <w:tc>
                <w:tcPr>
                  <w:tcW w:w="1092" w:type="pct"/>
                  <w:gridSpan w:val="2"/>
                  <w:tcBorders>
                    <w:left w:val="single" w:color="auto" w:sz="4" w:space="0"/>
                  </w:tcBorders>
                  <w:noWrap w:val="0"/>
                  <w:vAlign w:val="center"/>
                </w:tcPr>
                <w:p w14:paraId="6AAFD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监测点位</w:t>
                  </w:r>
                </w:p>
              </w:tc>
              <w:tc>
                <w:tcPr>
                  <w:tcW w:w="851" w:type="pct"/>
                  <w:noWrap w:val="0"/>
                  <w:vAlign w:val="center"/>
                </w:tcPr>
                <w:p w14:paraId="4CB399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监测因子</w:t>
                  </w:r>
                </w:p>
              </w:tc>
              <w:tc>
                <w:tcPr>
                  <w:tcW w:w="566" w:type="pct"/>
                  <w:noWrap w:val="0"/>
                  <w:vAlign w:val="center"/>
                </w:tcPr>
                <w:p w14:paraId="50B06C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监测频率</w:t>
                  </w:r>
                </w:p>
              </w:tc>
              <w:tc>
                <w:tcPr>
                  <w:tcW w:w="2020" w:type="pct"/>
                  <w:noWrap w:val="0"/>
                  <w:vAlign w:val="center"/>
                </w:tcPr>
                <w:p w14:paraId="7757E5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执行标准</w:t>
                  </w:r>
                </w:p>
              </w:tc>
            </w:tr>
            <w:tr w14:paraId="0E8487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restart"/>
                  <w:tcBorders>
                    <w:right w:val="single" w:color="auto" w:sz="4" w:space="0"/>
                  </w:tcBorders>
                  <w:noWrap w:val="0"/>
                  <w:vAlign w:val="center"/>
                </w:tcPr>
                <w:p w14:paraId="14BB589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有组织</w:t>
                  </w:r>
                </w:p>
              </w:tc>
              <w:tc>
                <w:tcPr>
                  <w:tcW w:w="594" w:type="pct"/>
                  <w:vMerge w:val="restart"/>
                  <w:tcBorders>
                    <w:left w:val="single" w:color="auto" w:sz="4" w:space="0"/>
                  </w:tcBorders>
                  <w:noWrap w:val="0"/>
                  <w:vAlign w:val="center"/>
                </w:tcPr>
                <w:p w14:paraId="3F882C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lang w:val="en-GB" w:eastAsia="zh-TW"/>
                    </w:rPr>
                  </w:pPr>
                  <w:r>
                    <w:rPr>
                      <w:rFonts w:hint="default" w:ascii="Times New Roman" w:hAnsi="Times New Roman" w:cs="Times New Roman"/>
                      <w:b w:val="0"/>
                      <w:bCs w:val="0"/>
                      <w:color w:val="auto"/>
                      <w:kern w:val="0"/>
                      <w:sz w:val="21"/>
                      <w:szCs w:val="21"/>
                      <w:highlight w:val="none"/>
                      <w:u w:val="none"/>
                      <w:lang w:val="en-US" w:eastAsia="zh-CN" w:bidi="ar-SA"/>
                    </w:rPr>
                    <w:t>熔炼</w:t>
                  </w:r>
                  <w:r>
                    <w:rPr>
                      <w:rFonts w:hint="eastAsia" w:ascii="Times New Roman" w:hAnsi="Times New Roman" w:cs="Times New Roman"/>
                      <w:b w:val="0"/>
                      <w:bCs w:val="0"/>
                      <w:color w:val="auto"/>
                      <w:kern w:val="0"/>
                      <w:sz w:val="21"/>
                      <w:szCs w:val="21"/>
                      <w:highlight w:val="none"/>
                      <w:u w:val="none"/>
                      <w:lang w:val="en-US" w:eastAsia="zh-CN" w:bidi="ar-SA"/>
                    </w:rPr>
                    <w:t>工序</w:t>
                  </w:r>
                </w:p>
              </w:tc>
              <w:tc>
                <w:tcPr>
                  <w:tcW w:w="498" w:type="pct"/>
                  <w:vMerge w:val="restart"/>
                  <w:tcBorders>
                    <w:left w:val="single" w:color="auto" w:sz="4" w:space="0"/>
                  </w:tcBorders>
                  <w:noWrap w:val="0"/>
                  <w:vAlign w:val="center"/>
                </w:tcPr>
                <w:p w14:paraId="7EF1FBA3">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color w:val="000000"/>
                      <w:sz w:val="21"/>
                      <w:szCs w:val="21"/>
                    </w:rPr>
                  </w:pPr>
                  <w:r>
                    <w:rPr>
                      <w:color w:val="000000"/>
                      <w:sz w:val="21"/>
                      <w:szCs w:val="21"/>
                    </w:rPr>
                    <w:t>DA00</w:t>
                  </w:r>
                  <w:r>
                    <w:rPr>
                      <w:rFonts w:hint="eastAsia"/>
                      <w:color w:val="000000"/>
                      <w:sz w:val="21"/>
                      <w:szCs w:val="21"/>
                    </w:rPr>
                    <w:t>1</w:t>
                  </w:r>
                </w:p>
              </w:tc>
              <w:tc>
                <w:tcPr>
                  <w:tcW w:w="851" w:type="pct"/>
                  <w:vMerge w:val="restart"/>
                  <w:noWrap w:val="0"/>
                  <w:vAlign w:val="center"/>
                </w:tcPr>
                <w:p w14:paraId="436C9FF6">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color w:val="000000"/>
                      <w:sz w:val="21"/>
                      <w:szCs w:val="21"/>
                    </w:rPr>
                  </w:pPr>
                  <w:r>
                    <w:rPr>
                      <w:color w:val="000000"/>
                      <w:sz w:val="21"/>
                      <w:szCs w:val="21"/>
                    </w:rPr>
                    <w:t>颗粒物</w:t>
                  </w:r>
                </w:p>
              </w:tc>
              <w:tc>
                <w:tcPr>
                  <w:tcW w:w="566" w:type="pct"/>
                  <w:vMerge w:val="restart"/>
                  <w:noWrap w:val="0"/>
                  <w:vAlign w:val="center"/>
                </w:tcPr>
                <w:p w14:paraId="320ADC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
                      <w:color w:val="000000"/>
                      <w:sz w:val="21"/>
                      <w:szCs w:val="21"/>
                    </w:rPr>
                  </w:pPr>
                  <w:r>
                    <w:rPr>
                      <w:color w:val="000000"/>
                      <w:kern w:val="0"/>
                      <w:sz w:val="21"/>
                      <w:szCs w:val="21"/>
                    </w:rPr>
                    <w:t>1次/年</w:t>
                  </w:r>
                </w:p>
              </w:tc>
              <w:tc>
                <w:tcPr>
                  <w:tcW w:w="2020" w:type="pct"/>
                  <w:noWrap w:val="0"/>
                  <w:vAlign w:val="center"/>
                </w:tcPr>
                <w:p w14:paraId="6B08B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《工业炉窑大气污染物排放标准</w:t>
                  </w:r>
                  <w:r>
                    <w:rPr>
                      <w:rFonts w:hint="eastAsia"/>
                      <w:color w:val="000000"/>
                      <w:sz w:val="21"/>
                      <w:szCs w:val="21"/>
                    </w:rPr>
                    <w:t>》</w:t>
                  </w:r>
                  <w:r>
                    <w:rPr>
                      <w:color w:val="000000"/>
                      <w:sz w:val="21"/>
                      <w:szCs w:val="21"/>
                    </w:rPr>
                    <w:t>（</w:t>
                  </w:r>
                  <w:r>
                    <w:rPr>
                      <w:rFonts w:hint="eastAsia"/>
                      <w:color w:val="000000"/>
                      <w:sz w:val="21"/>
                      <w:szCs w:val="21"/>
                      <w:lang w:eastAsia="zh-CN"/>
                    </w:rPr>
                    <w:t>DB41/1066-2020</w:t>
                  </w:r>
                  <w:r>
                    <w:rPr>
                      <w:color w:val="000000"/>
                      <w:sz w:val="21"/>
                      <w:szCs w:val="21"/>
                    </w:rPr>
                    <w:t>）</w:t>
                  </w:r>
                </w:p>
              </w:tc>
            </w:tr>
            <w:tr w14:paraId="768139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33EA77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3075991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1FE24E13">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851" w:type="pct"/>
                  <w:vMerge w:val="continue"/>
                  <w:noWrap w:val="0"/>
                  <w:vAlign w:val="center"/>
                </w:tcPr>
                <w:p w14:paraId="42332B77">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66" w:type="pct"/>
                  <w:vMerge w:val="continue"/>
                  <w:noWrap w:val="0"/>
                  <w:vAlign w:val="center"/>
                </w:tcPr>
                <w:p w14:paraId="131C03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72DA1D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《重污染天气重点行业应急减排措施制定技术指南》（2020年修订版）中铸造企业绩效分级指标A级要求</w:t>
                  </w:r>
                </w:p>
              </w:tc>
            </w:tr>
            <w:tr w14:paraId="1BCBC1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781F5F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2D1D64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49D3BBE0">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851" w:type="pct"/>
                  <w:vMerge w:val="continue"/>
                  <w:noWrap w:val="0"/>
                  <w:vAlign w:val="center"/>
                </w:tcPr>
                <w:p w14:paraId="5737FC55">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66" w:type="pct"/>
                  <w:vMerge w:val="continue"/>
                  <w:noWrap w:val="0"/>
                  <w:vAlign w:val="center"/>
                </w:tcPr>
                <w:p w14:paraId="146082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3E0B46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pacing w:val="5"/>
                      <w:sz w:val="21"/>
                      <w:szCs w:val="21"/>
                    </w:rPr>
                    <w:t>《河南省2019年铸造行业污染治理方案》</w:t>
                  </w:r>
                </w:p>
              </w:tc>
            </w:tr>
            <w:tr w14:paraId="5B051C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114731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restart"/>
                  <w:tcBorders>
                    <w:left w:val="single" w:color="auto" w:sz="4" w:space="0"/>
                  </w:tcBorders>
                  <w:noWrap w:val="0"/>
                  <w:vAlign w:val="center"/>
                </w:tcPr>
                <w:p w14:paraId="10643B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lang w:bidi="ar"/>
                    </w:rPr>
                  </w:pPr>
                  <w:r>
                    <w:rPr>
                      <w:rFonts w:hint="default"/>
                      <w:color w:val="000000" w:themeColor="text1"/>
                      <w:sz w:val="21"/>
                      <w:szCs w:val="21"/>
                      <w:u w:val="none"/>
                      <w:lang w:val="en-US" w:eastAsia="zh-CN"/>
                      <w14:textFill>
                        <w14:solidFill>
                          <w14:schemeClr w14:val="tx1"/>
                        </w14:solidFill>
                      </w14:textFill>
                    </w:rPr>
                    <w:t>混砂、造型/浇注、工件清理和不合格品回用切割工序</w:t>
                  </w:r>
                </w:p>
              </w:tc>
              <w:tc>
                <w:tcPr>
                  <w:tcW w:w="498" w:type="pct"/>
                  <w:vMerge w:val="restart"/>
                  <w:tcBorders>
                    <w:left w:val="single" w:color="auto" w:sz="4" w:space="0"/>
                  </w:tcBorders>
                  <w:noWrap w:val="0"/>
                  <w:vAlign w:val="center"/>
                </w:tcPr>
                <w:p w14:paraId="763DECE7">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color w:val="000000"/>
                      <w:sz w:val="21"/>
                      <w:szCs w:val="21"/>
                    </w:rPr>
                  </w:pPr>
                  <w:r>
                    <w:rPr>
                      <w:color w:val="000000"/>
                      <w:sz w:val="21"/>
                      <w:szCs w:val="21"/>
                    </w:rPr>
                    <w:t>DA00</w:t>
                  </w:r>
                  <w:r>
                    <w:rPr>
                      <w:rFonts w:hint="eastAsia"/>
                      <w:color w:val="000000"/>
                      <w:sz w:val="21"/>
                      <w:szCs w:val="21"/>
                    </w:rPr>
                    <w:t>2</w:t>
                  </w:r>
                </w:p>
              </w:tc>
              <w:tc>
                <w:tcPr>
                  <w:tcW w:w="851" w:type="pct"/>
                  <w:vMerge w:val="restart"/>
                  <w:noWrap w:val="0"/>
                  <w:vAlign w:val="center"/>
                </w:tcPr>
                <w:p w14:paraId="006C8F32">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颗粒物</w:t>
                  </w:r>
                </w:p>
              </w:tc>
              <w:tc>
                <w:tcPr>
                  <w:tcW w:w="566" w:type="pct"/>
                  <w:vMerge w:val="restart"/>
                  <w:noWrap w:val="0"/>
                  <w:vAlign w:val="center"/>
                </w:tcPr>
                <w:p w14:paraId="184F8A9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r>
                    <w:rPr>
                      <w:color w:val="000000"/>
                      <w:kern w:val="0"/>
                      <w:sz w:val="21"/>
                      <w:szCs w:val="21"/>
                    </w:rPr>
                    <w:t>1次/年</w:t>
                  </w:r>
                </w:p>
              </w:tc>
              <w:tc>
                <w:tcPr>
                  <w:tcW w:w="2020" w:type="pct"/>
                  <w:noWrap w:val="0"/>
                  <w:vAlign w:val="center"/>
                </w:tcPr>
                <w:p w14:paraId="3F6712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6DE169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703BB20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30F8D0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71EA8F9B">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851" w:type="pct"/>
                  <w:vMerge w:val="continue"/>
                  <w:noWrap w:val="0"/>
                  <w:vAlign w:val="center"/>
                </w:tcPr>
                <w:p w14:paraId="2E05FA1D">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66" w:type="pct"/>
                  <w:vMerge w:val="continue"/>
                  <w:noWrap w:val="0"/>
                  <w:vAlign w:val="center"/>
                </w:tcPr>
                <w:p w14:paraId="769E22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296F88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《重污染天气重点行业应急减排措施制定技术指南》（2020年修订版）中铸造企业绩效分级指标A级要求</w:t>
                  </w:r>
                </w:p>
              </w:tc>
            </w:tr>
            <w:tr w14:paraId="15BF2E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6CC57F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3303366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02E53D17">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851" w:type="pct"/>
                  <w:vMerge w:val="continue"/>
                  <w:noWrap w:val="0"/>
                  <w:vAlign w:val="center"/>
                </w:tcPr>
                <w:p w14:paraId="7A0B8AFC">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66" w:type="pct"/>
                  <w:vMerge w:val="continue"/>
                  <w:noWrap w:val="0"/>
                  <w:vAlign w:val="center"/>
                </w:tcPr>
                <w:p w14:paraId="0A85FAA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1C4ECE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pacing w:val="5"/>
                      <w:sz w:val="21"/>
                      <w:szCs w:val="21"/>
                    </w:rPr>
                    <w:t>《河南省2019年铸造行业污染治理方案》</w:t>
                  </w:r>
                </w:p>
              </w:tc>
            </w:tr>
            <w:tr w14:paraId="261647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467A5B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33AE7F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1FAD88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851" w:type="pct"/>
                  <w:vMerge w:val="restart"/>
                  <w:noWrap w:val="0"/>
                  <w:vAlign w:val="center"/>
                </w:tcPr>
                <w:p w14:paraId="45E4F8C5">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非甲烷总烃</w:t>
                  </w:r>
                </w:p>
              </w:tc>
              <w:tc>
                <w:tcPr>
                  <w:tcW w:w="566" w:type="pct"/>
                  <w:vMerge w:val="restart"/>
                  <w:noWrap w:val="0"/>
                  <w:vAlign w:val="center"/>
                </w:tcPr>
                <w:p w14:paraId="7526BD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1F334A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《大气污染物综合排放标准》（</w:t>
                  </w:r>
                  <w:r>
                    <w:rPr>
                      <w:rFonts w:hint="eastAsia"/>
                      <w:color w:val="000000"/>
                      <w:sz w:val="21"/>
                      <w:szCs w:val="21"/>
                      <w:lang w:eastAsia="zh-CN"/>
                    </w:rPr>
                    <w:t>GB16297-1996</w:t>
                  </w:r>
                  <w:r>
                    <w:rPr>
                      <w:color w:val="000000"/>
                      <w:sz w:val="21"/>
                      <w:szCs w:val="21"/>
                    </w:rPr>
                    <w:t>）表2标准</w:t>
                  </w:r>
                </w:p>
              </w:tc>
            </w:tr>
            <w:tr w14:paraId="5FB664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3D2C8D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7B0B6B1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6184DB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851" w:type="pct"/>
                  <w:vMerge w:val="continue"/>
                  <w:noWrap w:val="0"/>
                  <w:vAlign w:val="center"/>
                </w:tcPr>
                <w:p w14:paraId="4C143CDA">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66" w:type="pct"/>
                  <w:vMerge w:val="continue"/>
                  <w:noWrap w:val="0"/>
                  <w:vAlign w:val="center"/>
                </w:tcPr>
                <w:p w14:paraId="76CDA6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0F1F65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《关于全省开展工业企业挥发性有机物专项治理工作中排放建议值的通知》（豫环攻坚办[2017]162号）附件1中其他工业</w:t>
                  </w:r>
                </w:p>
              </w:tc>
            </w:tr>
            <w:tr w14:paraId="4CEF6F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38BC25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16455B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3CB20D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noWrap w:val="0"/>
                  <w:vAlign w:val="center"/>
                </w:tcPr>
                <w:p w14:paraId="6333A1EB">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甲醛</w:t>
                  </w:r>
                </w:p>
              </w:tc>
              <w:tc>
                <w:tcPr>
                  <w:tcW w:w="566" w:type="pct"/>
                  <w:noWrap w:val="0"/>
                  <w:vAlign w:val="center"/>
                </w:tcPr>
                <w:p w14:paraId="4AC0F2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17F37F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rPr>
                  </w:pPr>
                  <w:r>
                    <w:rPr>
                      <w:color w:val="000000"/>
                      <w:sz w:val="21"/>
                      <w:szCs w:val="21"/>
                    </w:rPr>
                    <w:t>《大气污染物综合排放标准》（GB16297-1996）表2标准</w:t>
                  </w:r>
                </w:p>
              </w:tc>
            </w:tr>
            <w:tr w14:paraId="46045D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715F745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restart"/>
                  <w:tcBorders>
                    <w:left w:val="single" w:color="auto" w:sz="4" w:space="0"/>
                  </w:tcBorders>
                  <w:noWrap w:val="0"/>
                  <w:vAlign w:val="center"/>
                </w:tcPr>
                <w:p w14:paraId="422E3C7F">
                  <w:pPr>
                    <w:pStyle w:val="35"/>
                    <w:ind w:firstLine="0" w:firstLineChars="0"/>
                    <w:rPr>
                      <w:color w:val="000000"/>
                      <w:sz w:val="21"/>
                      <w:szCs w:val="21"/>
                    </w:rPr>
                  </w:pPr>
                  <w:r>
                    <w:rPr>
                      <w:rFonts w:hint="eastAsia"/>
                      <w:sz w:val="21"/>
                      <w:szCs w:val="21"/>
                      <w:u w:val="none"/>
                      <w:lang w:val="en-US" w:eastAsia="zh-CN"/>
                    </w:rPr>
                    <w:t>落砂及砂处理工序</w:t>
                  </w:r>
                </w:p>
              </w:tc>
              <w:tc>
                <w:tcPr>
                  <w:tcW w:w="498" w:type="pct"/>
                  <w:vMerge w:val="restart"/>
                  <w:tcBorders>
                    <w:left w:val="single" w:color="auto" w:sz="4" w:space="0"/>
                  </w:tcBorders>
                  <w:noWrap w:val="0"/>
                  <w:vAlign w:val="center"/>
                </w:tcPr>
                <w:p w14:paraId="29F7F04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DA0</w:t>
                  </w:r>
                  <w:r>
                    <w:rPr>
                      <w:rFonts w:hint="eastAsia"/>
                      <w:color w:val="000000"/>
                      <w:sz w:val="21"/>
                      <w:szCs w:val="21"/>
                    </w:rPr>
                    <w:t>03</w:t>
                  </w:r>
                </w:p>
              </w:tc>
              <w:tc>
                <w:tcPr>
                  <w:tcW w:w="851" w:type="pct"/>
                  <w:vMerge w:val="restart"/>
                  <w:noWrap w:val="0"/>
                  <w:vAlign w:val="center"/>
                </w:tcPr>
                <w:p w14:paraId="5B9360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颗粒物</w:t>
                  </w:r>
                </w:p>
              </w:tc>
              <w:tc>
                <w:tcPr>
                  <w:tcW w:w="566" w:type="pct"/>
                  <w:vMerge w:val="restart"/>
                  <w:noWrap w:val="0"/>
                  <w:vAlign w:val="center"/>
                </w:tcPr>
                <w:p w14:paraId="7A406D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r>
                    <w:rPr>
                      <w:color w:val="000000"/>
                      <w:kern w:val="0"/>
                      <w:sz w:val="21"/>
                      <w:szCs w:val="21"/>
                    </w:rPr>
                    <w:t>1次/年</w:t>
                  </w:r>
                </w:p>
              </w:tc>
              <w:tc>
                <w:tcPr>
                  <w:tcW w:w="2020" w:type="pct"/>
                  <w:noWrap w:val="0"/>
                  <w:vAlign w:val="center"/>
                </w:tcPr>
                <w:p w14:paraId="49533F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6C6A60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5B1125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6A5B90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498" w:type="pct"/>
                  <w:vMerge w:val="continue"/>
                  <w:tcBorders>
                    <w:left w:val="single" w:color="auto" w:sz="4" w:space="0"/>
                  </w:tcBorders>
                  <w:noWrap w:val="0"/>
                  <w:vAlign w:val="center"/>
                </w:tcPr>
                <w:p w14:paraId="755F59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851" w:type="pct"/>
                  <w:vMerge w:val="continue"/>
                  <w:noWrap w:val="0"/>
                  <w:vAlign w:val="center"/>
                </w:tcPr>
                <w:p w14:paraId="15A6C7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66" w:type="pct"/>
                  <w:vMerge w:val="continue"/>
                  <w:noWrap w:val="0"/>
                  <w:vAlign w:val="center"/>
                </w:tcPr>
                <w:p w14:paraId="27A1B6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3D6BE7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061EBC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4C783F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4" w:type="pct"/>
                  <w:vMerge w:val="restart"/>
                  <w:tcBorders>
                    <w:left w:val="single" w:color="auto" w:sz="4" w:space="0"/>
                  </w:tcBorders>
                  <w:noWrap w:val="0"/>
                  <w:vAlign w:val="center"/>
                </w:tcPr>
                <w:p w14:paraId="0E208663">
                  <w:pPr>
                    <w:pStyle w:val="35"/>
                    <w:ind w:firstLine="0" w:firstLineChars="0"/>
                    <w:rPr>
                      <w:color w:val="000000"/>
                      <w:sz w:val="21"/>
                      <w:szCs w:val="21"/>
                    </w:rPr>
                  </w:pPr>
                  <w:r>
                    <w:rPr>
                      <w:rFonts w:hint="eastAsia"/>
                      <w:color w:val="000000" w:themeColor="text1"/>
                      <w:sz w:val="21"/>
                      <w:szCs w:val="21"/>
                      <w:u w:val="none"/>
                      <w:lang w:val="en-US" w:eastAsia="zh-CN"/>
                      <w14:textFill>
                        <w14:solidFill>
                          <w14:schemeClr w14:val="tx1"/>
                        </w14:solidFill>
                      </w14:textFill>
                    </w:rPr>
                    <w:t>抛丸工序</w:t>
                  </w:r>
                </w:p>
              </w:tc>
              <w:tc>
                <w:tcPr>
                  <w:tcW w:w="498" w:type="pct"/>
                  <w:vMerge w:val="restart"/>
                  <w:tcBorders>
                    <w:left w:val="single" w:color="auto" w:sz="4" w:space="0"/>
                  </w:tcBorders>
                  <w:noWrap w:val="0"/>
                  <w:vAlign w:val="center"/>
                </w:tcPr>
                <w:p w14:paraId="532C00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DA0</w:t>
                  </w:r>
                  <w:r>
                    <w:rPr>
                      <w:rFonts w:hint="eastAsia"/>
                      <w:color w:val="000000"/>
                      <w:sz w:val="21"/>
                      <w:szCs w:val="21"/>
                    </w:rPr>
                    <w:t>04</w:t>
                  </w:r>
                </w:p>
              </w:tc>
              <w:tc>
                <w:tcPr>
                  <w:tcW w:w="851" w:type="pct"/>
                  <w:vMerge w:val="restart"/>
                  <w:noWrap w:val="0"/>
                  <w:vAlign w:val="center"/>
                </w:tcPr>
                <w:p w14:paraId="0A52B7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颗粒物</w:t>
                  </w:r>
                </w:p>
              </w:tc>
              <w:tc>
                <w:tcPr>
                  <w:tcW w:w="566" w:type="pct"/>
                  <w:vMerge w:val="restart"/>
                  <w:noWrap w:val="0"/>
                  <w:vAlign w:val="center"/>
                </w:tcPr>
                <w:p w14:paraId="003747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101D81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23C6DE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3F2CFD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4" w:type="pct"/>
                  <w:vMerge w:val="continue"/>
                  <w:tcBorders>
                    <w:left w:val="single" w:color="auto" w:sz="4" w:space="0"/>
                  </w:tcBorders>
                  <w:noWrap w:val="0"/>
                  <w:vAlign w:val="center"/>
                </w:tcPr>
                <w:p w14:paraId="3E811761">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498" w:type="pct"/>
                  <w:vMerge w:val="continue"/>
                  <w:tcBorders>
                    <w:left w:val="single" w:color="auto" w:sz="4" w:space="0"/>
                  </w:tcBorders>
                  <w:noWrap w:val="0"/>
                  <w:vAlign w:val="center"/>
                </w:tcPr>
                <w:p w14:paraId="5B0BB1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vMerge w:val="continue"/>
                  <w:noWrap w:val="0"/>
                  <w:vAlign w:val="center"/>
                </w:tcPr>
                <w:p w14:paraId="32BFBB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66" w:type="pct"/>
                  <w:vMerge w:val="continue"/>
                  <w:noWrap w:val="0"/>
                  <w:vAlign w:val="center"/>
                </w:tcPr>
                <w:p w14:paraId="6255E2D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020" w:type="pct"/>
                  <w:noWrap w:val="0"/>
                  <w:vAlign w:val="center"/>
                </w:tcPr>
                <w:p w14:paraId="4C96DF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0B75F0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restart"/>
                  <w:tcBorders>
                    <w:right w:val="single" w:color="auto" w:sz="4" w:space="0"/>
                  </w:tcBorders>
                  <w:noWrap w:val="0"/>
                  <w:vAlign w:val="center"/>
                </w:tcPr>
                <w:p w14:paraId="565DC6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无组织</w:t>
                  </w:r>
                </w:p>
              </w:tc>
              <w:tc>
                <w:tcPr>
                  <w:tcW w:w="1092" w:type="pct"/>
                  <w:gridSpan w:val="2"/>
                  <w:vMerge w:val="restart"/>
                  <w:tcBorders>
                    <w:left w:val="single" w:color="auto" w:sz="4" w:space="0"/>
                  </w:tcBorders>
                  <w:noWrap w:val="0"/>
                  <w:vAlign w:val="center"/>
                </w:tcPr>
                <w:p w14:paraId="026DB8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厂界</w:t>
                  </w:r>
                </w:p>
              </w:tc>
              <w:tc>
                <w:tcPr>
                  <w:tcW w:w="851" w:type="pct"/>
                  <w:vMerge w:val="restart"/>
                  <w:noWrap w:val="0"/>
                  <w:vAlign w:val="center"/>
                </w:tcPr>
                <w:p w14:paraId="77ABCA7A">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r>
                    <w:rPr>
                      <w:color w:val="000000"/>
                      <w:sz w:val="21"/>
                      <w:szCs w:val="21"/>
                    </w:rPr>
                    <w:t>颗粒物</w:t>
                  </w:r>
                </w:p>
              </w:tc>
              <w:tc>
                <w:tcPr>
                  <w:tcW w:w="566" w:type="pct"/>
                  <w:vMerge w:val="restart"/>
                  <w:noWrap w:val="0"/>
                  <w:vAlign w:val="center"/>
                </w:tcPr>
                <w:p w14:paraId="71F258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6BFCB4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《工业炉窑大气污染物排放标准</w:t>
                  </w:r>
                  <w:r>
                    <w:rPr>
                      <w:rFonts w:hint="eastAsia"/>
                      <w:color w:val="000000"/>
                      <w:sz w:val="21"/>
                      <w:szCs w:val="21"/>
                    </w:rPr>
                    <w:t>》</w:t>
                  </w:r>
                  <w:r>
                    <w:rPr>
                      <w:color w:val="000000"/>
                      <w:sz w:val="21"/>
                      <w:szCs w:val="21"/>
                    </w:rPr>
                    <w:t>（</w:t>
                  </w:r>
                  <w:r>
                    <w:rPr>
                      <w:rFonts w:hint="eastAsia"/>
                      <w:color w:val="000000"/>
                      <w:sz w:val="21"/>
                      <w:szCs w:val="21"/>
                      <w:lang w:eastAsia="zh-CN"/>
                    </w:rPr>
                    <w:t>DB41/1066-2020</w:t>
                  </w:r>
                  <w:r>
                    <w:rPr>
                      <w:color w:val="000000"/>
                      <w:sz w:val="21"/>
                      <w:szCs w:val="21"/>
                    </w:rPr>
                    <w:t>）</w:t>
                  </w:r>
                </w:p>
              </w:tc>
            </w:tr>
            <w:tr w14:paraId="7014A5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3E4F5F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092" w:type="pct"/>
                  <w:gridSpan w:val="2"/>
                  <w:vMerge w:val="continue"/>
                  <w:tcBorders>
                    <w:left w:val="single" w:color="auto" w:sz="4" w:space="0"/>
                  </w:tcBorders>
                  <w:noWrap w:val="0"/>
                  <w:vAlign w:val="center"/>
                </w:tcPr>
                <w:p w14:paraId="0A73BC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851" w:type="pct"/>
                  <w:vMerge w:val="continue"/>
                  <w:noWrap w:val="0"/>
                  <w:vAlign w:val="center"/>
                </w:tcPr>
                <w:p w14:paraId="5A686640">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66" w:type="pct"/>
                  <w:vMerge w:val="continue"/>
                  <w:noWrap w:val="0"/>
                  <w:vAlign w:val="center"/>
                </w:tcPr>
                <w:p w14:paraId="778191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020" w:type="pct"/>
                  <w:noWrap w:val="0"/>
                  <w:vAlign w:val="center"/>
                </w:tcPr>
                <w:p w14:paraId="6135E7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highlight w:val="none"/>
                      <w:u w:val="none"/>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612EA3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296F65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092" w:type="pct"/>
                  <w:gridSpan w:val="2"/>
                  <w:vMerge w:val="continue"/>
                  <w:tcBorders>
                    <w:left w:val="single" w:color="auto" w:sz="4" w:space="0"/>
                  </w:tcBorders>
                  <w:noWrap w:val="0"/>
                  <w:vAlign w:val="center"/>
                </w:tcPr>
                <w:p w14:paraId="1FF942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851" w:type="pct"/>
                  <w:vMerge w:val="continue"/>
                  <w:noWrap w:val="0"/>
                  <w:vAlign w:val="center"/>
                </w:tcPr>
                <w:p w14:paraId="0A2919AC">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66" w:type="pct"/>
                  <w:vMerge w:val="continue"/>
                  <w:noWrap w:val="0"/>
                  <w:vAlign w:val="center"/>
                </w:tcPr>
                <w:p w14:paraId="64607E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020" w:type="pct"/>
                  <w:noWrap w:val="0"/>
                  <w:vAlign w:val="center"/>
                </w:tcPr>
                <w:p w14:paraId="28DE3F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rPr>
                  </w:pPr>
                  <w:r>
                    <w:rPr>
                      <w:color w:val="000000"/>
                      <w:sz w:val="21"/>
                      <w:szCs w:val="21"/>
                    </w:rPr>
                    <w:t>《铸造工业大气污染物排放标准》(GB39726-2020)</w:t>
                  </w:r>
                </w:p>
              </w:tc>
            </w:tr>
            <w:tr w14:paraId="464ECD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60BECF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092" w:type="pct"/>
                  <w:gridSpan w:val="2"/>
                  <w:vMerge w:val="continue"/>
                  <w:tcBorders>
                    <w:left w:val="single" w:color="auto" w:sz="4" w:space="0"/>
                  </w:tcBorders>
                  <w:noWrap w:val="0"/>
                  <w:vAlign w:val="center"/>
                </w:tcPr>
                <w:p w14:paraId="1DEF76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vMerge w:val="restart"/>
                  <w:noWrap w:val="0"/>
                  <w:vAlign w:val="center"/>
                </w:tcPr>
                <w:p w14:paraId="75EE0C1B">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r>
                    <w:rPr>
                      <w:color w:val="000000"/>
                      <w:sz w:val="21"/>
                      <w:szCs w:val="21"/>
                    </w:rPr>
                    <w:t>非甲烷总烃</w:t>
                  </w:r>
                </w:p>
              </w:tc>
              <w:tc>
                <w:tcPr>
                  <w:tcW w:w="566" w:type="pct"/>
                  <w:vMerge w:val="restart"/>
                  <w:noWrap w:val="0"/>
                  <w:vAlign w:val="center"/>
                </w:tcPr>
                <w:p w14:paraId="105479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45115F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《大气污染物综合排放标准》（GB16297-1996）表2标准</w:t>
                  </w:r>
                </w:p>
              </w:tc>
            </w:tr>
            <w:tr w14:paraId="4260DA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07A3F1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092" w:type="pct"/>
                  <w:gridSpan w:val="2"/>
                  <w:vMerge w:val="continue"/>
                  <w:tcBorders>
                    <w:left w:val="single" w:color="auto" w:sz="4" w:space="0"/>
                  </w:tcBorders>
                  <w:noWrap w:val="0"/>
                  <w:vAlign w:val="center"/>
                </w:tcPr>
                <w:p w14:paraId="65D89B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vMerge w:val="continue"/>
                  <w:noWrap w:val="0"/>
                  <w:vAlign w:val="center"/>
                </w:tcPr>
                <w:p w14:paraId="1019D20F">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66" w:type="pct"/>
                  <w:vMerge w:val="continue"/>
                  <w:noWrap w:val="0"/>
                  <w:vAlign w:val="center"/>
                </w:tcPr>
                <w:p w14:paraId="426F9C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020" w:type="pct"/>
                  <w:noWrap w:val="0"/>
                  <w:vAlign w:val="center"/>
                </w:tcPr>
                <w:p w14:paraId="5A970E4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《关于全省开展工业企业挥发性有机物专项治理工作中排放建议值的通知》（豫环攻坚办[2017]162号）中附件1中其他工业</w:t>
                  </w:r>
                </w:p>
              </w:tc>
            </w:tr>
            <w:tr w14:paraId="0F9904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0E28CD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092" w:type="pct"/>
                  <w:gridSpan w:val="2"/>
                  <w:vMerge w:val="continue"/>
                  <w:tcBorders>
                    <w:left w:val="single" w:color="auto" w:sz="4" w:space="0"/>
                  </w:tcBorders>
                  <w:noWrap w:val="0"/>
                  <w:vAlign w:val="center"/>
                </w:tcPr>
                <w:p w14:paraId="66A0CD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vMerge w:val="continue"/>
                  <w:noWrap w:val="0"/>
                  <w:vAlign w:val="center"/>
                </w:tcPr>
                <w:p w14:paraId="77E7C539">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66" w:type="pct"/>
                  <w:vMerge w:val="continue"/>
                  <w:noWrap w:val="0"/>
                  <w:vAlign w:val="center"/>
                </w:tcPr>
                <w:p w14:paraId="64C86C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020" w:type="pct"/>
                  <w:noWrap w:val="0"/>
                  <w:vAlign w:val="center"/>
                </w:tcPr>
                <w:p w14:paraId="1FB6C02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rFonts w:hint="eastAsia"/>
                      <w:color w:val="000000"/>
                      <w:sz w:val="21"/>
                      <w:szCs w:val="21"/>
                    </w:rPr>
                    <w:t>《挥发性有机物无组织排放控制标准》</w:t>
                  </w:r>
                  <w:r>
                    <w:rPr>
                      <w:color w:val="000000"/>
                      <w:sz w:val="21"/>
                      <w:szCs w:val="21"/>
                    </w:rPr>
                    <w:t>(GB37822-2019)</w:t>
                  </w:r>
                </w:p>
              </w:tc>
            </w:tr>
            <w:tr w14:paraId="63AB6B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69" w:type="pct"/>
                  <w:vMerge w:val="continue"/>
                  <w:tcBorders>
                    <w:right w:val="single" w:color="auto" w:sz="4" w:space="0"/>
                  </w:tcBorders>
                  <w:noWrap w:val="0"/>
                  <w:vAlign w:val="center"/>
                </w:tcPr>
                <w:p w14:paraId="5F36A1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1092" w:type="pct"/>
                  <w:gridSpan w:val="2"/>
                  <w:vMerge w:val="continue"/>
                  <w:tcBorders>
                    <w:left w:val="single" w:color="auto" w:sz="4" w:space="0"/>
                  </w:tcBorders>
                  <w:noWrap w:val="0"/>
                  <w:vAlign w:val="center"/>
                </w:tcPr>
                <w:p w14:paraId="1415CF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851" w:type="pct"/>
                  <w:noWrap w:val="0"/>
                  <w:vAlign w:val="center"/>
                </w:tcPr>
                <w:p w14:paraId="1DE0AE1C">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color w:val="000000"/>
                      <w:sz w:val="21"/>
                      <w:szCs w:val="21"/>
                    </w:rPr>
                    <w:t>甲醛</w:t>
                  </w:r>
                </w:p>
              </w:tc>
              <w:tc>
                <w:tcPr>
                  <w:tcW w:w="566" w:type="pct"/>
                  <w:noWrap w:val="0"/>
                  <w:vAlign w:val="center"/>
                </w:tcPr>
                <w:p w14:paraId="7FA514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020" w:type="pct"/>
                  <w:noWrap w:val="0"/>
                  <w:vAlign w:val="center"/>
                </w:tcPr>
                <w:p w14:paraId="0D8F36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《大气污染物综合排放标准》（GB16297-1996）表2标准</w:t>
                  </w:r>
                </w:p>
              </w:tc>
            </w:tr>
            <w:tr w14:paraId="759D4F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noWrap w:val="0"/>
                  <w:vAlign w:val="center"/>
                </w:tcPr>
                <w:p w14:paraId="4CAEE6C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eastAsiaTheme="minorEastAsia"/>
                      <w:color w:val="000000"/>
                      <w:sz w:val="21"/>
                      <w:szCs w:val="21"/>
                      <w:lang w:val="en-US" w:eastAsia="zh-CN"/>
                    </w:rPr>
                  </w:pPr>
                  <w:r>
                    <w:rPr>
                      <w:rFonts w:hint="eastAsia"/>
                      <w:color w:val="000000"/>
                      <w:sz w:val="21"/>
                      <w:szCs w:val="21"/>
                      <w:lang w:val="en-US" w:eastAsia="zh-CN"/>
                    </w:rPr>
                    <w:t>废水</w:t>
                  </w:r>
                </w:p>
              </w:tc>
              <w:tc>
                <w:tcPr>
                  <w:tcW w:w="1092" w:type="pct"/>
                  <w:gridSpan w:val="2"/>
                  <w:noWrap w:val="0"/>
                  <w:vAlign w:val="center"/>
                </w:tcPr>
                <w:p w14:paraId="4A9A9F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eastAsiaTheme="minorEastAsia"/>
                      <w:color w:val="000000"/>
                      <w:sz w:val="21"/>
                      <w:szCs w:val="21"/>
                      <w:lang w:val="en-US" w:eastAsia="zh-CN"/>
                    </w:rPr>
                  </w:pPr>
                  <w:r>
                    <w:rPr>
                      <w:rFonts w:hint="eastAsia"/>
                      <w:color w:val="000000"/>
                      <w:sz w:val="21"/>
                      <w:szCs w:val="21"/>
                      <w:lang w:val="en-US" w:eastAsia="zh-CN"/>
                    </w:rPr>
                    <w:t>厂区污水总排口</w:t>
                  </w:r>
                </w:p>
              </w:tc>
              <w:tc>
                <w:tcPr>
                  <w:tcW w:w="851" w:type="pct"/>
                  <w:noWrap w:val="0"/>
                  <w:vAlign w:val="center"/>
                </w:tcPr>
                <w:p w14:paraId="0686B2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sz w:val="21"/>
                      <w:szCs w:val="21"/>
                    </w:rPr>
                  </w:pPr>
                  <w:r>
                    <w:rPr>
                      <w:rFonts w:hint="eastAsia"/>
                      <w:color w:val="000000"/>
                      <w:sz w:val="21"/>
                      <w:szCs w:val="21"/>
                    </w:rPr>
                    <w:t>pH值、悬浮物、化学需氧量、五日生化需氧量、氨氮</w:t>
                  </w:r>
                </w:p>
              </w:tc>
              <w:tc>
                <w:tcPr>
                  <w:tcW w:w="566" w:type="pct"/>
                  <w:noWrap w:val="0"/>
                  <w:vAlign w:val="center"/>
                </w:tcPr>
                <w:p w14:paraId="3ADF20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kern w:val="0"/>
                      <w:sz w:val="21"/>
                      <w:szCs w:val="21"/>
                    </w:rPr>
                  </w:pPr>
                  <w:r>
                    <w:rPr>
                      <w:rFonts w:hint="eastAsia"/>
                      <w:color w:val="000000"/>
                      <w:kern w:val="0"/>
                      <w:sz w:val="21"/>
                      <w:szCs w:val="21"/>
                    </w:rPr>
                    <w:t>1次/年</w:t>
                  </w:r>
                </w:p>
              </w:tc>
              <w:tc>
                <w:tcPr>
                  <w:tcW w:w="2020" w:type="pct"/>
                  <w:noWrap w:val="0"/>
                  <w:vAlign w:val="center"/>
                </w:tcPr>
                <w:p w14:paraId="501350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《污水综合排放标准》（GB8978-1996）表4三级标准</w:t>
                  </w:r>
                  <w:r>
                    <w:rPr>
                      <w:rFonts w:hint="eastAsia" w:ascii="Times New Roman" w:hAnsi="Times New Roman" w:cs="Times New Roman"/>
                      <w:b w:val="0"/>
                      <w:bCs/>
                      <w:sz w:val="21"/>
                      <w:szCs w:val="21"/>
                      <w:u w:val="none"/>
                      <w:lang w:val="en-US" w:eastAsia="zh-CN"/>
                    </w:rPr>
                    <w:t>和</w:t>
                  </w:r>
                  <w:r>
                    <w:rPr>
                      <w:rFonts w:hint="eastAsia" w:cs="Times New Roman"/>
                      <w:sz w:val="21"/>
                      <w:szCs w:val="21"/>
                      <w:u w:val="none"/>
                      <w:lang w:val="en-US" w:eastAsia="zh-CN"/>
                    </w:rPr>
                    <w:t>镇平</w:t>
                  </w:r>
                  <w:r>
                    <w:rPr>
                      <w:rFonts w:hint="eastAsia" w:ascii="Times New Roman" w:hAnsi="Times New Roman" w:cs="Times New Roman"/>
                      <w:sz w:val="21"/>
                      <w:szCs w:val="21"/>
                      <w:u w:val="none"/>
                      <w:lang w:eastAsia="zh-CN"/>
                    </w:rPr>
                    <w:t>县第</w:t>
                  </w:r>
                  <w:r>
                    <w:rPr>
                      <w:rFonts w:hint="eastAsia" w:cs="Times New Roman"/>
                      <w:sz w:val="21"/>
                      <w:szCs w:val="21"/>
                      <w:u w:val="none"/>
                      <w:lang w:val="en-US" w:eastAsia="zh-CN"/>
                    </w:rPr>
                    <w:t>二</w:t>
                  </w:r>
                  <w:r>
                    <w:rPr>
                      <w:rFonts w:hint="eastAsia" w:ascii="Times New Roman" w:hAnsi="Times New Roman" w:cs="Times New Roman"/>
                      <w:sz w:val="21"/>
                      <w:szCs w:val="21"/>
                      <w:u w:val="none"/>
                      <w:lang w:eastAsia="zh-CN"/>
                    </w:rPr>
                    <w:t>污水处理厂</w:t>
                  </w:r>
                  <w:r>
                    <w:rPr>
                      <w:rFonts w:hint="eastAsia" w:cs="Times New Roman"/>
                      <w:sz w:val="21"/>
                      <w:szCs w:val="21"/>
                      <w:u w:val="none"/>
                      <w:lang w:val="en-US" w:eastAsia="zh-CN"/>
                    </w:rPr>
                    <w:t>收水指标</w:t>
                  </w:r>
                </w:p>
              </w:tc>
            </w:tr>
            <w:tr w14:paraId="59B521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noWrap w:val="0"/>
                  <w:vAlign w:val="center"/>
                </w:tcPr>
                <w:p w14:paraId="227F94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color w:val="000000"/>
                      <w:sz w:val="21"/>
                      <w:szCs w:val="21"/>
                      <w:lang w:val="en-US" w:eastAsia="zh-CN"/>
                    </w:rPr>
                  </w:pPr>
                  <w:r>
                    <w:rPr>
                      <w:rFonts w:hint="eastAsia"/>
                      <w:color w:val="000000"/>
                      <w:sz w:val="21"/>
                      <w:szCs w:val="21"/>
                      <w:lang w:val="en-US" w:eastAsia="zh-CN"/>
                    </w:rPr>
                    <w:t>噪声</w:t>
                  </w:r>
                </w:p>
              </w:tc>
              <w:tc>
                <w:tcPr>
                  <w:tcW w:w="1092" w:type="pct"/>
                  <w:gridSpan w:val="2"/>
                  <w:noWrap w:val="0"/>
                  <w:vAlign w:val="center"/>
                </w:tcPr>
                <w:p w14:paraId="1847FB2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sz w:val="21"/>
                      <w:szCs w:val="21"/>
                      <w:lang w:val="en-US" w:eastAsia="zh-CN"/>
                    </w:rPr>
                  </w:pPr>
                  <w:r>
                    <w:rPr>
                      <w:rFonts w:hint="eastAsia"/>
                      <w:color w:val="000000"/>
                      <w:sz w:val="21"/>
                      <w:szCs w:val="21"/>
                      <w:lang w:val="en-US" w:eastAsia="zh-CN"/>
                    </w:rPr>
                    <w:t>四周厂界</w:t>
                  </w:r>
                </w:p>
              </w:tc>
              <w:tc>
                <w:tcPr>
                  <w:tcW w:w="851" w:type="pct"/>
                  <w:noWrap w:val="0"/>
                  <w:vAlign w:val="center"/>
                </w:tcPr>
                <w:p w14:paraId="02E39A2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sz w:val="21"/>
                      <w:szCs w:val="21"/>
                    </w:rPr>
                  </w:pPr>
                  <w:r>
                    <w:rPr>
                      <w:rFonts w:hint="eastAsia"/>
                      <w:color w:val="000000"/>
                      <w:sz w:val="21"/>
                      <w:szCs w:val="21"/>
                    </w:rPr>
                    <w:t>等效连续A声级、最大声级</w:t>
                  </w:r>
                </w:p>
              </w:tc>
              <w:tc>
                <w:tcPr>
                  <w:tcW w:w="566" w:type="pct"/>
                  <w:noWrap w:val="0"/>
                  <w:vAlign w:val="center"/>
                </w:tcPr>
                <w:p w14:paraId="088DD88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000000"/>
                      <w:kern w:val="0"/>
                      <w:sz w:val="21"/>
                      <w:szCs w:val="21"/>
                    </w:rPr>
                  </w:pPr>
                  <w:r>
                    <w:rPr>
                      <w:rFonts w:hint="eastAsia"/>
                      <w:color w:val="000000"/>
                      <w:kern w:val="0"/>
                      <w:sz w:val="21"/>
                      <w:szCs w:val="21"/>
                    </w:rPr>
                    <w:t>1次/季度</w:t>
                  </w:r>
                </w:p>
              </w:tc>
              <w:tc>
                <w:tcPr>
                  <w:tcW w:w="2020" w:type="pct"/>
                  <w:noWrap w:val="0"/>
                  <w:vAlign w:val="center"/>
                </w:tcPr>
                <w:p w14:paraId="12B14B5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《工业企业厂界环境噪声排放标准》（GB12348-2008）2类标准</w:t>
                  </w:r>
                </w:p>
              </w:tc>
            </w:tr>
          </w:tbl>
          <w:p w14:paraId="42CBDB17">
            <w:pPr>
              <w:spacing w:line="360" w:lineRule="auto"/>
              <w:ind w:left="0" w:leftChars="0" w:firstLine="0" w:firstLineChars="0"/>
              <w:rPr>
                <w:rFonts w:hint="default" w:ascii="Times New Roman" w:hAnsi="Times New Roman" w:eastAsia="黑体" w:cs="Times New Roman"/>
                <w:b w:val="0"/>
                <w:bCs/>
                <w:lang w:eastAsia="zh-CN"/>
              </w:rPr>
            </w:pPr>
            <w:r>
              <w:rPr>
                <w:rFonts w:hint="default" w:ascii="Times New Roman" w:hAnsi="Times New Roman" w:eastAsia="黑体" w:cs="Times New Roman"/>
                <w:b w:val="0"/>
                <w:bCs/>
                <w:lang w:val="en-US" w:eastAsia="zh-CN"/>
              </w:rPr>
              <w:t>9</w:t>
            </w:r>
            <w:r>
              <w:rPr>
                <w:rFonts w:hint="default" w:ascii="Times New Roman" w:hAnsi="Times New Roman" w:eastAsia="黑体" w:cs="Times New Roman"/>
                <w:b w:val="0"/>
                <w:bCs/>
              </w:rPr>
              <w:t>、环保投资</w:t>
            </w:r>
            <w:r>
              <w:rPr>
                <w:rFonts w:hint="default" w:ascii="Times New Roman" w:hAnsi="Times New Roman" w:eastAsia="黑体" w:cs="Times New Roman"/>
                <w:b w:val="0"/>
                <w:bCs/>
                <w:lang w:eastAsia="zh-CN"/>
              </w:rPr>
              <w:t>估算</w:t>
            </w:r>
          </w:p>
          <w:p w14:paraId="1B25AE47">
            <w:pPr>
              <w:pStyle w:val="25"/>
              <w:ind w:firstLine="480"/>
              <w:jc w:val="both"/>
            </w:pPr>
            <w:r>
              <w:t>本项目总投资</w:t>
            </w:r>
            <w:r>
              <w:rPr>
                <w:rFonts w:hint="eastAsia"/>
                <w:lang w:val="en-US" w:eastAsia="zh-CN"/>
              </w:rPr>
              <w:t>5300</w:t>
            </w:r>
            <w:r>
              <w:t>万元，环保投资</w:t>
            </w:r>
            <w:r>
              <w:rPr>
                <w:rFonts w:hint="eastAsia"/>
                <w:highlight w:val="none"/>
                <w:lang w:val="en-US" w:eastAsia="zh-CN"/>
              </w:rPr>
              <w:t>93</w:t>
            </w:r>
            <w:r>
              <w:t>万元，约占工程总投资的</w:t>
            </w:r>
            <w:r>
              <w:rPr>
                <w:rFonts w:hint="eastAsia"/>
                <w:lang w:val="en-US" w:eastAsia="zh-CN"/>
              </w:rPr>
              <w:t>1.75</w:t>
            </w:r>
            <w:r>
              <w:t>%，</w:t>
            </w:r>
            <w:r>
              <w:rPr>
                <w:rFonts w:hint="eastAsia"/>
                <w:lang w:val="en-US" w:eastAsia="zh-CN"/>
              </w:rPr>
              <w:t>具体投资估算</w:t>
            </w:r>
            <w:r>
              <w:t>见</w:t>
            </w:r>
            <w:r>
              <w:rPr>
                <w:rFonts w:hint="eastAsia"/>
                <w:lang w:val="en-US" w:eastAsia="zh-CN"/>
              </w:rPr>
              <w:t>下表</w:t>
            </w:r>
            <w:r>
              <w:t>。</w:t>
            </w:r>
          </w:p>
          <w:p w14:paraId="2161A33F">
            <w:pPr>
              <w:pStyle w:val="32"/>
              <w:spacing w:line="360" w:lineRule="auto"/>
              <w:rPr>
                <w:sz w:val="24"/>
                <w:szCs w:val="24"/>
              </w:rPr>
            </w:pPr>
            <w:r>
              <w:rPr>
                <w:rFonts w:hAnsi="黑体" w:eastAsia="黑体"/>
                <w:b w:val="0"/>
                <w:sz w:val="24"/>
                <w:szCs w:val="24"/>
              </w:rPr>
              <w:t>表</w:t>
            </w:r>
            <w:r>
              <w:rPr>
                <w:rFonts w:eastAsia="黑体"/>
                <w:b w:val="0"/>
                <w:sz w:val="24"/>
                <w:szCs w:val="24"/>
              </w:rPr>
              <w:t>4-</w:t>
            </w:r>
            <w:r>
              <w:rPr>
                <w:rFonts w:hint="eastAsia"/>
                <w:b w:val="0"/>
                <w:sz w:val="24"/>
                <w:szCs w:val="24"/>
                <w:lang w:val="en-US" w:eastAsia="zh-CN"/>
              </w:rPr>
              <w:t>20</w:t>
            </w:r>
            <w:r>
              <w:rPr>
                <w:rFonts w:hint="eastAsia" w:eastAsia="黑体"/>
                <w:b w:val="0"/>
                <w:sz w:val="24"/>
                <w:szCs w:val="24"/>
              </w:rPr>
              <w:t xml:space="preserve"> </w:t>
            </w:r>
            <w:r>
              <w:rPr>
                <w:rFonts w:eastAsia="黑体"/>
                <w:b w:val="0"/>
                <w:sz w:val="24"/>
                <w:szCs w:val="24"/>
              </w:rPr>
              <w:t xml:space="preserve"> </w:t>
            </w:r>
            <w:r>
              <w:rPr>
                <w:rFonts w:hAnsi="黑体" w:eastAsia="黑体"/>
                <w:b w:val="0"/>
                <w:sz w:val="24"/>
                <w:szCs w:val="24"/>
              </w:rPr>
              <w:t>本项目环保投资</w:t>
            </w:r>
            <w:r>
              <w:rPr>
                <w:rFonts w:hint="eastAsia" w:hAnsi="黑体" w:eastAsia="黑体"/>
                <w:b w:val="0"/>
                <w:sz w:val="24"/>
                <w:szCs w:val="24"/>
                <w:lang w:eastAsia="zh-CN"/>
              </w:rPr>
              <w:t>估算</w:t>
            </w:r>
            <w:r>
              <w:rPr>
                <w:rFonts w:hAnsi="黑体" w:eastAsia="黑体"/>
                <w:b w:val="0"/>
                <w:sz w:val="24"/>
                <w:szCs w:val="24"/>
              </w:rPr>
              <w:t>一览表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88"/>
              <w:gridCol w:w="2662"/>
              <w:gridCol w:w="4037"/>
              <w:gridCol w:w="1171"/>
            </w:tblGrid>
            <w:tr w14:paraId="5945E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02" w:type="pct"/>
                  <w:tcBorders>
                    <w:tl2br w:val="nil"/>
                    <w:tr2bl w:val="nil"/>
                  </w:tcBorders>
                  <w:tcMar>
                    <w:top w:w="57" w:type="dxa"/>
                    <w:bottom w:w="57" w:type="dxa"/>
                  </w:tcMar>
                  <w:vAlign w:val="center"/>
                </w:tcPr>
                <w:p w14:paraId="277790F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sz w:val="21"/>
                      <w:szCs w:val="21"/>
                      <w:u w:val="none"/>
                    </w:rPr>
                    <w:t>类型</w:t>
                  </w:r>
                </w:p>
              </w:tc>
              <w:tc>
                <w:tcPr>
                  <w:tcW w:w="1555" w:type="pct"/>
                  <w:tcBorders>
                    <w:tl2br w:val="nil"/>
                    <w:tr2bl w:val="nil"/>
                  </w:tcBorders>
                  <w:tcMar>
                    <w:top w:w="57" w:type="dxa"/>
                    <w:bottom w:w="57" w:type="dxa"/>
                  </w:tcMar>
                  <w:vAlign w:val="center"/>
                </w:tcPr>
                <w:p w14:paraId="2D16E06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rFonts w:cs="Times New Roman"/>
                      <w:sz w:val="21"/>
                      <w:szCs w:val="21"/>
                      <w:u w:val="none"/>
                    </w:rPr>
                    <w:t>产污</w:t>
                  </w:r>
                  <w:r>
                    <w:rPr>
                      <w:rFonts w:hint="eastAsia" w:cs="Times New Roman"/>
                      <w:sz w:val="21"/>
                      <w:szCs w:val="21"/>
                      <w:u w:val="none"/>
                    </w:rPr>
                    <w:t>节点</w:t>
                  </w:r>
                  <w:r>
                    <w:rPr>
                      <w:rFonts w:cs="Times New Roman"/>
                      <w:sz w:val="21"/>
                      <w:szCs w:val="21"/>
                      <w:u w:val="none"/>
                    </w:rPr>
                    <w:t>（工序）</w:t>
                  </w:r>
                </w:p>
              </w:tc>
              <w:tc>
                <w:tcPr>
                  <w:tcW w:w="2358" w:type="pct"/>
                  <w:tcBorders>
                    <w:tl2br w:val="nil"/>
                    <w:tr2bl w:val="nil"/>
                  </w:tcBorders>
                  <w:tcMar>
                    <w:top w:w="57" w:type="dxa"/>
                    <w:bottom w:w="57" w:type="dxa"/>
                  </w:tcMar>
                  <w:vAlign w:val="center"/>
                </w:tcPr>
                <w:p w14:paraId="11D4C82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sz w:val="21"/>
                      <w:szCs w:val="21"/>
                      <w:u w:val="none"/>
                    </w:rPr>
                    <w:t>采取</w:t>
                  </w:r>
                  <w:r>
                    <w:rPr>
                      <w:rFonts w:hint="eastAsia"/>
                      <w:sz w:val="21"/>
                      <w:szCs w:val="21"/>
                      <w:u w:val="none"/>
                      <w:lang w:eastAsia="zh-CN"/>
                    </w:rPr>
                    <w:t>的</w:t>
                  </w:r>
                  <w:r>
                    <w:rPr>
                      <w:rFonts w:hint="eastAsia"/>
                      <w:sz w:val="21"/>
                      <w:szCs w:val="21"/>
                      <w:u w:val="none"/>
                      <w:lang w:val="en-US" w:eastAsia="zh-CN"/>
                    </w:rPr>
                    <w:t>污染防治</w:t>
                  </w:r>
                  <w:r>
                    <w:rPr>
                      <w:sz w:val="21"/>
                      <w:szCs w:val="21"/>
                      <w:u w:val="none"/>
                    </w:rPr>
                    <w:t>措施</w:t>
                  </w:r>
                </w:p>
              </w:tc>
              <w:tc>
                <w:tcPr>
                  <w:tcW w:w="684" w:type="pct"/>
                  <w:tcBorders>
                    <w:tl2br w:val="nil"/>
                    <w:tr2bl w:val="nil"/>
                  </w:tcBorders>
                  <w:vAlign w:val="center"/>
                </w:tcPr>
                <w:p w14:paraId="79BF2B1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sz w:val="21"/>
                      <w:szCs w:val="21"/>
                      <w:u w:val="none"/>
                    </w:rPr>
                    <w:t>环保投资（万元）</w:t>
                  </w:r>
                </w:p>
              </w:tc>
            </w:tr>
            <w:tr w14:paraId="23760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restart"/>
                  <w:tcBorders>
                    <w:tl2br w:val="nil"/>
                    <w:tr2bl w:val="nil"/>
                  </w:tcBorders>
                  <w:tcMar>
                    <w:top w:w="57" w:type="dxa"/>
                    <w:bottom w:w="57" w:type="dxa"/>
                  </w:tcMar>
                  <w:vAlign w:val="center"/>
                </w:tcPr>
                <w:p w14:paraId="7EBF776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sz w:val="21"/>
                      <w:szCs w:val="21"/>
                      <w:u w:val="none"/>
                    </w:rPr>
                    <w:t>废气</w:t>
                  </w:r>
                </w:p>
              </w:tc>
              <w:tc>
                <w:tcPr>
                  <w:tcW w:w="1555" w:type="pct"/>
                  <w:tcBorders>
                    <w:tl2br w:val="nil"/>
                    <w:tr2bl w:val="nil"/>
                  </w:tcBorders>
                  <w:tcMar>
                    <w:top w:w="57" w:type="dxa"/>
                    <w:bottom w:w="57" w:type="dxa"/>
                  </w:tcMar>
                  <w:vAlign w:val="center"/>
                </w:tcPr>
                <w:p w14:paraId="28ADBB9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Theme="minorEastAsia"/>
                      <w:sz w:val="21"/>
                      <w:szCs w:val="21"/>
                      <w:u w:val="none"/>
                      <w:lang w:val="en-US" w:eastAsia="zh-CN"/>
                    </w:rPr>
                  </w:pPr>
                  <w:r>
                    <w:rPr>
                      <w:rFonts w:hint="eastAsia"/>
                      <w:color w:val="000000"/>
                      <w:sz w:val="21"/>
                      <w:szCs w:val="21"/>
                      <w:lang w:val="en-US" w:eastAsia="zh-CN"/>
                    </w:rPr>
                    <w:t>熔炼工序</w:t>
                  </w:r>
                </w:p>
              </w:tc>
              <w:tc>
                <w:tcPr>
                  <w:tcW w:w="2358" w:type="pct"/>
                  <w:tcBorders>
                    <w:tl2br w:val="nil"/>
                    <w:tr2bl w:val="nil"/>
                  </w:tcBorders>
                  <w:tcMar>
                    <w:top w:w="57" w:type="dxa"/>
                    <w:bottom w:w="57" w:type="dxa"/>
                  </w:tcMar>
                  <w:vAlign w:val="center"/>
                </w:tcPr>
                <w:p w14:paraId="2B6B32F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000000"/>
                      <w:sz w:val="21"/>
                      <w:szCs w:val="21"/>
                      <w:u w:val="none"/>
                    </w:rPr>
                  </w:pPr>
                  <w:r>
                    <w:rPr>
                      <w:rFonts w:hint="eastAsia"/>
                      <w:color w:val="000000"/>
                      <w:sz w:val="21"/>
                      <w:szCs w:val="21"/>
                      <w:u w:val="none"/>
                    </w:rPr>
                    <w:t>集气罩收集，经1套耐高温袋式除尘器处理后，经1根15m高排气筒排放</w:t>
                  </w:r>
                </w:p>
              </w:tc>
              <w:tc>
                <w:tcPr>
                  <w:tcW w:w="684" w:type="pct"/>
                  <w:tcBorders>
                    <w:tl2br w:val="nil"/>
                    <w:tr2bl w:val="nil"/>
                  </w:tcBorders>
                  <w:vAlign w:val="center"/>
                </w:tcPr>
                <w:p w14:paraId="6B9E2AC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6</w:t>
                  </w:r>
                </w:p>
              </w:tc>
            </w:tr>
            <w:tr w14:paraId="2DA01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51A9EC8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1555" w:type="pct"/>
                  <w:tcBorders>
                    <w:tl2br w:val="nil"/>
                    <w:tr2bl w:val="nil"/>
                  </w:tcBorders>
                  <w:tcMar>
                    <w:top w:w="57" w:type="dxa"/>
                    <w:bottom w:w="57" w:type="dxa"/>
                  </w:tcMar>
                  <w:vAlign w:val="center"/>
                </w:tcPr>
                <w:p w14:paraId="2C82C60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default"/>
                      <w:sz w:val="21"/>
                      <w:szCs w:val="21"/>
                      <w:u w:val="none"/>
                      <w:lang w:val="en-US" w:eastAsia="zh-CN"/>
                    </w:rPr>
                    <w:t>混砂、造型/浇注、工件清理和不合格品回用切割工序</w:t>
                  </w:r>
                </w:p>
              </w:tc>
              <w:tc>
                <w:tcPr>
                  <w:tcW w:w="2358" w:type="pct"/>
                  <w:tcBorders>
                    <w:tl2br w:val="nil"/>
                    <w:tr2bl w:val="nil"/>
                  </w:tcBorders>
                  <w:tcMar>
                    <w:top w:w="57" w:type="dxa"/>
                    <w:bottom w:w="57" w:type="dxa"/>
                  </w:tcMar>
                  <w:vAlign w:val="center"/>
                </w:tcPr>
                <w:p w14:paraId="47ADA75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u w:val="none"/>
                      <w:lang w:eastAsia="zh-CN"/>
                    </w:rPr>
                  </w:pPr>
                  <w:r>
                    <w:rPr>
                      <w:rFonts w:hint="eastAsia" w:eastAsia="宋体"/>
                      <w:sz w:val="21"/>
                      <w:szCs w:val="21"/>
                      <w:vertAlign w:val="baseline"/>
                      <w:lang w:val="en-US" w:eastAsia="zh-CN"/>
                    </w:rPr>
                    <w:t>混砂机为全封闭设备，造型/浇注区、打磨区和切割区设置集气罩收集，经1套袋式除尘器+催化燃烧（RCO）处理后，经1根15m高排气筒排放</w:t>
                  </w:r>
                </w:p>
              </w:tc>
              <w:tc>
                <w:tcPr>
                  <w:tcW w:w="684" w:type="pct"/>
                  <w:tcBorders>
                    <w:tl2br w:val="nil"/>
                    <w:tr2bl w:val="nil"/>
                  </w:tcBorders>
                  <w:vAlign w:val="center"/>
                </w:tcPr>
                <w:p w14:paraId="41333E0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30</w:t>
                  </w:r>
                </w:p>
              </w:tc>
            </w:tr>
            <w:tr w14:paraId="535A2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0DB5661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1555" w:type="pct"/>
                  <w:tcBorders>
                    <w:tl2br w:val="nil"/>
                    <w:tr2bl w:val="nil"/>
                  </w:tcBorders>
                  <w:tcMar>
                    <w:top w:w="57" w:type="dxa"/>
                    <w:bottom w:w="57" w:type="dxa"/>
                  </w:tcMar>
                  <w:vAlign w:val="center"/>
                </w:tcPr>
                <w:p w14:paraId="0336400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color w:val="000000"/>
                      <w:sz w:val="21"/>
                      <w:szCs w:val="21"/>
                      <w:lang w:val="en-US" w:eastAsia="zh-CN"/>
                    </w:rPr>
                    <w:t>落砂及砂处理工序</w:t>
                  </w:r>
                </w:p>
              </w:tc>
              <w:tc>
                <w:tcPr>
                  <w:tcW w:w="2358" w:type="pct"/>
                  <w:tcBorders>
                    <w:tl2br w:val="nil"/>
                    <w:tr2bl w:val="nil"/>
                  </w:tcBorders>
                  <w:tcMar>
                    <w:top w:w="57" w:type="dxa"/>
                    <w:bottom w:w="57" w:type="dxa"/>
                  </w:tcMar>
                  <w:vAlign w:val="center"/>
                </w:tcPr>
                <w:p w14:paraId="79E753F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u w:val="none"/>
                      <w:lang w:eastAsia="zh-CN"/>
                    </w:rPr>
                  </w:pPr>
                  <w:r>
                    <w:rPr>
                      <w:rFonts w:hint="eastAsia" w:eastAsia="宋体"/>
                      <w:sz w:val="21"/>
                      <w:szCs w:val="21"/>
                      <w:vertAlign w:val="baseline"/>
                      <w:lang w:val="en-US" w:eastAsia="zh-CN"/>
                    </w:rPr>
                    <w:t>落砂机集气罩收集，砂处理系统为全封闭设备，落砂及砂处理工序分别经1套袋式除尘器处理后，经1根15m高排气筒排放</w:t>
                  </w:r>
                </w:p>
              </w:tc>
              <w:tc>
                <w:tcPr>
                  <w:tcW w:w="684" w:type="pct"/>
                  <w:tcBorders>
                    <w:tl2br w:val="nil"/>
                    <w:tr2bl w:val="nil"/>
                  </w:tcBorders>
                  <w:vAlign w:val="center"/>
                </w:tcPr>
                <w:p w14:paraId="7BBC006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10</w:t>
                  </w:r>
                </w:p>
              </w:tc>
            </w:tr>
            <w:tr w14:paraId="2663B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360CC2B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1555" w:type="pct"/>
                  <w:tcBorders>
                    <w:tl2br w:val="nil"/>
                    <w:tr2bl w:val="nil"/>
                  </w:tcBorders>
                  <w:tcMar>
                    <w:top w:w="57" w:type="dxa"/>
                    <w:bottom w:w="57" w:type="dxa"/>
                  </w:tcMar>
                  <w:vAlign w:val="center"/>
                </w:tcPr>
                <w:p w14:paraId="04E4906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color w:val="000000"/>
                      <w:sz w:val="21"/>
                      <w:szCs w:val="21"/>
                      <w:lang w:val="en-US" w:eastAsia="zh-CN"/>
                    </w:rPr>
                    <w:t>抛丸工序</w:t>
                  </w:r>
                </w:p>
              </w:tc>
              <w:tc>
                <w:tcPr>
                  <w:tcW w:w="2358" w:type="pct"/>
                  <w:tcBorders>
                    <w:tl2br w:val="nil"/>
                    <w:tr2bl w:val="nil"/>
                  </w:tcBorders>
                  <w:tcMar>
                    <w:top w:w="57" w:type="dxa"/>
                    <w:bottom w:w="57" w:type="dxa"/>
                  </w:tcMar>
                  <w:vAlign w:val="center"/>
                </w:tcPr>
                <w:p w14:paraId="326794A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u w:val="none"/>
                      <w:lang w:eastAsia="zh-CN"/>
                    </w:rPr>
                  </w:pPr>
                  <w:r>
                    <w:rPr>
                      <w:rFonts w:hint="eastAsia" w:eastAsia="宋体"/>
                      <w:sz w:val="21"/>
                      <w:szCs w:val="21"/>
                      <w:vertAlign w:val="baseline"/>
                      <w:lang w:val="en-US" w:eastAsia="zh-CN"/>
                    </w:rPr>
                    <w:t>抛丸机为全封闭设备</w:t>
                  </w:r>
                  <w:r>
                    <w:rPr>
                      <w:rFonts w:hint="eastAsia"/>
                      <w:sz w:val="21"/>
                      <w:szCs w:val="21"/>
                      <w:vertAlign w:val="baseline"/>
                      <w:lang w:val="en-US" w:eastAsia="zh-CN"/>
                    </w:rPr>
                    <w:t>，经1套袋式除尘器处理后，经1根15m高排气筒排放</w:t>
                  </w:r>
                </w:p>
              </w:tc>
              <w:tc>
                <w:tcPr>
                  <w:tcW w:w="684" w:type="pct"/>
                  <w:tcBorders>
                    <w:tl2br w:val="nil"/>
                    <w:tr2bl w:val="nil"/>
                  </w:tcBorders>
                  <w:vAlign w:val="center"/>
                </w:tcPr>
                <w:p w14:paraId="59543D2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5</w:t>
                  </w:r>
                </w:p>
              </w:tc>
            </w:tr>
            <w:tr w14:paraId="69909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tcBorders>
                    <w:tl2br w:val="nil"/>
                    <w:tr2bl w:val="nil"/>
                  </w:tcBorders>
                  <w:tcMar>
                    <w:top w:w="57" w:type="dxa"/>
                    <w:bottom w:w="57" w:type="dxa"/>
                  </w:tcMar>
                  <w:vAlign w:val="center"/>
                </w:tcPr>
                <w:p w14:paraId="3145348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szCs w:val="21"/>
                      <w:u w:val="none"/>
                      <w:lang w:val="en-US" w:eastAsia="zh-CN"/>
                    </w:rPr>
                  </w:pPr>
                  <w:r>
                    <w:rPr>
                      <w:rFonts w:hint="eastAsia"/>
                      <w:sz w:val="21"/>
                      <w:szCs w:val="21"/>
                      <w:u w:val="none"/>
                      <w:lang w:val="en-US" w:eastAsia="zh-CN"/>
                    </w:rPr>
                    <w:t>废水</w:t>
                  </w:r>
                </w:p>
              </w:tc>
              <w:tc>
                <w:tcPr>
                  <w:tcW w:w="1555" w:type="pct"/>
                  <w:tcBorders>
                    <w:tl2br w:val="nil"/>
                    <w:tr2bl w:val="nil"/>
                  </w:tcBorders>
                  <w:tcMar>
                    <w:top w:w="57" w:type="dxa"/>
                    <w:bottom w:w="57" w:type="dxa"/>
                  </w:tcMar>
                  <w:vAlign w:val="center"/>
                </w:tcPr>
                <w:p w14:paraId="04BFEDF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lang w:val="en-US" w:eastAsia="zh-CN"/>
                    </w:rPr>
                  </w:pPr>
                  <w:r>
                    <w:rPr>
                      <w:rFonts w:hint="eastAsia"/>
                      <w:color w:val="000000"/>
                      <w:sz w:val="21"/>
                      <w:szCs w:val="21"/>
                      <w:lang w:val="en-US" w:eastAsia="zh-CN"/>
                    </w:rPr>
                    <w:t>职工生活污水</w:t>
                  </w:r>
                </w:p>
              </w:tc>
              <w:tc>
                <w:tcPr>
                  <w:tcW w:w="2358" w:type="pct"/>
                  <w:tcBorders>
                    <w:tl2br w:val="nil"/>
                    <w:tr2bl w:val="nil"/>
                  </w:tcBorders>
                  <w:tcMar>
                    <w:top w:w="57" w:type="dxa"/>
                    <w:bottom w:w="57" w:type="dxa"/>
                  </w:tcMar>
                  <w:vAlign w:val="center"/>
                </w:tcPr>
                <w:p w14:paraId="488F72B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color w:val="000000"/>
                      <w:sz w:val="21"/>
                      <w:szCs w:val="21"/>
                    </w:rPr>
                    <w:t>经</w:t>
                  </w:r>
                  <w:r>
                    <w:rPr>
                      <w:rFonts w:hint="eastAsia" w:eastAsia="宋体" w:cs="Times New Roman"/>
                      <w:kern w:val="0"/>
                      <w:sz w:val="21"/>
                      <w:szCs w:val="21"/>
                      <w:lang w:val="en-US" w:eastAsia="zh-CN"/>
                    </w:rPr>
                    <w:t>1座</w:t>
                  </w:r>
                  <w:r>
                    <w:rPr>
                      <w:color w:val="000000"/>
                      <w:sz w:val="21"/>
                      <w:szCs w:val="21"/>
                    </w:rPr>
                    <w:t>化粪池（容积</w:t>
                  </w:r>
                  <w:r>
                    <w:rPr>
                      <w:rFonts w:hint="eastAsia"/>
                      <w:color w:val="000000"/>
                      <w:sz w:val="21"/>
                      <w:szCs w:val="21"/>
                    </w:rPr>
                    <w:t>1</w:t>
                  </w:r>
                  <w:r>
                    <w:rPr>
                      <w:color w:val="000000"/>
                      <w:sz w:val="21"/>
                      <w:szCs w:val="21"/>
                    </w:rPr>
                    <w:t>0m</w:t>
                  </w:r>
                  <w:r>
                    <w:rPr>
                      <w:color w:val="000000"/>
                      <w:sz w:val="21"/>
                      <w:szCs w:val="21"/>
                      <w:vertAlign w:val="superscript"/>
                    </w:rPr>
                    <w:t>3</w:t>
                  </w:r>
                  <w:r>
                    <w:rPr>
                      <w:color w:val="000000"/>
                      <w:sz w:val="21"/>
                      <w:szCs w:val="21"/>
                    </w:rPr>
                    <w:t>）处理</w:t>
                  </w:r>
                  <w:r>
                    <w:rPr>
                      <w:rFonts w:hint="eastAsia"/>
                      <w:color w:val="000000"/>
                      <w:sz w:val="21"/>
                      <w:szCs w:val="21"/>
                    </w:rPr>
                    <w:t>满足</w:t>
                  </w:r>
                  <w:r>
                    <w:rPr>
                      <w:color w:val="000000"/>
                      <w:sz w:val="21"/>
                      <w:szCs w:val="21"/>
                    </w:rPr>
                    <w:t>《污水综合排放标准》（GB8978-1996）表4三级标准和</w:t>
                  </w:r>
                  <w:r>
                    <w:rPr>
                      <w:rFonts w:hint="eastAsia"/>
                      <w:kern w:val="0"/>
                      <w:sz w:val="21"/>
                      <w:szCs w:val="21"/>
                      <w:lang w:val="en-US" w:eastAsia="zh-CN"/>
                    </w:rPr>
                    <w:t>镇平县第二污水处理厂</w:t>
                  </w:r>
                  <w:r>
                    <w:rPr>
                      <w:color w:val="000000"/>
                      <w:sz w:val="21"/>
                      <w:szCs w:val="21"/>
                    </w:rPr>
                    <w:t>进水水质指标要求</w:t>
                  </w:r>
                </w:p>
              </w:tc>
              <w:tc>
                <w:tcPr>
                  <w:tcW w:w="684" w:type="pct"/>
                  <w:tcBorders>
                    <w:tl2br w:val="nil"/>
                    <w:tr2bl w:val="nil"/>
                  </w:tcBorders>
                  <w:vAlign w:val="center"/>
                </w:tcPr>
                <w:p w14:paraId="0F5E6F2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依托现有</w:t>
                  </w:r>
                </w:p>
              </w:tc>
            </w:tr>
            <w:tr w14:paraId="44774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tcBorders>
                    <w:tl2br w:val="nil"/>
                    <w:tr2bl w:val="nil"/>
                  </w:tcBorders>
                  <w:tcMar>
                    <w:top w:w="57" w:type="dxa"/>
                    <w:bottom w:w="57" w:type="dxa"/>
                  </w:tcMar>
                  <w:vAlign w:val="center"/>
                </w:tcPr>
                <w:p w14:paraId="268A2FC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rFonts w:hint="eastAsia"/>
                      <w:sz w:val="21"/>
                      <w:szCs w:val="21"/>
                      <w:u w:val="none"/>
                    </w:rPr>
                    <w:t>噪声</w:t>
                  </w:r>
                </w:p>
              </w:tc>
              <w:tc>
                <w:tcPr>
                  <w:tcW w:w="1555" w:type="pct"/>
                  <w:tcBorders>
                    <w:tl2br w:val="nil"/>
                    <w:tr2bl w:val="nil"/>
                  </w:tcBorders>
                  <w:tcMar>
                    <w:top w:w="57" w:type="dxa"/>
                    <w:bottom w:w="57" w:type="dxa"/>
                  </w:tcMar>
                  <w:vAlign w:val="center"/>
                </w:tcPr>
                <w:p w14:paraId="1413E6A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kern w:val="0"/>
                      <w:sz w:val="21"/>
                      <w:szCs w:val="21"/>
                      <w:u w:val="none"/>
                    </w:rPr>
                  </w:pPr>
                  <w:r>
                    <w:rPr>
                      <w:rFonts w:hint="eastAsia"/>
                      <w:kern w:val="0"/>
                      <w:sz w:val="21"/>
                      <w:szCs w:val="21"/>
                      <w:u w:val="none"/>
                    </w:rPr>
                    <w:t>设备运行噪声</w:t>
                  </w:r>
                </w:p>
              </w:tc>
              <w:tc>
                <w:tcPr>
                  <w:tcW w:w="2358" w:type="pct"/>
                  <w:tcBorders>
                    <w:tl2br w:val="nil"/>
                    <w:tr2bl w:val="nil"/>
                  </w:tcBorders>
                  <w:tcMar>
                    <w:top w:w="57" w:type="dxa"/>
                    <w:bottom w:w="57" w:type="dxa"/>
                  </w:tcMar>
                  <w:vAlign w:val="center"/>
                </w:tcPr>
                <w:p w14:paraId="532E81D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rFonts w:hint="eastAsia"/>
                      <w:sz w:val="21"/>
                      <w:szCs w:val="21"/>
                      <w:u w:val="none"/>
                      <w:lang w:val="en-US" w:eastAsia="zh-CN"/>
                    </w:rPr>
                    <w:t>设备基础减振、隔声罩</w:t>
                  </w:r>
                  <w:r>
                    <w:rPr>
                      <w:rFonts w:hint="eastAsia"/>
                      <w:sz w:val="21"/>
                      <w:szCs w:val="21"/>
                      <w:u w:val="none"/>
                    </w:rPr>
                    <w:t>等</w:t>
                  </w:r>
                </w:p>
              </w:tc>
              <w:tc>
                <w:tcPr>
                  <w:tcW w:w="684" w:type="pct"/>
                  <w:tcBorders>
                    <w:tl2br w:val="nil"/>
                    <w:tr2bl w:val="nil"/>
                  </w:tcBorders>
                  <w:vAlign w:val="center"/>
                </w:tcPr>
                <w:p w14:paraId="44BE794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Theme="minorEastAsia"/>
                      <w:sz w:val="21"/>
                      <w:szCs w:val="21"/>
                      <w:u w:val="none"/>
                      <w:lang w:eastAsia="zh-CN"/>
                    </w:rPr>
                  </w:pPr>
                  <w:r>
                    <w:rPr>
                      <w:rFonts w:hint="eastAsia"/>
                      <w:sz w:val="21"/>
                      <w:szCs w:val="21"/>
                      <w:u w:val="none"/>
                      <w:lang w:val="en-US" w:eastAsia="zh-CN"/>
                    </w:rPr>
                    <w:t>5</w:t>
                  </w:r>
                </w:p>
              </w:tc>
            </w:tr>
            <w:tr w14:paraId="4C1B3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restart"/>
                  <w:tcBorders>
                    <w:tl2br w:val="nil"/>
                    <w:tr2bl w:val="nil"/>
                  </w:tcBorders>
                  <w:tcMar>
                    <w:top w:w="57" w:type="dxa"/>
                    <w:bottom w:w="57" w:type="dxa"/>
                  </w:tcMar>
                  <w:vAlign w:val="center"/>
                </w:tcPr>
                <w:p w14:paraId="783B302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r>
                    <w:rPr>
                      <w:sz w:val="21"/>
                      <w:szCs w:val="21"/>
                      <w:u w:val="none"/>
                    </w:rPr>
                    <w:t>固废</w:t>
                  </w:r>
                </w:p>
              </w:tc>
              <w:tc>
                <w:tcPr>
                  <w:tcW w:w="2662" w:type="dxa"/>
                  <w:tcBorders>
                    <w:tl2br w:val="nil"/>
                    <w:tr2bl w:val="nil"/>
                  </w:tcBorders>
                  <w:tcMar>
                    <w:top w:w="57" w:type="dxa"/>
                    <w:bottom w:w="57" w:type="dxa"/>
                  </w:tcMar>
                  <w:vAlign w:val="center"/>
                </w:tcPr>
                <w:p w14:paraId="3298816C">
                  <w:pPr>
                    <w:pStyle w:val="35"/>
                    <w:ind w:firstLine="0" w:firstLineChars="0"/>
                    <w:rPr>
                      <w:bCs/>
                      <w:sz w:val="21"/>
                      <w:szCs w:val="21"/>
                      <w:u w:val="none"/>
                    </w:rPr>
                  </w:pPr>
                  <w:r>
                    <w:rPr>
                      <w:color w:val="000000" w:themeColor="text1"/>
                      <w14:textFill>
                        <w14:solidFill>
                          <w14:schemeClr w14:val="tx1"/>
                        </w14:solidFill>
                      </w14:textFill>
                    </w:rPr>
                    <w:t>职工生活垃圾</w:t>
                  </w:r>
                </w:p>
              </w:tc>
              <w:tc>
                <w:tcPr>
                  <w:tcW w:w="4037" w:type="dxa"/>
                  <w:tcBorders>
                    <w:tl2br w:val="nil"/>
                    <w:tr2bl w:val="nil"/>
                  </w:tcBorders>
                  <w:tcMar>
                    <w:top w:w="57" w:type="dxa"/>
                    <w:bottom w:w="57" w:type="dxa"/>
                  </w:tcMar>
                  <w:vAlign w:val="center"/>
                </w:tcPr>
                <w:p w14:paraId="4EA0BED6">
                  <w:pPr>
                    <w:pStyle w:val="35"/>
                    <w:ind w:firstLine="0" w:firstLineChars="0"/>
                    <w:rPr>
                      <w:bCs/>
                      <w:sz w:val="21"/>
                      <w:szCs w:val="21"/>
                      <w:u w:val="none"/>
                    </w:rPr>
                  </w:pPr>
                  <w:r>
                    <w:rPr>
                      <w:color w:val="000000" w:themeColor="text1"/>
                      <w14:textFill>
                        <w14:solidFill>
                          <w14:schemeClr w14:val="tx1"/>
                        </w14:solidFill>
                      </w14:textFill>
                    </w:rPr>
                    <w:t>垃圾箱（桶）若干</w:t>
                  </w:r>
                </w:p>
              </w:tc>
              <w:tc>
                <w:tcPr>
                  <w:tcW w:w="1171" w:type="dxa"/>
                  <w:tcBorders>
                    <w:tl2br w:val="nil"/>
                    <w:tr2bl w:val="nil"/>
                  </w:tcBorders>
                  <w:vAlign w:val="center"/>
                </w:tcPr>
                <w:p w14:paraId="0F2178B8">
                  <w:pPr>
                    <w:pStyle w:val="35"/>
                    <w:ind w:firstLine="0" w:firstLineChars="0"/>
                    <w:rPr>
                      <w:rFonts w:hint="default" w:eastAsiaTheme="minorEastAsia"/>
                      <w:sz w:val="21"/>
                      <w:szCs w:val="21"/>
                      <w:u w:val="none"/>
                      <w:lang w:val="en-US" w:eastAsia="zh-CN"/>
                    </w:rPr>
                  </w:pPr>
                  <w:r>
                    <w:rPr>
                      <w:color w:val="000000" w:themeColor="text1"/>
                      <w14:textFill>
                        <w14:solidFill>
                          <w14:schemeClr w14:val="tx1"/>
                        </w14:solidFill>
                      </w14:textFill>
                    </w:rPr>
                    <w:t>1</w:t>
                  </w:r>
                </w:p>
              </w:tc>
            </w:tr>
            <w:tr w14:paraId="7A9E4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46E957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2662" w:type="dxa"/>
                  <w:tcBorders>
                    <w:tl2br w:val="nil"/>
                    <w:tr2bl w:val="nil"/>
                  </w:tcBorders>
                  <w:tcMar>
                    <w:top w:w="57" w:type="dxa"/>
                    <w:bottom w:w="57" w:type="dxa"/>
                  </w:tcMar>
                  <w:vAlign w:val="center"/>
                </w:tcPr>
                <w:p w14:paraId="10418D7F">
                  <w:pPr>
                    <w:pStyle w:val="35"/>
                    <w:ind w:firstLine="0" w:firstLineChars="0"/>
                    <w:rPr>
                      <w:bCs/>
                      <w:sz w:val="21"/>
                      <w:szCs w:val="21"/>
                      <w:u w:val="none"/>
                    </w:rPr>
                  </w:pPr>
                  <w:r>
                    <w:rPr>
                      <w:rFonts w:hint="eastAsia"/>
                      <w:color w:val="000000" w:themeColor="text1"/>
                      <w:lang w:val="en-US" w:eastAsia="zh-CN"/>
                      <w14:textFill>
                        <w14:solidFill>
                          <w14:schemeClr w14:val="tx1"/>
                        </w14:solidFill>
                      </w14:textFill>
                    </w:rPr>
                    <w:t>化粪池污泥</w:t>
                  </w:r>
                </w:p>
              </w:tc>
              <w:tc>
                <w:tcPr>
                  <w:tcW w:w="4037" w:type="dxa"/>
                  <w:tcBorders>
                    <w:tl2br w:val="nil"/>
                    <w:tr2bl w:val="nil"/>
                  </w:tcBorders>
                  <w:tcMar>
                    <w:top w:w="57" w:type="dxa"/>
                    <w:bottom w:w="57" w:type="dxa"/>
                  </w:tcMar>
                  <w:vAlign w:val="center"/>
                </w:tcPr>
                <w:p w14:paraId="21166A38">
                  <w:pPr>
                    <w:pStyle w:val="35"/>
                    <w:ind w:firstLine="0" w:firstLineChars="0"/>
                    <w:rPr>
                      <w:rFonts w:hint="eastAsia"/>
                      <w:bCs/>
                      <w:sz w:val="21"/>
                      <w:szCs w:val="21"/>
                      <w:u w:val="none"/>
                    </w:rPr>
                  </w:pPr>
                  <w:r>
                    <w:rPr>
                      <w:rFonts w:hint="default"/>
                      <w:color w:val="000000" w:themeColor="text1"/>
                      <w14:textFill>
                        <w14:solidFill>
                          <w14:schemeClr w14:val="tx1"/>
                        </w14:solidFill>
                      </w14:textFill>
                    </w:rPr>
                    <w:t>由专用吸污车定期清掏，干化后委托环卫部门清运处理</w:t>
                  </w:r>
                </w:p>
              </w:tc>
              <w:tc>
                <w:tcPr>
                  <w:tcW w:w="1171" w:type="dxa"/>
                  <w:tcBorders>
                    <w:tl2br w:val="nil"/>
                    <w:tr2bl w:val="nil"/>
                  </w:tcBorders>
                  <w:vAlign w:val="center"/>
                </w:tcPr>
                <w:p w14:paraId="4042B94C">
                  <w:pPr>
                    <w:pStyle w:val="35"/>
                    <w:ind w:firstLine="0" w:firstLineChars="0"/>
                    <w:rPr>
                      <w:rFonts w:hint="default" w:eastAsiaTheme="minorEastAsia"/>
                      <w:sz w:val="21"/>
                      <w:szCs w:val="21"/>
                      <w:u w:val="none"/>
                      <w:lang w:val="en-US" w:eastAsia="zh-CN"/>
                    </w:rPr>
                  </w:pPr>
                  <w:r>
                    <w:rPr>
                      <w:rFonts w:hint="eastAsia"/>
                      <w:color w:val="000000" w:themeColor="text1"/>
                      <w:lang w:val="en-US" w:eastAsia="zh-CN"/>
                      <w14:textFill>
                        <w14:solidFill>
                          <w14:schemeClr w14:val="tx1"/>
                        </w14:solidFill>
                      </w14:textFill>
                    </w:rPr>
                    <w:t>1</w:t>
                  </w:r>
                </w:p>
              </w:tc>
            </w:tr>
            <w:tr w14:paraId="0B495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24C9DF6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2662" w:type="dxa"/>
                  <w:tcBorders>
                    <w:tl2br w:val="nil"/>
                    <w:tr2bl w:val="nil"/>
                  </w:tcBorders>
                  <w:tcMar>
                    <w:top w:w="57" w:type="dxa"/>
                    <w:bottom w:w="57" w:type="dxa"/>
                  </w:tcMar>
                  <w:vAlign w:val="center"/>
                </w:tcPr>
                <w:p w14:paraId="7E042441">
                  <w:pPr>
                    <w:pStyle w:val="35"/>
                    <w:ind w:firstLine="0" w:firstLineChars="0"/>
                    <w:rPr>
                      <w:rFonts w:hint="eastAsia" w:eastAsiaTheme="minorEastAsia"/>
                      <w:bCs/>
                      <w:sz w:val="21"/>
                      <w:szCs w:val="21"/>
                      <w:u w:val="none"/>
                      <w:lang w:eastAsia="zh-CN"/>
                    </w:rPr>
                  </w:pPr>
                  <w:r>
                    <w:rPr>
                      <w:color w:val="000000" w:themeColor="text1"/>
                      <w14:textFill>
                        <w14:solidFill>
                          <w14:schemeClr w14:val="tx1"/>
                        </w14:solidFill>
                      </w14:textFill>
                    </w:rPr>
                    <w:t>一般固废</w:t>
                  </w:r>
                </w:p>
              </w:tc>
              <w:tc>
                <w:tcPr>
                  <w:tcW w:w="4037" w:type="dxa"/>
                  <w:tcBorders>
                    <w:tl2br w:val="nil"/>
                    <w:tr2bl w:val="nil"/>
                  </w:tcBorders>
                  <w:tcMar>
                    <w:top w:w="57" w:type="dxa"/>
                    <w:bottom w:w="57" w:type="dxa"/>
                  </w:tcMar>
                  <w:vAlign w:val="center"/>
                </w:tcPr>
                <w:p w14:paraId="2415CC81">
                  <w:pPr>
                    <w:pStyle w:val="35"/>
                    <w:ind w:firstLine="0" w:firstLineChars="0"/>
                    <w:rPr>
                      <w:bCs/>
                      <w:sz w:val="21"/>
                      <w:szCs w:val="21"/>
                      <w:u w:val="none"/>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的一般固废暂存间</w:t>
                  </w:r>
                </w:p>
              </w:tc>
              <w:tc>
                <w:tcPr>
                  <w:tcW w:w="1171" w:type="dxa"/>
                  <w:tcBorders>
                    <w:tl2br w:val="nil"/>
                    <w:tr2bl w:val="nil"/>
                  </w:tcBorders>
                  <w:vAlign w:val="center"/>
                </w:tcPr>
                <w:p w14:paraId="1C7FC662">
                  <w:pPr>
                    <w:pStyle w:val="35"/>
                    <w:ind w:firstLine="0" w:firstLineChars="0"/>
                    <w:rPr>
                      <w:rFonts w:hint="eastAsia" w:eastAsiaTheme="minorEastAsia"/>
                      <w:sz w:val="21"/>
                      <w:szCs w:val="21"/>
                      <w:u w:val="none"/>
                      <w:lang w:val="en-US" w:eastAsia="zh-CN"/>
                    </w:rPr>
                  </w:pPr>
                  <w:r>
                    <w:rPr>
                      <w:rFonts w:hint="eastAsia" w:eastAsiaTheme="minorEastAsia"/>
                      <w:color w:val="000000" w:themeColor="text1"/>
                      <w:lang w:val="en-US" w:eastAsia="zh-CN"/>
                      <w14:textFill>
                        <w14:solidFill>
                          <w14:schemeClr w14:val="tx1"/>
                        </w14:solidFill>
                      </w14:textFill>
                    </w:rPr>
                    <w:t>4</w:t>
                  </w:r>
                </w:p>
              </w:tc>
            </w:tr>
            <w:tr w14:paraId="189E1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02" w:type="pct"/>
                  <w:vMerge w:val="continue"/>
                  <w:tcBorders>
                    <w:tl2br w:val="nil"/>
                    <w:tr2bl w:val="nil"/>
                  </w:tcBorders>
                  <w:tcMar>
                    <w:top w:w="57" w:type="dxa"/>
                    <w:bottom w:w="57" w:type="dxa"/>
                  </w:tcMar>
                  <w:vAlign w:val="center"/>
                </w:tcPr>
                <w:p w14:paraId="307179C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u w:val="none"/>
                    </w:rPr>
                  </w:pPr>
                </w:p>
              </w:tc>
              <w:tc>
                <w:tcPr>
                  <w:tcW w:w="2662" w:type="dxa"/>
                  <w:tcBorders>
                    <w:tl2br w:val="nil"/>
                    <w:tr2bl w:val="nil"/>
                  </w:tcBorders>
                  <w:tcMar>
                    <w:top w:w="57" w:type="dxa"/>
                    <w:bottom w:w="57" w:type="dxa"/>
                  </w:tcMar>
                  <w:vAlign w:val="center"/>
                </w:tcPr>
                <w:p w14:paraId="18829E62">
                  <w:pPr>
                    <w:pStyle w:val="35"/>
                    <w:ind w:firstLine="0" w:firstLineChars="0"/>
                    <w:rPr>
                      <w:rFonts w:hint="eastAsia" w:eastAsiaTheme="minorEastAsia"/>
                      <w:bCs/>
                      <w:sz w:val="21"/>
                      <w:szCs w:val="21"/>
                      <w:u w:val="none"/>
                      <w:lang w:eastAsia="zh-CN"/>
                    </w:rPr>
                  </w:pPr>
                  <w:r>
                    <w:rPr>
                      <w:color w:val="000000" w:themeColor="text1"/>
                      <w14:textFill>
                        <w14:solidFill>
                          <w14:schemeClr w14:val="tx1"/>
                        </w14:solidFill>
                      </w14:textFill>
                    </w:rPr>
                    <w:t>危险废物</w:t>
                  </w:r>
                </w:p>
              </w:tc>
              <w:tc>
                <w:tcPr>
                  <w:tcW w:w="4037" w:type="dxa"/>
                  <w:tcBorders>
                    <w:tl2br w:val="nil"/>
                    <w:tr2bl w:val="nil"/>
                  </w:tcBorders>
                  <w:tcMar>
                    <w:top w:w="57" w:type="dxa"/>
                    <w:bottom w:w="57" w:type="dxa"/>
                  </w:tcMar>
                  <w:vAlign w:val="center"/>
                </w:tcPr>
                <w:p w14:paraId="0EF6598B">
                  <w:pPr>
                    <w:pStyle w:val="35"/>
                    <w:ind w:firstLine="0" w:firstLineChars="0"/>
                    <w:rPr>
                      <w:bCs/>
                      <w:sz w:val="21"/>
                      <w:szCs w:val="21"/>
                      <w:u w:val="none"/>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有“六防”措施的危废暂存间</w:t>
                  </w:r>
                </w:p>
              </w:tc>
              <w:tc>
                <w:tcPr>
                  <w:tcW w:w="1171" w:type="dxa"/>
                  <w:tcBorders>
                    <w:tl2br w:val="nil"/>
                    <w:tr2bl w:val="nil"/>
                  </w:tcBorders>
                  <w:vAlign w:val="center"/>
                </w:tcPr>
                <w:p w14:paraId="65DD32A8">
                  <w:pPr>
                    <w:pStyle w:val="35"/>
                    <w:ind w:firstLine="0" w:firstLineChars="0"/>
                    <w:rPr>
                      <w:rFonts w:hint="default" w:eastAsiaTheme="minorEastAsia"/>
                      <w:sz w:val="21"/>
                      <w:szCs w:val="21"/>
                      <w:u w:val="none"/>
                      <w:lang w:val="en-US" w:eastAsia="zh-CN"/>
                    </w:rPr>
                  </w:pPr>
                  <w:r>
                    <w:rPr>
                      <w:rFonts w:hint="eastAsia"/>
                      <w:color w:val="000000" w:themeColor="text1"/>
                      <w:lang w:val="en-US" w:eastAsia="zh-CN"/>
                      <w14:textFill>
                        <w14:solidFill>
                          <w14:schemeClr w14:val="tx1"/>
                        </w14:solidFill>
                      </w14:textFill>
                    </w:rPr>
                    <w:t>8</w:t>
                  </w:r>
                </w:p>
              </w:tc>
            </w:tr>
            <w:tr w14:paraId="187C9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88" w:type="dxa"/>
                  <w:vMerge w:val="restart"/>
                  <w:tcBorders>
                    <w:tl2br w:val="nil"/>
                    <w:tr2bl w:val="nil"/>
                  </w:tcBorders>
                  <w:tcMar>
                    <w:top w:w="57" w:type="dxa"/>
                    <w:bottom w:w="57" w:type="dxa"/>
                  </w:tcMar>
                  <w:vAlign w:val="center"/>
                </w:tcPr>
                <w:p w14:paraId="2E8C271C">
                  <w:pPr>
                    <w:pStyle w:val="35"/>
                    <w:ind w:firstLine="0" w:firstLineChars="0"/>
                    <w:rPr>
                      <w:sz w:val="21"/>
                      <w:szCs w:val="21"/>
                      <w:u w:val="none"/>
                    </w:rPr>
                  </w:pPr>
                  <w:r>
                    <w:rPr>
                      <w:color w:val="000000" w:themeColor="text1"/>
                      <w14:textFill>
                        <w14:solidFill>
                          <w14:schemeClr w14:val="tx1"/>
                        </w14:solidFill>
                      </w14:textFill>
                    </w:rPr>
                    <w:t>其他</w:t>
                  </w:r>
                </w:p>
              </w:tc>
              <w:tc>
                <w:tcPr>
                  <w:tcW w:w="2662" w:type="dxa"/>
                  <w:vMerge w:val="restart"/>
                  <w:tcBorders>
                    <w:tl2br w:val="nil"/>
                    <w:tr2bl w:val="nil"/>
                  </w:tcBorders>
                  <w:tcMar>
                    <w:top w:w="57" w:type="dxa"/>
                    <w:bottom w:w="57" w:type="dxa"/>
                  </w:tcMar>
                  <w:vAlign w:val="center"/>
                </w:tcPr>
                <w:p w14:paraId="57CF882E">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风险防范措施</w:t>
                  </w:r>
                </w:p>
              </w:tc>
              <w:tc>
                <w:tcPr>
                  <w:tcW w:w="4037" w:type="dxa"/>
                  <w:tcBorders>
                    <w:tl2br w:val="nil"/>
                    <w:tr2bl w:val="nil"/>
                  </w:tcBorders>
                  <w:tcMar>
                    <w:top w:w="57" w:type="dxa"/>
                    <w:bottom w:w="57" w:type="dxa"/>
                  </w:tcMar>
                  <w:vAlign w:val="center"/>
                </w:tcPr>
                <w:p w14:paraId="483DD423">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车间设置禁火标识，在仓库以及危废暂存间配备消防沙、灭火器等消防器材</w:t>
                  </w:r>
                </w:p>
              </w:tc>
              <w:tc>
                <w:tcPr>
                  <w:tcW w:w="1171" w:type="dxa"/>
                  <w:tcBorders>
                    <w:tl2br w:val="nil"/>
                    <w:tr2bl w:val="nil"/>
                  </w:tcBorders>
                  <w:vAlign w:val="center"/>
                </w:tcPr>
                <w:p w14:paraId="3808CDBA">
                  <w:pPr>
                    <w:pStyle w:val="35"/>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2</w:t>
                  </w:r>
                </w:p>
              </w:tc>
            </w:tr>
            <w:tr w14:paraId="527F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88" w:type="dxa"/>
                  <w:vMerge w:val="continue"/>
                  <w:tcBorders>
                    <w:tl2br w:val="nil"/>
                    <w:tr2bl w:val="nil"/>
                  </w:tcBorders>
                  <w:tcMar>
                    <w:top w:w="57" w:type="dxa"/>
                    <w:bottom w:w="57" w:type="dxa"/>
                  </w:tcMar>
                  <w:vAlign w:val="center"/>
                </w:tcPr>
                <w:p w14:paraId="65D59DFE">
                  <w:pPr>
                    <w:pStyle w:val="35"/>
                    <w:ind w:firstLine="0" w:firstLineChars="0"/>
                    <w:rPr>
                      <w:sz w:val="21"/>
                      <w:szCs w:val="21"/>
                      <w:u w:val="none"/>
                    </w:rPr>
                  </w:pPr>
                </w:p>
              </w:tc>
              <w:tc>
                <w:tcPr>
                  <w:tcW w:w="2662" w:type="dxa"/>
                  <w:vMerge w:val="continue"/>
                  <w:tcBorders>
                    <w:tl2br w:val="nil"/>
                    <w:tr2bl w:val="nil"/>
                  </w:tcBorders>
                  <w:tcMar>
                    <w:top w:w="57" w:type="dxa"/>
                    <w:bottom w:w="57" w:type="dxa"/>
                  </w:tcMar>
                  <w:vAlign w:val="center"/>
                </w:tcPr>
                <w:p w14:paraId="4DC7513A">
                  <w:pPr>
                    <w:pStyle w:val="35"/>
                    <w:ind w:firstLine="0" w:firstLineChars="0"/>
                    <w:rPr>
                      <w:color w:val="000000" w:themeColor="text1"/>
                      <w14:textFill>
                        <w14:solidFill>
                          <w14:schemeClr w14:val="tx1"/>
                        </w14:solidFill>
                      </w14:textFill>
                    </w:rPr>
                  </w:pPr>
                </w:p>
              </w:tc>
              <w:tc>
                <w:tcPr>
                  <w:tcW w:w="4037" w:type="dxa"/>
                  <w:tcBorders>
                    <w:tl2br w:val="nil"/>
                    <w:tr2bl w:val="nil"/>
                  </w:tcBorders>
                  <w:tcMar>
                    <w:top w:w="57" w:type="dxa"/>
                    <w:bottom w:w="57" w:type="dxa"/>
                  </w:tcMar>
                  <w:vAlign w:val="center"/>
                </w:tcPr>
                <w:p w14:paraId="69096530">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制定针对车间、原料泄露的现场应急处置方案，加强员工生产安全培训及事故应急处理培训</w:t>
                  </w:r>
                </w:p>
              </w:tc>
              <w:tc>
                <w:tcPr>
                  <w:tcW w:w="1171" w:type="dxa"/>
                  <w:tcBorders>
                    <w:tl2br w:val="nil"/>
                    <w:tr2bl w:val="nil"/>
                  </w:tcBorders>
                  <w:vAlign w:val="center"/>
                </w:tcPr>
                <w:p w14:paraId="202FED83">
                  <w:pPr>
                    <w:pStyle w:val="35"/>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1</w:t>
                  </w:r>
                </w:p>
              </w:tc>
            </w:tr>
            <w:tr w14:paraId="798CC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88" w:type="dxa"/>
                  <w:vMerge w:val="continue"/>
                  <w:tcBorders>
                    <w:tl2br w:val="nil"/>
                    <w:tr2bl w:val="nil"/>
                  </w:tcBorders>
                  <w:tcMar>
                    <w:top w:w="57" w:type="dxa"/>
                    <w:bottom w:w="57" w:type="dxa"/>
                  </w:tcMar>
                  <w:vAlign w:val="center"/>
                </w:tcPr>
                <w:p w14:paraId="2D21F736">
                  <w:pPr>
                    <w:pStyle w:val="35"/>
                    <w:ind w:firstLine="0" w:firstLineChars="0"/>
                    <w:rPr>
                      <w:sz w:val="21"/>
                      <w:szCs w:val="21"/>
                      <w:u w:val="none"/>
                    </w:rPr>
                  </w:pPr>
                </w:p>
              </w:tc>
              <w:tc>
                <w:tcPr>
                  <w:tcW w:w="2662" w:type="dxa"/>
                  <w:vMerge w:val="continue"/>
                  <w:tcBorders>
                    <w:tl2br w:val="nil"/>
                    <w:tr2bl w:val="nil"/>
                  </w:tcBorders>
                  <w:tcMar>
                    <w:top w:w="57" w:type="dxa"/>
                    <w:bottom w:w="57" w:type="dxa"/>
                  </w:tcMar>
                  <w:vAlign w:val="center"/>
                </w:tcPr>
                <w:p w14:paraId="4AE324A6">
                  <w:pPr>
                    <w:pStyle w:val="35"/>
                    <w:ind w:firstLine="0" w:firstLineChars="0"/>
                    <w:rPr>
                      <w:color w:val="000000" w:themeColor="text1"/>
                      <w14:textFill>
                        <w14:solidFill>
                          <w14:schemeClr w14:val="tx1"/>
                        </w14:solidFill>
                      </w14:textFill>
                    </w:rPr>
                  </w:pPr>
                </w:p>
              </w:tc>
              <w:tc>
                <w:tcPr>
                  <w:tcW w:w="4037" w:type="dxa"/>
                  <w:tcBorders>
                    <w:tl2br w:val="nil"/>
                    <w:tr2bl w:val="nil"/>
                  </w:tcBorders>
                  <w:tcMar>
                    <w:top w:w="57" w:type="dxa"/>
                    <w:bottom w:w="57" w:type="dxa"/>
                  </w:tcMar>
                  <w:vAlign w:val="center"/>
                </w:tcPr>
                <w:p w14:paraId="39F6776A">
                  <w:pPr>
                    <w:pStyle w:val="35"/>
                    <w:ind w:firstLine="0" w:firstLineChars="0"/>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废水处理设置</w:t>
                  </w:r>
                  <w:r>
                    <w:rPr>
                      <w:color w:val="000000" w:themeColor="text1"/>
                      <w:szCs w:val="21"/>
                      <w14:textFill>
                        <w14:solidFill>
                          <w14:schemeClr w14:val="tx1"/>
                        </w14:solidFill>
                      </w14:textFill>
                    </w:rPr>
                    <w:t>设置1座</w:t>
                  </w: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00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的事故应急池，并配收集管道</w:t>
                  </w:r>
                </w:p>
              </w:tc>
              <w:tc>
                <w:tcPr>
                  <w:tcW w:w="1171" w:type="dxa"/>
                  <w:tcBorders>
                    <w:tl2br w:val="nil"/>
                    <w:tr2bl w:val="nil"/>
                  </w:tcBorders>
                  <w:vAlign w:val="center"/>
                </w:tcPr>
                <w:p w14:paraId="6BEEAC23">
                  <w:pPr>
                    <w:pStyle w:val="35"/>
                    <w:ind w:firstLine="0" w:firstLine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r>
            <w:tr w14:paraId="54534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88" w:type="dxa"/>
                  <w:vMerge w:val="continue"/>
                  <w:tcBorders>
                    <w:tl2br w:val="nil"/>
                    <w:tr2bl w:val="nil"/>
                  </w:tcBorders>
                  <w:tcMar>
                    <w:top w:w="57" w:type="dxa"/>
                    <w:bottom w:w="57" w:type="dxa"/>
                  </w:tcMar>
                  <w:vAlign w:val="center"/>
                </w:tcPr>
                <w:p w14:paraId="6133A8C2">
                  <w:pPr>
                    <w:pStyle w:val="35"/>
                    <w:ind w:firstLine="0" w:firstLineChars="0"/>
                    <w:rPr>
                      <w:sz w:val="21"/>
                      <w:szCs w:val="21"/>
                      <w:u w:val="none"/>
                    </w:rPr>
                  </w:pPr>
                </w:p>
              </w:tc>
              <w:tc>
                <w:tcPr>
                  <w:tcW w:w="2662" w:type="dxa"/>
                  <w:tcBorders>
                    <w:tl2br w:val="nil"/>
                    <w:tr2bl w:val="nil"/>
                  </w:tcBorders>
                  <w:tcMar>
                    <w:top w:w="57" w:type="dxa"/>
                    <w:bottom w:w="57" w:type="dxa"/>
                  </w:tcMar>
                  <w:vAlign w:val="center"/>
                </w:tcPr>
                <w:p w14:paraId="68792D14">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地下水、土壤防渗措施</w:t>
                  </w:r>
                </w:p>
              </w:tc>
              <w:tc>
                <w:tcPr>
                  <w:tcW w:w="4037" w:type="dxa"/>
                  <w:tcBorders>
                    <w:tl2br w:val="nil"/>
                    <w:tr2bl w:val="nil"/>
                  </w:tcBorders>
                  <w:tcMar>
                    <w:top w:w="57" w:type="dxa"/>
                    <w:bottom w:w="57" w:type="dxa"/>
                  </w:tcMar>
                  <w:vAlign w:val="center"/>
                </w:tcPr>
                <w:p w14:paraId="0064A0EC">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根据本次评价防渗分区要求进行分区防渗</w:t>
                  </w:r>
                </w:p>
              </w:tc>
              <w:tc>
                <w:tcPr>
                  <w:tcW w:w="1171" w:type="dxa"/>
                  <w:tcBorders>
                    <w:tl2br w:val="nil"/>
                    <w:tr2bl w:val="nil"/>
                  </w:tcBorders>
                  <w:vAlign w:val="center"/>
                </w:tcPr>
                <w:p w14:paraId="13CFF8A7">
                  <w:pPr>
                    <w:pStyle w:val="35"/>
                    <w:ind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t>10</w:t>
                  </w:r>
                </w:p>
              </w:tc>
            </w:tr>
            <w:tr w14:paraId="4A290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315" w:type="pct"/>
                  <w:gridSpan w:val="3"/>
                  <w:tcBorders>
                    <w:tl2br w:val="nil"/>
                    <w:tr2bl w:val="nil"/>
                  </w:tcBorders>
                  <w:tcMar>
                    <w:top w:w="57" w:type="dxa"/>
                    <w:bottom w:w="57" w:type="dxa"/>
                  </w:tcMar>
                  <w:vAlign w:val="center"/>
                </w:tcPr>
                <w:p w14:paraId="21A9A1F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sz w:val="21"/>
                      <w:szCs w:val="21"/>
                      <w:u w:val="none"/>
                      <w:lang w:val="en-US" w:eastAsia="zh-CN"/>
                    </w:rPr>
                  </w:pPr>
                  <w:r>
                    <w:rPr>
                      <w:rFonts w:hint="eastAsia" w:ascii="Times New Roman" w:hAnsi="Times New Roman"/>
                      <w:sz w:val="21"/>
                      <w:szCs w:val="21"/>
                      <w:u w:val="none"/>
                      <w:lang w:val="en-US" w:eastAsia="zh-CN"/>
                    </w:rPr>
                    <w:t>合计</w:t>
                  </w:r>
                </w:p>
              </w:tc>
              <w:tc>
                <w:tcPr>
                  <w:tcW w:w="684" w:type="pct"/>
                  <w:tcBorders>
                    <w:tl2br w:val="nil"/>
                    <w:tr2bl w:val="nil"/>
                  </w:tcBorders>
                  <w:vAlign w:val="center"/>
                </w:tcPr>
                <w:p w14:paraId="4035C37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sz w:val="21"/>
                      <w:szCs w:val="21"/>
                      <w:u w:val="none"/>
                      <w:lang w:val="en-US" w:eastAsia="zh-CN"/>
                    </w:rPr>
                  </w:pPr>
                  <w:r>
                    <w:rPr>
                      <w:rFonts w:hint="eastAsia"/>
                      <w:sz w:val="21"/>
                      <w:szCs w:val="21"/>
                      <w:u w:val="none"/>
                      <w:lang w:val="en-US" w:eastAsia="zh-CN"/>
                    </w:rPr>
                    <w:t>93</w:t>
                  </w:r>
                </w:p>
              </w:tc>
            </w:tr>
          </w:tbl>
          <w:p w14:paraId="5E50E6F8">
            <w:pPr>
              <w:pStyle w:val="4"/>
              <w:rPr>
                <w:rFonts w:hint="eastAsia"/>
                <w:lang w:val="en-US" w:eastAsia="zh-CN"/>
              </w:rPr>
            </w:pPr>
          </w:p>
          <w:p w14:paraId="70540582">
            <w:pPr>
              <w:spacing w:line="360" w:lineRule="auto"/>
              <w:ind w:left="0" w:leftChars="0" w:firstLine="0" w:firstLineChars="0"/>
              <w:rPr>
                <w:rFonts w:hint="default" w:hAnsi="宋体"/>
                <w:b w:val="0"/>
                <w:bCs w:val="0"/>
                <w:u w:val="none"/>
                <w:lang w:val="en-US" w:eastAsia="zh-CN"/>
              </w:rPr>
            </w:pPr>
          </w:p>
          <w:p w14:paraId="451A310F">
            <w:pPr>
              <w:spacing w:line="360" w:lineRule="auto"/>
              <w:ind w:left="0" w:leftChars="0" w:firstLine="0" w:firstLineChars="0"/>
              <w:rPr>
                <w:rFonts w:hint="default" w:hAnsi="宋体"/>
                <w:b w:val="0"/>
                <w:bCs w:val="0"/>
                <w:u w:val="none"/>
                <w:lang w:val="en-US" w:eastAsia="zh-CN"/>
              </w:rPr>
            </w:pPr>
          </w:p>
          <w:p w14:paraId="7A54B347">
            <w:pPr>
              <w:ind w:left="0" w:leftChars="0" w:firstLine="0" w:firstLineChars="0"/>
              <w:rPr>
                <w:rFonts w:hint="eastAsia"/>
                <w:lang w:val="en-US" w:eastAsia="zh-CN"/>
              </w:rPr>
            </w:pPr>
          </w:p>
        </w:tc>
      </w:tr>
    </w:tbl>
    <w:p w14:paraId="2EAC6D49">
      <w:pPr>
        <w:ind w:left="0" w:leftChars="0" w:firstLine="0" w:firstLineChars="0"/>
        <w:jc w:val="both"/>
        <w:sectPr>
          <w:pgSz w:w="11906" w:h="16838"/>
          <w:pgMar w:top="1440" w:right="1440" w:bottom="1440" w:left="1440" w:header="851" w:footer="992" w:gutter="0"/>
          <w:cols w:space="0" w:num="1"/>
          <w:rtlGutter w:val="0"/>
          <w:docGrid w:type="lines" w:linePitch="312" w:charSpace="0"/>
        </w:sectPr>
      </w:pPr>
    </w:p>
    <w:p w14:paraId="38C33154">
      <w:pPr>
        <w:pStyle w:val="2"/>
        <w:spacing w:before="31" w:beforeLines="10" w:after="6" w:afterLines="2"/>
        <w:jc w:val="center"/>
        <w:rPr>
          <w:color w:val="000000" w:themeColor="text1"/>
          <w14:textFill>
            <w14:solidFill>
              <w14:schemeClr w14:val="tx1"/>
            </w14:solidFill>
          </w14:textFill>
        </w:rPr>
      </w:pPr>
      <w:bookmarkStart w:id="33" w:name="_Toc28928"/>
      <w:bookmarkStart w:id="34" w:name="_Toc8221"/>
      <w:bookmarkStart w:id="35" w:name="_Toc422"/>
      <w:bookmarkStart w:id="36" w:name="_Toc19060"/>
      <w:r>
        <w:rPr>
          <w:rFonts w:hint="eastAsia"/>
          <w:color w:val="000000" w:themeColor="text1"/>
          <w14:textFill>
            <w14:solidFill>
              <w14:schemeClr w14:val="tx1"/>
            </w14:solidFill>
          </w14:textFill>
        </w:rPr>
        <w:t>五、环境保护措施监督检查清单</w:t>
      </w:r>
      <w:bookmarkEnd w:id="33"/>
      <w:bookmarkEnd w:id="34"/>
      <w:bookmarkEnd w:id="35"/>
      <w:bookmarkEnd w:id="36"/>
    </w:p>
    <w:tbl>
      <w:tblPr>
        <w:tblStyle w:val="29"/>
        <w:tblW w:w="0" w:type="auto"/>
        <w:jc w:val="center"/>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fixed"/>
        <w:tblCellMar>
          <w:top w:w="0" w:type="dxa"/>
          <w:left w:w="57" w:type="dxa"/>
          <w:bottom w:w="0" w:type="dxa"/>
          <w:right w:w="57" w:type="dxa"/>
        </w:tblCellMar>
      </w:tblPr>
      <w:tblGrid>
        <w:gridCol w:w="1021"/>
        <w:gridCol w:w="1455"/>
        <w:gridCol w:w="1350"/>
        <w:gridCol w:w="2430"/>
        <w:gridCol w:w="2702"/>
      </w:tblGrid>
      <w:tr w14:paraId="44C3BE2F">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tcBorders>
              <w:tl2br w:val="single" w:color="000000" w:themeColor="text1" w:sz="4" w:space="0"/>
            </w:tcBorders>
            <w:vAlign w:val="center"/>
          </w:tcPr>
          <w:p w14:paraId="3B66F595">
            <w:pPr>
              <w:spacing w:line="240" w:lineRule="auto"/>
              <w:ind w:firstLine="0" w:firstLineChars="0"/>
              <w:jc w:val="right"/>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内容</w:t>
            </w:r>
          </w:p>
          <w:p w14:paraId="0FF09021">
            <w:pPr>
              <w:spacing w:line="240" w:lineRule="auto"/>
              <w:ind w:firstLine="0" w:firstLineChars="0"/>
              <w:jc w:val="left"/>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要素</w:t>
            </w:r>
          </w:p>
        </w:tc>
        <w:tc>
          <w:tcPr>
            <w:tcW w:w="1455" w:type="dxa"/>
            <w:vAlign w:val="center"/>
          </w:tcPr>
          <w:p w14:paraId="4671DEE3">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排放口（编号、名称）/污染源</w:t>
            </w:r>
          </w:p>
        </w:tc>
        <w:tc>
          <w:tcPr>
            <w:tcW w:w="1350" w:type="dxa"/>
            <w:vAlign w:val="center"/>
          </w:tcPr>
          <w:p w14:paraId="253EB2EC">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污染物</w:t>
            </w:r>
          </w:p>
        </w:tc>
        <w:tc>
          <w:tcPr>
            <w:tcW w:w="2430" w:type="dxa"/>
            <w:vAlign w:val="center"/>
          </w:tcPr>
          <w:p w14:paraId="1FD17E0D">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环境保护措施</w:t>
            </w:r>
          </w:p>
        </w:tc>
        <w:tc>
          <w:tcPr>
            <w:tcW w:w="2702" w:type="dxa"/>
            <w:vAlign w:val="center"/>
          </w:tcPr>
          <w:p w14:paraId="49DBC31A">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执行标准</w:t>
            </w:r>
          </w:p>
        </w:tc>
      </w:tr>
      <w:tr w14:paraId="098DAAC4">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restart"/>
            <w:vAlign w:val="center"/>
          </w:tcPr>
          <w:p w14:paraId="7337B50D">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大气环境</w:t>
            </w:r>
          </w:p>
        </w:tc>
        <w:tc>
          <w:tcPr>
            <w:tcW w:w="1455" w:type="dxa"/>
            <w:vAlign w:val="center"/>
          </w:tcPr>
          <w:p w14:paraId="140A967E">
            <w:pPr>
              <w:pStyle w:val="35"/>
              <w:ind w:firstLine="0" w:firstLineChars="0"/>
              <w:rPr>
                <w:rFonts w:hint="default" w:eastAsiaTheme="minorEastAsia"/>
                <w:color w:val="000000" w:themeColor="text1"/>
                <w:sz w:val="21"/>
                <w:szCs w:val="21"/>
                <w:u w:val="none" w:color="auto"/>
                <w14:textFill>
                  <w14:solidFill>
                    <w14:schemeClr w14:val="tx1"/>
                  </w14:solidFill>
                </w14:textFill>
              </w:rPr>
            </w:pPr>
            <w:r>
              <w:rPr>
                <w:rFonts w:hint="default" w:ascii="Times New Roman" w:hAnsi="Times New Roman" w:cs="Times New Roman"/>
                <w:b w:val="0"/>
                <w:bCs w:val="0"/>
                <w:color w:val="auto"/>
                <w:kern w:val="0"/>
                <w:sz w:val="21"/>
                <w:szCs w:val="21"/>
                <w:highlight w:val="none"/>
                <w:u w:val="none" w:color="auto"/>
                <w:lang w:val="en-US" w:eastAsia="zh-CN" w:bidi="ar-SA"/>
              </w:rPr>
              <w:t>熔炼</w:t>
            </w:r>
            <w:r>
              <w:rPr>
                <w:rFonts w:hint="eastAsia" w:ascii="Times New Roman" w:hAnsi="Times New Roman" w:cs="Times New Roman"/>
                <w:b w:val="0"/>
                <w:bCs w:val="0"/>
                <w:color w:val="auto"/>
                <w:kern w:val="0"/>
                <w:sz w:val="21"/>
                <w:szCs w:val="21"/>
                <w:highlight w:val="none"/>
                <w:u w:val="none" w:color="auto"/>
                <w:lang w:val="en-US" w:eastAsia="zh-CN" w:bidi="ar-SA"/>
              </w:rPr>
              <w:t>工序</w:t>
            </w:r>
          </w:p>
        </w:tc>
        <w:tc>
          <w:tcPr>
            <w:tcW w:w="1350" w:type="dxa"/>
            <w:vAlign w:val="center"/>
          </w:tcPr>
          <w:p w14:paraId="602F4AD1">
            <w:pPr>
              <w:pStyle w:val="35"/>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430" w:type="dxa"/>
            <w:vAlign w:val="center"/>
          </w:tcPr>
          <w:p w14:paraId="141C2BD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Theme="minorEastAsia"/>
                <w:color w:val="000000" w:themeColor="text1"/>
                <w:sz w:val="21"/>
                <w:szCs w:val="21"/>
                <w:u w:val="none" w:color="auto"/>
                <w14:textFill>
                  <w14:solidFill>
                    <w14:schemeClr w14:val="tx1"/>
                  </w14:solidFill>
                </w14:textFill>
              </w:rPr>
            </w:pPr>
            <w:r>
              <w:rPr>
                <w:rFonts w:hint="eastAsia"/>
                <w:color w:val="000000"/>
                <w:sz w:val="21"/>
                <w:szCs w:val="21"/>
                <w:u w:val="none" w:color="auto"/>
              </w:rPr>
              <w:t>集气罩收集，经1套耐高温袋式除尘器处理后，经1根15m高排气筒排放</w:t>
            </w:r>
          </w:p>
        </w:tc>
        <w:tc>
          <w:tcPr>
            <w:tcW w:w="2702" w:type="dxa"/>
            <w:vAlign w:val="center"/>
          </w:tcPr>
          <w:p w14:paraId="488FB5AD">
            <w:pPr>
              <w:pStyle w:val="35"/>
              <w:rPr>
                <w:rFonts w:hint="eastAsia" w:eastAsia="宋体"/>
                <w:color w:val="000000" w:themeColor="text1"/>
                <w:sz w:val="21"/>
                <w:szCs w:val="21"/>
                <w:u w:val="none" w:color="auto"/>
                <w:lang w:val="en-US" w:eastAsia="zh-CN"/>
                <w14:textFill>
                  <w14:solidFill>
                    <w14:schemeClr w14:val="tx1"/>
                  </w14:solidFill>
                </w14:textFill>
              </w:rPr>
            </w:pPr>
            <w:r>
              <w:rPr>
                <w:color w:val="000000"/>
                <w:sz w:val="21"/>
                <w:szCs w:val="21"/>
                <w:u w:val="none" w:color="auto"/>
              </w:rPr>
              <w:t>《工业炉窑大气污染物排放标准</w:t>
            </w:r>
            <w:r>
              <w:rPr>
                <w:rFonts w:hint="eastAsia"/>
                <w:color w:val="000000"/>
                <w:sz w:val="21"/>
                <w:szCs w:val="21"/>
                <w:u w:val="none" w:color="auto"/>
              </w:rPr>
              <w:t>》</w:t>
            </w:r>
            <w:r>
              <w:rPr>
                <w:color w:val="000000"/>
                <w:sz w:val="21"/>
                <w:szCs w:val="21"/>
                <w:u w:val="none" w:color="auto"/>
              </w:rPr>
              <w:t>（</w:t>
            </w:r>
            <w:r>
              <w:rPr>
                <w:rFonts w:hint="eastAsia"/>
                <w:color w:val="000000"/>
                <w:sz w:val="21"/>
                <w:szCs w:val="21"/>
                <w:u w:val="none" w:color="auto"/>
                <w:lang w:eastAsia="zh-CN"/>
              </w:rPr>
              <w:t>DB41/1066-2020</w:t>
            </w:r>
            <w:r>
              <w:rPr>
                <w:color w:val="000000"/>
                <w:sz w:val="21"/>
                <w:szCs w:val="21"/>
                <w:u w:val="none" w:color="auto"/>
              </w:rPr>
              <w:t>）</w:t>
            </w:r>
            <w:r>
              <w:rPr>
                <w:rFonts w:hint="eastAsia"/>
                <w:color w:val="000000"/>
                <w:sz w:val="21"/>
                <w:szCs w:val="21"/>
                <w:u w:val="none" w:color="auto"/>
                <w:lang w:eastAsia="zh-CN"/>
              </w:rPr>
              <w:t>、</w:t>
            </w:r>
            <w:r>
              <w:rPr>
                <w:rFonts w:hint="eastAsia"/>
                <w:color w:val="000000"/>
                <w:spacing w:val="5"/>
                <w:sz w:val="21"/>
                <w:szCs w:val="21"/>
                <w:u w:val="none" w:color="auto"/>
              </w:rPr>
              <w:t>《河南省2019年铸造行业污染治理方案》</w:t>
            </w:r>
            <w:r>
              <w:rPr>
                <w:rFonts w:hint="eastAsia"/>
                <w:color w:val="000000"/>
                <w:sz w:val="21"/>
                <w:szCs w:val="21"/>
                <w:u w:val="none" w:color="auto"/>
                <w:lang w:eastAsia="zh-CN"/>
              </w:rPr>
              <w:t>、</w:t>
            </w:r>
            <w:r>
              <w:rPr>
                <w:rFonts w:hint="eastAsia"/>
                <w:color w:val="000000"/>
                <w:sz w:val="21"/>
                <w:szCs w:val="21"/>
                <w:u w:val="none" w:color="auto"/>
              </w:rPr>
              <w:t>《重污染天气重点行业应急减排措施制定技术指南》（2020年修订版）中铸造企业绩效分级指标A级要求</w:t>
            </w:r>
          </w:p>
        </w:tc>
      </w:tr>
      <w:tr w14:paraId="28EC2A06">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5A96B25B">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Merge w:val="restart"/>
            <w:vAlign w:val="center"/>
          </w:tcPr>
          <w:p w14:paraId="733CAB23">
            <w:pPr>
              <w:pStyle w:val="35"/>
              <w:ind w:firstLine="0" w:firstLineChars="0"/>
              <w:rPr>
                <w:rFonts w:hint="eastAsia"/>
                <w:bCs/>
                <w:color w:val="000000" w:themeColor="text1"/>
                <w:sz w:val="21"/>
                <w:szCs w:val="21"/>
                <w:u w:val="none" w:color="auto"/>
                <w:lang w:val="en-US" w:eastAsia="zh-CN"/>
                <w14:textFill>
                  <w14:solidFill>
                    <w14:schemeClr w14:val="tx1"/>
                  </w14:solidFill>
                </w14:textFill>
              </w:rPr>
            </w:pPr>
            <w:r>
              <w:rPr>
                <w:rFonts w:hint="eastAsia"/>
                <w:u w:val="none" w:color="auto"/>
                <w:lang w:val="en-US" w:eastAsia="zh-CN"/>
              </w:rPr>
              <w:t>混砂、造型/浇注、工件清理和不合格品回用切割</w:t>
            </w:r>
            <w:r>
              <w:rPr>
                <w:rFonts w:hint="eastAsia"/>
                <w:color w:val="000000"/>
                <w:sz w:val="24"/>
                <w:u w:val="none" w:color="auto"/>
                <w:lang w:val="en-US" w:eastAsia="zh-CN"/>
              </w:rPr>
              <w:t>工序</w:t>
            </w:r>
          </w:p>
        </w:tc>
        <w:tc>
          <w:tcPr>
            <w:tcW w:w="1350" w:type="dxa"/>
            <w:vAlign w:val="center"/>
          </w:tcPr>
          <w:p w14:paraId="03EDEA1B">
            <w:pPr>
              <w:pStyle w:val="3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430" w:type="dxa"/>
            <w:vMerge w:val="restart"/>
            <w:vAlign w:val="center"/>
          </w:tcPr>
          <w:p w14:paraId="542B102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1"/>
                <w:szCs w:val="21"/>
                <w:u w:val="none" w:color="auto"/>
                <w:lang w:eastAsia="zh-CN"/>
                <w14:textFill>
                  <w14:solidFill>
                    <w14:schemeClr w14:val="tx1"/>
                  </w14:solidFill>
                </w14:textFill>
              </w:rPr>
            </w:pPr>
            <w:r>
              <w:rPr>
                <w:rFonts w:hint="eastAsia" w:eastAsia="宋体"/>
                <w:sz w:val="21"/>
                <w:szCs w:val="21"/>
                <w:u w:val="none" w:color="auto"/>
                <w:vertAlign w:val="baseline"/>
                <w:lang w:val="en-US" w:eastAsia="zh-CN"/>
              </w:rPr>
              <w:t>混砂机为全封闭设备，造型/浇注区、打磨区和切割区设置集气罩收集，经1套袋式除尘器+催化燃烧（RCO）处理后，经1根15m高排气筒排放</w:t>
            </w:r>
          </w:p>
        </w:tc>
        <w:tc>
          <w:tcPr>
            <w:tcW w:w="2702" w:type="dxa"/>
            <w:vAlign w:val="center"/>
          </w:tcPr>
          <w:p w14:paraId="6C55DDEC">
            <w:pPr>
              <w:pStyle w:val="35"/>
              <w:rPr>
                <w:rFonts w:hint="eastAsia" w:eastAsia="宋体"/>
                <w:color w:val="000000" w:themeColor="text1"/>
                <w:sz w:val="21"/>
                <w:szCs w:val="21"/>
                <w:u w:val="none" w:color="auto"/>
                <w:lang w:eastAsia="zh-CN"/>
                <w14:textFill>
                  <w14:solidFill>
                    <w14:schemeClr w14:val="tx1"/>
                  </w14:solidFill>
                </w14:textFill>
              </w:rPr>
            </w:pPr>
            <w:r>
              <w:rPr>
                <w:rFonts w:hint="default"/>
                <w:color w:val="000000" w:themeColor="text1"/>
                <w:sz w:val="21"/>
                <w:szCs w:val="21"/>
                <w:u w:val="none" w:color="auto"/>
                <w14:textFill>
                  <w14:solidFill>
                    <w14:schemeClr w14:val="tx1"/>
                  </w14:solidFill>
                </w14:textFill>
              </w:rPr>
              <w:t>《铸造工业大气污染物排放标准》(GB39726-2020)表1中标准</w:t>
            </w:r>
            <w:r>
              <w:rPr>
                <w:rFonts w:hint="eastAsia"/>
                <w:color w:val="000000" w:themeColor="text1"/>
                <w:sz w:val="21"/>
                <w:szCs w:val="21"/>
                <w:u w:val="none" w:color="auto"/>
                <w:lang w:eastAsia="zh-CN"/>
                <w14:textFill>
                  <w14:solidFill>
                    <w14:schemeClr w14:val="tx1"/>
                  </w14:solidFill>
                </w14:textFill>
              </w:rPr>
              <w:t>、</w:t>
            </w:r>
            <w:r>
              <w:rPr>
                <w:rFonts w:hint="eastAsia"/>
                <w:color w:val="000000"/>
                <w:spacing w:val="5"/>
                <w:sz w:val="21"/>
                <w:szCs w:val="21"/>
                <w:u w:val="none" w:color="auto"/>
              </w:rPr>
              <w:t>《河南省2019年铸造行业污染治理方案》</w:t>
            </w:r>
            <w:r>
              <w:rPr>
                <w:rFonts w:hint="eastAsia"/>
                <w:color w:val="000000"/>
                <w:sz w:val="21"/>
                <w:szCs w:val="21"/>
                <w:u w:val="none" w:color="auto"/>
                <w:lang w:eastAsia="zh-CN"/>
              </w:rPr>
              <w:t>、</w:t>
            </w:r>
            <w:r>
              <w:rPr>
                <w:rFonts w:hint="eastAsia"/>
                <w:color w:val="000000"/>
                <w:sz w:val="21"/>
                <w:szCs w:val="21"/>
                <w:u w:val="none" w:color="auto"/>
              </w:rPr>
              <w:t>《重污染天气重点行业应急减排措施制定技术指南》（2020年修订版）中铸造企业绩效分级指标A级要求</w:t>
            </w:r>
            <w:r>
              <w:rPr>
                <w:rFonts w:hint="eastAsia"/>
                <w:color w:val="000000"/>
                <w:sz w:val="21"/>
                <w:szCs w:val="21"/>
                <w:u w:val="none" w:color="auto"/>
                <w:lang w:eastAsia="zh-CN"/>
              </w:rPr>
              <w:t>、</w:t>
            </w:r>
          </w:p>
        </w:tc>
      </w:tr>
      <w:tr w14:paraId="6FCFCE5D">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6A74D823">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Merge w:val="continue"/>
            <w:vAlign w:val="center"/>
          </w:tcPr>
          <w:p w14:paraId="57EB5BAA">
            <w:pPr>
              <w:pStyle w:val="35"/>
              <w:ind w:firstLine="0" w:firstLineChars="0"/>
              <w:rPr>
                <w:rFonts w:hint="eastAsia"/>
                <w:u w:val="none" w:color="auto"/>
                <w:lang w:val="en-US" w:eastAsia="zh-CN"/>
              </w:rPr>
            </w:pPr>
          </w:p>
        </w:tc>
        <w:tc>
          <w:tcPr>
            <w:tcW w:w="1350" w:type="dxa"/>
            <w:vAlign w:val="center"/>
          </w:tcPr>
          <w:p w14:paraId="7BA7C921">
            <w:pPr>
              <w:pStyle w:val="35"/>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非甲烷总烃</w:t>
            </w:r>
          </w:p>
        </w:tc>
        <w:tc>
          <w:tcPr>
            <w:tcW w:w="2430" w:type="dxa"/>
            <w:vMerge w:val="continue"/>
            <w:vAlign w:val="center"/>
          </w:tcPr>
          <w:p w14:paraId="730FB98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szCs w:val="21"/>
                <w:u w:val="none" w:color="auto"/>
                <w:vertAlign w:val="baseline"/>
                <w:lang w:val="en-US" w:eastAsia="zh-CN"/>
              </w:rPr>
            </w:pPr>
          </w:p>
        </w:tc>
        <w:tc>
          <w:tcPr>
            <w:tcW w:w="2702" w:type="dxa"/>
            <w:vAlign w:val="center"/>
          </w:tcPr>
          <w:p w14:paraId="31A588F0">
            <w:pPr>
              <w:pStyle w:val="35"/>
              <w:rPr>
                <w:rFonts w:hint="eastAsia" w:eastAsia="宋体"/>
                <w:color w:val="000000" w:themeColor="text1"/>
                <w:sz w:val="21"/>
                <w:szCs w:val="21"/>
                <w:u w:val="none" w:color="auto"/>
                <w:lang w:eastAsia="zh-CN"/>
                <w14:textFill>
                  <w14:solidFill>
                    <w14:schemeClr w14:val="tx1"/>
                  </w14:solidFill>
                </w14:textFill>
              </w:rPr>
            </w:pPr>
            <w:r>
              <w:rPr>
                <w:rFonts w:hint="default"/>
                <w:color w:val="000000" w:themeColor="text1"/>
                <w:sz w:val="21"/>
                <w:szCs w:val="21"/>
                <w:u w:val="none" w:color="auto"/>
                <w14:textFill>
                  <w14:solidFill>
                    <w14:schemeClr w14:val="tx1"/>
                  </w14:solidFill>
                </w14:textFill>
              </w:rPr>
              <w:t>《大气污染物综合排放标准》（</w:t>
            </w:r>
            <w:r>
              <w:rPr>
                <w:rFonts w:hint="eastAsia"/>
                <w:color w:val="000000" w:themeColor="text1"/>
                <w:sz w:val="21"/>
                <w:szCs w:val="21"/>
                <w:u w:val="none" w:color="auto"/>
                <w:lang w:eastAsia="zh-CN"/>
                <w14:textFill>
                  <w14:solidFill>
                    <w14:schemeClr w14:val="tx1"/>
                  </w14:solidFill>
                </w14:textFill>
              </w:rPr>
              <w:t>GB16297-1996</w:t>
            </w:r>
            <w:r>
              <w:rPr>
                <w:rFonts w:hint="default"/>
                <w:color w:val="000000" w:themeColor="text1"/>
                <w:sz w:val="21"/>
                <w:szCs w:val="21"/>
                <w:u w:val="none" w:color="auto"/>
                <w14:textFill>
                  <w14:solidFill>
                    <w14:schemeClr w14:val="tx1"/>
                  </w14:solidFill>
                </w14:textFill>
              </w:rPr>
              <w:t>）表2标准</w:t>
            </w:r>
            <w:r>
              <w:rPr>
                <w:rFonts w:hint="eastAsia"/>
                <w:color w:val="000000" w:themeColor="text1"/>
                <w:sz w:val="21"/>
                <w:szCs w:val="21"/>
                <w:u w:val="none" w:color="auto"/>
                <w:lang w:eastAsia="zh-CN"/>
                <w14:textFill>
                  <w14:solidFill>
                    <w14:schemeClr w14:val="tx1"/>
                  </w14:solidFill>
                </w14:textFill>
              </w:rPr>
              <w:t>、</w:t>
            </w:r>
            <w:r>
              <w:rPr>
                <w:color w:val="000000"/>
                <w:sz w:val="21"/>
                <w:szCs w:val="21"/>
                <w:u w:val="none" w:color="auto"/>
              </w:rPr>
              <w:t>《关于全省开展工业企业挥发性有机物专项治理工作中排放建议值的通知》（豫环攻坚办[2017]162号）附件1中其他工业</w:t>
            </w:r>
          </w:p>
        </w:tc>
      </w:tr>
      <w:tr w14:paraId="79F5FF99">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71665764">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Merge w:val="continue"/>
            <w:vAlign w:val="center"/>
          </w:tcPr>
          <w:p w14:paraId="4EFB385D">
            <w:pPr>
              <w:pStyle w:val="35"/>
              <w:ind w:firstLine="0" w:firstLineChars="0"/>
              <w:rPr>
                <w:rFonts w:hint="eastAsia"/>
                <w:u w:val="none" w:color="auto"/>
                <w:lang w:val="en-US" w:eastAsia="zh-CN"/>
              </w:rPr>
            </w:pPr>
          </w:p>
        </w:tc>
        <w:tc>
          <w:tcPr>
            <w:tcW w:w="1350" w:type="dxa"/>
            <w:vAlign w:val="center"/>
          </w:tcPr>
          <w:p w14:paraId="6F1C3753">
            <w:pPr>
              <w:pStyle w:val="35"/>
              <w:rPr>
                <w:rFonts w:hint="eastAsia" w:eastAsia="宋体"/>
                <w:color w:val="000000" w:themeColor="text1"/>
                <w:sz w:val="21"/>
                <w:szCs w:val="21"/>
                <w:u w:val="none" w:color="auto"/>
                <w:lang w:val="en-US" w:eastAsia="zh-CN"/>
                <w14:textFill>
                  <w14:solidFill>
                    <w14:schemeClr w14:val="tx1"/>
                  </w14:solidFill>
                </w14:textFill>
              </w:rPr>
            </w:pPr>
            <w:r>
              <w:rPr>
                <w:rFonts w:hint="eastAsia"/>
                <w:color w:val="000000" w:themeColor="text1"/>
                <w:sz w:val="21"/>
                <w:szCs w:val="21"/>
                <w:u w:val="none" w:color="auto"/>
                <w:lang w:val="en-US" w:eastAsia="zh-CN"/>
                <w14:textFill>
                  <w14:solidFill>
                    <w14:schemeClr w14:val="tx1"/>
                  </w14:solidFill>
                </w14:textFill>
              </w:rPr>
              <w:t>甲醛</w:t>
            </w:r>
          </w:p>
        </w:tc>
        <w:tc>
          <w:tcPr>
            <w:tcW w:w="2430" w:type="dxa"/>
            <w:vMerge w:val="continue"/>
            <w:vAlign w:val="center"/>
          </w:tcPr>
          <w:p w14:paraId="32901D0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szCs w:val="21"/>
                <w:u w:val="none" w:color="auto"/>
                <w:vertAlign w:val="baseline"/>
                <w:lang w:val="en-US" w:eastAsia="zh-CN"/>
              </w:rPr>
            </w:pPr>
          </w:p>
        </w:tc>
        <w:tc>
          <w:tcPr>
            <w:tcW w:w="2702" w:type="dxa"/>
            <w:vAlign w:val="center"/>
          </w:tcPr>
          <w:p w14:paraId="69A08AEC">
            <w:pPr>
              <w:pStyle w:val="35"/>
              <w:rPr>
                <w:rFonts w:hint="default"/>
                <w:color w:val="000000" w:themeColor="text1"/>
                <w:sz w:val="21"/>
                <w:szCs w:val="21"/>
                <w:u w:val="none" w:color="auto"/>
                <w14:textFill>
                  <w14:solidFill>
                    <w14:schemeClr w14:val="tx1"/>
                  </w14:solidFill>
                </w14:textFill>
              </w:rPr>
            </w:pPr>
            <w:r>
              <w:rPr>
                <w:rFonts w:hint="default"/>
                <w:color w:val="000000" w:themeColor="text1"/>
                <w:sz w:val="21"/>
                <w:szCs w:val="21"/>
                <w:u w:val="none" w:color="auto"/>
                <w14:textFill>
                  <w14:solidFill>
                    <w14:schemeClr w14:val="tx1"/>
                  </w14:solidFill>
                </w14:textFill>
              </w:rPr>
              <w:t>《大气污染物综合排放标准》（</w:t>
            </w:r>
            <w:r>
              <w:rPr>
                <w:rFonts w:hint="eastAsia"/>
                <w:color w:val="000000" w:themeColor="text1"/>
                <w:sz w:val="21"/>
                <w:szCs w:val="21"/>
                <w:u w:val="none" w:color="auto"/>
                <w:lang w:eastAsia="zh-CN"/>
                <w14:textFill>
                  <w14:solidFill>
                    <w14:schemeClr w14:val="tx1"/>
                  </w14:solidFill>
                </w14:textFill>
              </w:rPr>
              <w:t>GB16297-1996</w:t>
            </w:r>
            <w:r>
              <w:rPr>
                <w:rFonts w:hint="default"/>
                <w:color w:val="000000" w:themeColor="text1"/>
                <w:sz w:val="21"/>
                <w:szCs w:val="21"/>
                <w:u w:val="none" w:color="auto"/>
                <w14:textFill>
                  <w14:solidFill>
                    <w14:schemeClr w14:val="tx1"/>
                  </w14:solidFill>
                </w14:textFill>
              </w:rPr>
              <w:t>）表2标准</w:t>
            </w:r>
          </w:p>
        </w:tc>
      </w:tr>
      <w:tr w14:paraId="40258188">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6ED2FF3C">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Align w:val="center"/>
          </w:tcPr>
          <w:p w14:paraId="4B8A0BDA">
            <w:pPr>
              <w:pStyle w:val="35"/>
              <w:ind w:firstLine="0" w:firstLineChars="0"/>
              <w:rPr>
                <w:rFonts w:hint="eastAsia"/>
                <w:bCs/>
                <w:color w:val="000000" w:themeColor="text1"/>
                <w:sz w:val="21"/>
                <w:szCs w:val="21"/>
                <w:u w:val="none" w:color="auto"/>
                <w:lang w:val="en-US" w:eastAsia="zh-CN"/>
                <w14:textFill>
                  <w14:solidFill>
                    <w14:schemeClr w14:val="tx1"/>
                  </w14:solidFill>
                </w14:textFill>
              </w:rPr>
            </w:pPr>
            <w:r>
              <w:rPr>
                <w:rFonts w:hint="eastAsia"/>
                <w:color w:val="000000"/>
                <w:sz w:val="21"/>
                <w:szCs w:val="21"/>
                <w:u w:val="none" w:color="auto"/>
                <w:lang w:val="en-US" w:eastAsia="zh-CN"/>
              </w:rPr>
              <w:t>落砂及砂处理工序</w:t>
            </w:r>
          </w:p>
        </w:tc>
        <w:tc>
          <w:tcPr>
            <w:tcW w:w="1350" w:type="dxa"/>
            <w:vAlign w:val="center"/>
          </w:tcPr>
          <w:p w14:paraId="410DC898">
            <w:pPr>
              <w:pStyle w:val="3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430" w:type="dxa"/>
            <w:vAlign w:val="center"/>
          </w:tcPr>
          <w:p w14:paraId="642394F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1"/>
                <w:szCs w:val="21"/>
                <w:u w:val="none" w:color="auto"/>
                <w:lang w:eastAsia="zh-CN"/>
                <w14:textFill>
                  <w14:solidFill>
                    <w14:schemeClr w14:val="tx1"/>
                  </w14:solidFill>
                </w14:textFill>
              </w:rPr>
            </w:pPr>
            <w:r>
              <w:rPr>
                <w:rFonts w:hint="eastAsia" w:eastAsia="宋体"/>
                <w:sz w:val="21"/>
                <w:szCs w:val="21"/>
                <w:u w:val="none" w:color="auto"/>
                <w:vertAlign w:val="baseline"/>
                <w:lang w:val="en-US" w:eastAsia="zh-CN"/>
              </w:rPr>
              <w:t>落砂机集气罩收集，砂处理系统为全封闭设备，落砂及砂处理工序分别经1套袋式除尘器处理后，经1根15m高排气筒排放</w:t>
            </w:r>
          </w:p>
        </w:tc>
        <w:tc>
          <w:tcPr>
            <w:tcW w:w="2702" w:type="dxa"/>
            <w:vAlign w:val="center"/>
          </w:tcPr>
          <w:p w14:paraId="7387ECFA">
            <w:pPr>
              <w:pStyle w:val="35"/>
              <w:rPr>
                <w:rFonts w:hint="default"/>
                <w:color w:val="000000" w:themeColor="text1"/>
                <w:sz w:val="21"/>
                <w:szCs w:val="21"/>
                <w:u w:val="none" w:color="auto"/>
                <w14:textFill>
                  <w14:solidFill>
                    <w14:schemeClr w14:val="tx1"/>
                  </w14:solidFill>
                </w14:textFill>
              </w:rPr>
            </w:pPr>
            <w:r>
              <w:rPr>
                <w:rFonts w:hint="default"/>
                <w:color w:val="000000" w:themeColor="text1"/>
                <w:sz w:val="21"/>
                <w:szCs w:val="21"/>
                <w:u w:val="none" w:color="auto"/>
                <w14:textFill>
                  <w14:solidFill>
                    <w14:schemeClr w14:val="tx1"/>
                  </w14:solidFill>
                </w14:textFill>
              </w:rPr>
              <w:t>《铸造工业大气污染物排放标准》(GB39726-2020)表1中标准</w:t>
            </w:r>
            <w:r>
              <w:rPr>
                <w:rFonts w:hint="eastAsia"/>
                <w:color w:val="000000" w:themeColor="text1"/>
                <w:sz w:val="21"/>
                <w:szCs w:val="21"/>
                <w:u w:val="none" w:color="auto"/>
                <w:lang w:eastAsia="zh-CN"/>
                <w14:textFill>
                  <w14:solidFill>
                    <w14:schemeClr w14:val="tx1"/>
                  </w14:solidFill>
                </w14:textFill>
              </w:rPr>
              <w:t>、</w:t>
            </w:r>
            <w:r>
              <w:rPr>
                <w:rFonts w:hint="eastAsia"/>
                <w:color w:val="000000"/>
                <w:spacing w:val="5"/>
                <w:sz w:val="21"/>
                <w:szCs w:val="21"/>
                <w:u w:val="none" w:color="auto"/>
              </w:rPr>
              <w:t>《河南省2019年铸造行业污染治理方案》</w:t>
            </w:r>
          </w:p>
        </w:tc>
      </w:tr>
      <w:tr w14:paraId="7430921B">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20F8C955">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Align w:val="center"/>
          </w:tcPr>
          <w:p w14:paraId="1EBF8641">
            <w:pPr>
              <w:pStyle w:val="35"/>
              <w:ind w:firstLine="0" w:firstLineChars="0"/>
              <w:rPr>
                <w:rFonts w:hint="eastAsia"/>
                <w:bCs/>
                <w:color w:val="000000" w:themeColor="text1"/>
                <w:sz w:val="21"/>
                <w:szCs w:val="21"/>
                <w:u w:val="none" w:color="auto"/>
                <w:lang w:val="en-US" w:eastAsia="zh-CN"/>
                <w14:textFill>
                  <w14:solidFill>
                    <w14:schemeClr w14:val="tx1"/>
                  </w14:solidFill>
                </w14:textFill>
              </w:rPr>
            </w:pPr>
            <w:r>
              <w:rPr>
                <w:rFonts w:hint="eastAsia"/>
                <w:color w:val="000000"/>
                <w:sz w:val="21"/>
                <w:szCs w:val="21"/>
                <w:u w:val="none" w:color="auto"/>
                <w:lang w:val="en-US" w:eastAsia="zh-CN"/>
              </w:rPr>
              <w:t>抛丸工序</w:t>
            </w:r>
          </w:p>
        </w:tc>
        <w:tc>
          <w:tcPr>
            <w:tcW w:w="1350" w:type="dxa"/>
            <w:vAlign w:val="center"/>
          </w:tcPr>
          <w:p w14:paraId="345A6C86">
            <w:pPr>
              <w:pStyle w:val="35"/>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430" w:type="dxa"/>
            <w:vAlign w:val="center"/>
          </w:tcPr>
          <w:p w14:paraId="17EB240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1"/>
                <w:szCs w:val="21"/>
                <w:u w:val="none" w:color="auto"/>
                <w:lang w:eastAsia="zh-CN"/>
                <w14:textFill>
                  <w14:solidFill>
                    <w14:schemeClr w14:val="tx1"/>
                  </w14:solidFill>
                </w14:textFill>
              </w:rPr>
            </w:pPr>
            <w:r>
              <w:rPr>
                <w:rFonts w:hint="eastAsia" w:eastAsia="宋体"/>
                <w:sz w:val="21"/>
                <w:szCs w:val="21"/>
                <w:u w:val="none" w:color="auto"/>
                <w:vertAlign w:val="baseline"/>
                <w:lang w:val="en-US" w:eastAsia="zh-CN"/>
              </w:rPr>
              <w:t>抛丸机为全封闭设备</w:t>
            </w:r>
            <w:r>
              <w:rPr>
                <w:rFonts w:hint="eastAsia"/>
                <w:sz w:val="21"/>
                <w:szCs w:val="21"/>
                <w:u w:val="none" w:color="auto"/>
                <w:vertAlign w:val="baseline"/>
                <w:lang w:val="en-US" w:eastAsia="zh-CN"/>
              </w:rPr>
              <w:t>，经1套袋式除尘器处理后，经1根15m高排气筒排放</w:t>
            </w:r>
          </w:p>
        </w:tc>
        <w:tc>
          <w:tcPr>
            <w:tcW w:w="2702" w:type="dxa"/>
            <w:vAlign w:val="center"/>
          </w:tcPr>
          <w:p w14:paraId="05E1AE85">
            <w:pPr>
              <w:pStyle w:val="35"/>
              <w:rPr>
                <w:rFonts w:hint="default"/>
                <w:color w:val="000000" w:themeColor="text1"/>
                <w:sz w:val="21"/>
                <w:szCs w:val="21"/>
                <w:u w:val="none" w:color="auto"/>
                <w14:textFill>
                  <w14:solidFill>
                    <w14:schemeClr w14:val="tx1"/>
                  </w14:solidFill>
                </w14:textFill>
              </w:rPr>
            </w:pPr>
            <w:r>
              <w:rPr>
                <w:rFonts w:hint="default"/>
                <w:color w:val="000000" w:themeColor="text1"/>
                <w:sz w:val="21"/>
                <w:szCs w:val="21"/>
                <w:u w:val="none" w:color="auto"/>
                <w14:textFill>
                  <w14:solidFill>
                    <w14:schemeClr w14:val="tx1"/>
                  </w14:solidFill>
                </w14:textFill>
              </w:rPr>
              <w:t>《铸造工业大气污染物排放标准》(GB39726-2020)表1中标准</w:t>
            </w:r>
            <w:r>
              <w:rPr>
                <w:rFonts w:hint="eastAsia"/>
                <w:color w:val="000000" w:themeColor="text1"/>
                <w:sz w:val="21"/>
                <w:szCs w:val="21"/>
                <w:u w:val="none" w:color="auto"/>
                <w:lang w:eastAsia="zh-CN"/>
                <w14:textFill>
                  <w14:solidFill>
                    <w14:schemeClr w14:val="tx1"/>
                  </w14:solidFill>
                </w14:textFill>
              </w:rPr>
              <w:t>、</w:t>
            </w:r>
            <w:r>
              <w:rPr>
                <w:rFonts w:hint="eastAsia"/>
                <w:color w:val="000000"/>
                <w:spacing w:val="5"/>
                <w:sz w:val="21"/>
                <w:szCs w:val="21"/>
                <w:u w:val="none" w:color="auto"/>
              </w:rPr>
              <w:t>《河南省2019年铸造行业污染治理方案》</w:t>
            </w:r>
          </w:p>
        </w:tc>
      </w:tr>
      <w:tr w14:paraId="65A3AF0A">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27754C8E">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1455" w:type="dxa"/>
            <w:vAlign w:val="center"/>
          </w:tcPr>
          <w:p w14:paraId="6B1165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u w:val="none" w:color="auto"/>
                <w14:textFill>
                  <w14:solidFill>
                    <w14:schemeClr w14:val="tx1"/>
                  </w14:solidFill>
                </w14:textFill>
              </w:rPr>
            </w:pPr>
            <w:r>
              <w:rPr>
                <w:rFonts w:hint="eastAsia"/>
                <w:color w:val="000000"/>
                <w:sz w:val="21"/>
                <w:szCs w:val="21"/>
                <w:u w:val="none" w:color="auto"/>
                <w:vertAlign w:val="baseline"/>
                <w:lang w:val="en-US" w:eastAsia="zh-CN"/>
              </w:rPr>
              <w:t>厂区无组织</w:t>
            </w:r>
          </w:p>
        </w:tc>
        <w:tc>
          <w:tcPr>
            <w:tcW w:w="1350" w:type="dxa"/>
            <w:vAlign w:val="center"/>
          </w:tcPr>
          <w:p w14:paraId="4C1CFA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u w:val="none" w:color="auto"/>
                <w14:textFill>
                  <w14:solidFill>
                    <w14:schemeClr w14:val="tx1"/>
                  </w14:solidFill>
                </w14:textFill>
              </w:rPr>
            </w:pPr>
            <w:r>
              <w:rPr>
                <w:rFonts w:hint="eastAsia"/>
                <w:color w:val="000000"/>
                <w:sz w:val="21"/>
                <w:szCs w:val="21"/>
                <w:u w:val="none" w:color="auto"/>
              </w:rPr>
              <w:t>颗粒物、非甲烷总烃</w:t>
            </w:r>
            <w:r>
              <w:rPr>
                <w:rFonts w:hint="eastAsia"/>
                <w:color w:val="000000"/>
                <w:sz w:val="21"/>
                <w:szCs w:val="21"/>
                <w:u w:val="none" w:color="auto"/>
                <w:lang w:eastAsia="zh-CN"/>
              </w:rPr>
              <w:t>、</w:t>
            </w:r>
            <w:r>
              <w:rPr>
                <w:rFonts w:hint="eastAsia"/>
                <w:color w:val="000000"/>
                <w:sz w:val="21"/>
                <w:szCs w:val="21"/>
                <w:u w:val="none" w:color="auto"/>
                <w:lang w:val="en-US" w:eastAsia="zh-CN"/>
              </w:rPr>
              <w:t>甲醛</w:t>
            </w:r>
          </w:p>
        </w:tc>
        <w:tc>
          <w:tcPr>
            <w:tcW w:w="2430" w:type="dxa"/>
            <w:vAlign w:val="center"/>
          </w:tcPr>
          <w:p w14:paraId="08BFBE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u w:val="none" w:color="auto"/>
                <w:lang w:eastAsia="zh-CN"/>
                <w14:textFill>
                  <w14:solidFill>
                    <w14:schemeClr w14:val="tx1"/>
                  </w14:solidFill>
                </w14:textFill>
              </w:rPr>
            </w:pPr>
            <w:r>
              <w:rPr>
                <w:rFonts w:hint="eastAsia"/>
                <w:sz w:val="21"/>
                <w:szCs w:val="21"/>
                <w:u w:val="none" w:color="auto"/>
                <w:lang w:val="en-US" w:eastAsia="zh-CN"/>
              </w:rPr>
              <w:t>/</w:t>
            </w:r>
          </w:p>
        </w:tc>
        <w:tc>
          <w:tcPr>
            <w:tcW w:w="2702" w:type="dxa"/>
            <w:vAlign w:val="center"/>
          </w:tcPr>
          <w:p w14:paraId="7CA275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u w:val="none" w:color="auto"/>
                <w:lang w:val="en-US" w:eastAsia="zh-CN"/>
                <w14:textFill>
                  <w14:solidFill>
                    <w14:schemeClr w14:val="tx1"/>
                  </w14:solidFill>
                </w14:textFill>
              </w:rPr>
            </w:pPr>
            <w:r>
              <w:rPr>
                <w:color w:val="000000"/>
                <w:sz w:val="21"/>
                <w:szCs w:val="21"/>
                <w:u w:val="none" w:color="auto"/>
              </w:rPr>
              <w:t>《工业炉窑大气污染物排放标准</w:t>
            </w:r>
            <w:r>
              <w:rPr>
                <w:rFonts w:hint="eastAsia"/>
                <w:color w:val="000000"/>
                <w:sz w:val="21"/>
                <w:szCs w:val="21"/>
                <w:u w:val="none" w:color="auto"/>
              </w:rPr>
              <w:t>》</w:t>
            </w:r>
            <w:r>
              <w:rPr>
                <w:color w:val="000000"/>
                <w:sz w:val="21"/>
                <w:szCs w:val="21"/>
                <w:u w:val="none" w:color="auto"/>
              </w:rPr>
              <w:t>（</w:t>
            </w:r>
            <w:r>
              <w:rPr>
                <w:rFonts w:hint="eastAsia"/>
                <w:color w:val="000000"/>
                <w:sz w:val="21"/>
                <w:szCs w:val="21"/>
                <w:u w:val="none" w:color="auto"/>
                <w:lang w:eastAsia="zh-CN"/>
              </w:rPr>
              <w:t>DB41/1066-2020</w:t>
            </w:r>
            <w:r>
              <w:rPr>
                <w:color w:val="000000"/>
                <w:sz w:val="21"/>
                <w:szCs w:val="21"/>
                <w:u w:val="none" w:color="auto"/>
              </w:rPr>
              <w:t>）</w:t>
            </w:r>
            <w:r>
              <w:rPr>
                <w:rFonts w:hint="eastAsia"/>
                <w:color w:val="000000"/>
                <w:sz w:val="21"/>
                <w:szCs w:val="21"/>
                <w:u w:val="none" w:color="auto"/>
                <w:lang w:eastAsia="zh-CN"/>
              </w:rPr>
              <w:t>、</w:t>
            </w:r>
            <w:r>
              <w:rPr>
                <w:rFonts w:hint="default" w:ascii="Times New Roman" w:hAnsi="Times New Roman" w:cs="Times New Roman"/>
                <w:b w:val="0"/>
                <w:bCs/>
                <w:sz w:val="21"/>
                <w:szCs w:val="21"/>
                <w:u w:val="none" w:color="auto"/>
              </w:rPr>
              <w:t>《大气污染物综合排放标准》（GB16297-1996）</w:t>
            </w:r>
            <w:r>
              <w:rPr>
                <w:rFonts w:hint="eastAsia" w:ascii="Times New Roman" w:hAnsi="Times New Roman" w:cs="Times New Roman"/>
                <w:b w:val="0"/>
                <w:bCs/>
                <w:sz w:val="21"/>
                <w:szCs w:val="21"/>
                <w:u w:val="none" w:color="auto"/>
                <w:lang w:eastAsia="zh-CN"/>
              </w:rPr>
              <w:t>、</w:t>
            </w:r>
            <w:r>
              <w:rPr>
                <w:rFonts w:hint="eastAsia"/>
                <w:kern w:val="0"/>
                <w:sz w:val="21"/>
                <w:szCs w:val="21"/>
                <w:u w:val="none" w:color="auto"/>
              </w:rPr>
              <w:t>《铸造工业大气污染物排放标准》（GB39726-2020）</w:t>
            </w:r>
            <w:r>
              <w:rPr>
                <w:rFonts w:hint="eastAsia"/>
                <w:kern w:val="0"/>
                <w:sz w:val="21"/>
                <w:szCs w:val="21"/>
                <w:u w:val="none" w:color="auto"/>
                <w:lang w:eastAsia="zh-CN"/>
              </w:rPr>
              <w:t>、</w:t>
            </w:r>
            <w:r>
              <w:rPr>
                <w:rFonts w:hint="eastAsia"/>
                <w:color w:val="000000"/>
                <w:kern w:val="0"/>
                <w:sz w:val="21"/>
                <w:szCs w:val="21"/>
                <w:u w:val="none" w:color="auto"/>
              </w:rPr>
              <w:t>《河南省2019年铸造行业污染治理方案》边界无组织排放限值</w:t>
            </w:r>
            <w:r>
              <w:rPr>
                <w:rFonts w:hint="eastAsia"/>
                <w:color w:val="000000"/>
                <w:kern w:val="0"/>
                <w:sz w:val="21"/>
                <w:szCs w:val="21"/>
                <w:u w:val="none" w:color="auto"/>
                <w:lang w:eastAsia="zh-CN"/>
              </w:rPr>
              <w:t>、</w:t>
            </w:r>
            <w:r>
              <w:rPr>
                <w:color w:val="000000"/>
                <w:sz w:val="21"/>
                <w:szCs w:val="21"/>
                <w:u w:val="none" w:color="auto"/>
              </w:rPr>
              <w:t>《关于全省开展工业企业挥发性有机物专项治理工作中排放建议值的通知》（豫环攻坚办[2017]162号）中附件1中其他工业</w:t>
            </w:r>
          </w:p>
        </w:tc>
      </w:tr>
      <w:tr w14:paraId="543E1C4E">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0F4142C6">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地表水环境</w:t>
            </w:r>
          </w:p>
        </w:tc>
        <w:tc>
          <w:tcPr>
            <w:tcW w:w="1455" w:type="dxa"/>
            <w:vAlign w:val="center"/>
          </w:tcPr>
          <w:p w14:paraId="0AC22A70">
            <w:pPr>
              <w:pStyle w:val="35"/>
              <w:rPr>
                <w:rFonts w:hint="default"/>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生活污水</w:t>
            </w:r>
          </w:p>
        </w:tc>
        <w:tc>
          <w:tcPr>
            <w:tcW w:w="1350" w:type="dxa"/>
            <w:vAlign w:val="center"/>
          </w:tcPr>
          <w:p w14:paraId="61A4AD35">
            <w:pPr>
              <w:pStyle w:val="35"/>
              <w:ind w:firstLine="0" w:firstLineChars="0"/>
              <w:rPr>
                <w:rFonts w:hint="default"/>
                <w:color w:val="000000" w:themeColor="text1"/>
                <w:sz w:val="21"/>
                <w:szCs w:val="21"/>
                <w:u w:val="none" w:color="auto"/>
                <w14:textFill>
                  <w14:solidFill>
                    <w14:schemeClr w14:val="tx1"/>
                  </w14:solidFill>
                </w14:textFill>
              </w:rPr>
            </w:pPr>
            <w:r>
              <w:rPr>
                <w:rFonts w:hint="eastAsia"/>
                <w:color w:val="000000" w:themeColor="text1"/>
                <w:kern w:val="0"/>
                <w:sz w:val="21"/>
                <w:szCs w:val="21"/>
                <w:u w:val="none" w:color="auto"/>
                <w:lang w:val="en-US" w:eastAsia="zh-CN" w:bidi="ar"/>
                <w14:textFill>
                  <w14:solidFill>
                    <w14:schemeClr w14:val="tx1"/>
                  </w14:solidFill>
                </w14:textFill>
              </w:rPr>
              <w:t>pH、</w:t>
            </w:r>
            <w:r>
              <w:rPr>
                <w:color w:val="000000" w:themeColor="text1"/>
                <w:sz w:val="21"/>
                <w:szCs w:val="21"/>
                <w:u w:val="none" w:color="auto"/>
                <w14:textFill>
                  <w14:solidFill>
                    <w14:schemeClr w14:val="tx1"/>
                  </w14:solidFill>
                </w14:textFill>
              </w:rPr>
              <w:t>COD、BOD</w:t>
            </w:r>
            <w:r>
              <w:rPr>
                <w:color w:val="000000" w:themeColor="text1"/>
                <w:sz w:val="21"/>
                <w:szCs w:val="21"/>
                <w:u w:val="none" w:color="auto"/>
                <w:vertAlign w:val="subscript"/>
                <w14:textFill>
                  <w14:solidFill>
                    <w14:schemeClr w14:val="tx1"/>
                  </w14:solidFill>
                </w14:textFill>
              </w:rPr>
              <w:t>5</w:t>
            </w:r>
            <w:r>
              <w:rPr>
                <w:color w:val="000000" w:themeColor="text1"/>
                <w:sz w:val="21"/>
                <w:szCs w:val="21"/>
                <w:u w:val="none" w:color="auto"/>
                <w14:textFill>
                  <w14:solidFill>
                    <w14:schemeClr w14:val="tx1"/>
                  </w14:solidFill>
                </w14:textFill>
              </w:rPr>
              <w:t>、SS、NH</w:t>
            </w:r>
            <w:r>
              <w:rPr>
                <w:color w:val="000000" w:themeColor="text1"/>
                <w:sz w:val="21"/>
                <w:szCs w:val="21"/>
                <w:u w:val="none" w:color="auto"/>
                <w:vertAlign w:val="subscript"/>
                <w14:textFill>
                  <w14:solidFill>
                    <w14:schemeClr w14:val="tx1"/>
                  </w14:solidFill>
                </w14:textFill>
              </w:rPr>
              <w:t>3</w:t>
            </w:r>
            <w:r>
              <w:rPr>
                <w:color w:val="000000" w:themeColor="text1"/>
                <w:sz w:val="21"/>
                <w:szCs w:val="21"/>
                <w:u w:val="none" w:color="auto"/>
                <w14:textFill>
                  <w14:solidFill>
                    <w14:schemeClr w14:val="tx1"/>
                  </w14:solidFill>
                </w14:textFill>
              </w:rPr>
              <w:t>-N</w:t>
            </w:r>
          </w:p>
        </w:tc>
        <w:tc>
          <w:tcPr>
            <w:tcW w:w="2430" w:type="dxa"/>
            <w:vAlign w:val="center"/>
          </w:tcPr>
          <w:p w14:paraId="7FE61E71">
            <w:pPr>
              <w:spacing w:line="240" w:lineRule="auto"/>
              <w:ind w:firstLine="0" w:firstLineChars="0"/>
              <w:jc w:val="center"/>
              <w:rPr>
                <w:rFonts w:hint="eastAsia" w:eastAsia="宋体"/>
                <w:color w:val="000000" w:themeColor="text1"/>
                <w:sz w:val="21"/>
                <w:szCs w:val="21"/>
                <w:u w:val="none" w:color="auto"/>
                <w:lang w:eastAsia="zh-CN"/>
                <w14:textFill>
                  <w14:solidFill>
                    <w14:schemeClr w14:val="tx1"/>
                  </w14:solidFill>
                </w14:textFill>
              </w:rPr>
            </w:pPr>
            <w:r>
              <w:rPr>
                <w:rFonts w:hint="eastAsia" w:eastAsia="宋体" w:cs="Times New Roman"/>
                <w:kern w:val="0"/>
                <w:sz w:val="21"/>
                <w:szCs w:val="21"/>
                <w:u w:val="none" w:color="auto"/>
                <w:lang w:val="en-US" w:eastAsia="zh-CN"/>
              </w:rPr>
              <w:t>经1座</w:t>
            </w:r>
            <w:r>
              <w:rPr>
                <w:rFonts w:hint="eastAsia" w:eastAsia="宋体" w:cs="Times New Roman"/>
                <w:kern w:val="0"/>
                <w:sz w:val="21"/>
                <w:szCs w:val="21"/>
                <w:highlight w:val="none"/>
                <w:u w:val="none" w:color="auto"/>
                <w:lang w:val="en-US" w:eastAsia="zh-CN"/>
              </w:rPr>
              <w:t>10m</w:t>
            </w:r>
            <w:r>
              <w:rPr>
                <w:rFonts w:hint="eastAsia" w:eastAsia="宋体" w:cs="Times New Roman"/>
                <w:kern w:val="0"/>
                <w:sz w:val="21"/>
                <w:szCs w:val="21"/>
                <w:highlight w:val="none"/>
                <w:u w:val="none" w:color="auto"/>
                <w:vertAlign w:val="superscript"/>
                <w:lang w:val="en-US" w:eastAsia="zh-CN"/>
              </w:rPr>
              <w:t>3</w:t>
            </w:r>
            <w:r>
              <w:rPr>
                <w:rFonts w:hint="eastAsia" w:eastAsia="宋体" w:cs="Times New Roman"/>
                <w:kern w:val="0"/>
                <w:sz w:val="21"/>
                <w:szCs w:val="21"/>
                <w:u w:val="none" w:color="auto"/>
                <w:lang w:val="en-US" w:eastAsia="zh-CN"/>
              </w:rPr>
              <w:t>化粪池处理后排入市政污水管网，</w:t>
            </w:r>
            <w:r>
              <w:rPr>
                <w:rFonts w:hint="eastAsia"/>
                <w:kern w:val="0"/>
                <w:sz w:val="21"/>
                <w:szCs w:val="21"/>
                <w:u w:val="none" w:color="auto"/>
                <w:lang w:val="en-US" w:eastAsia="zh-CN"/>
              </w:rPr>
              <w:t>最终经镇平县第二污水处理厂</w:t>
            </w:r>
            <w:r>
              <w:rPr>
                <w:rFonts w:hint="eastAsia" w:eastAsia="宋体"/>
                <w:sz w:val="21"/>
                <w:szCs w:val="21"/>
                <w:u w:val="none" w:color="auto"/>
                <w:lang w:val="en-US" w:eastAsia="zh-CN"/>
              </w:rPr>
              <w:t>处理达标后排入赵河</w:t>
            </w:r>
          </w:p>
        </w:tc>
        <w:tc>
          <w:tcPr>
            <w:tcW w:w="2702" w:type="dxa"/>
            <w:vAlign w:val="center"/>
          </w:tcPr>
          <w:p w14:paraId="31C2838C">
            <w:pPr>
              <w:spacing w:line="240" w:lineRule="auto"/>
              <w:ind w:firstLine="0" w:firstLineChars="0"/>
              <w:jc w:val="center"/>
              <w:rPr>
                <w:color w:val="000000" w:themeColor="text1"/>
                <w:sz w:val="21"/>
                <w:szCs w:val="21"/>
                <w:u w:val="none" w:color="auto"/>
                <w14:textFill>
                  <w14:solidFill>
                    <w14:schemeClr w14:val="tx1"/>
                  </w14:solidFill>
                </w14:textFill>
              </w:rPr>
            </w:pPr>
            <w:r>
              <w:rPr>
                <w:rFonts w:hint="default" w:ascii="Times New Roman" w:hAnsi="Times New Roman" w:cs="Times New Roman"/>
                <w:b w:val="0"/>
                <w:bCs/>
                <w:sz w:val="21"/>
                <w:szCs w:val="21"/>
                <w:u w:val="none" w:color="auto"/>
              </w:rPr>
              <w:t>《污水综合排放标准》（GB8978-1996）表4三级标准</w:t>
            </w:r>
            <w:r>
              <w:rPr>
                <w:rFonts w:hint="eastAsia" w:ascii="Times New Roman" w:hAnsi="Times New Roman" w:cs="Times New Roman"/>
                <w:b w:val="0"/>
                <w:bCs/>
                <w:sz w:val="21"/>
                <w:szCs w:val="21"/>
                <w:u w:val="none" w:color="auto"/>
                <w:lang w:val="en-US" w:eastAsia="zh-CN"/>
              </w:rPr>
              <w:t>和</w:t>
            </w:r>
            <w:r>
              <w:rPr>
                <w:rFonts w:hint="eastAsia" w:cs="Times New Roman"/>
                <w:sz w:val="21"/>
                <w:szCs w:val="21"/>
                <w:u w:val="none" w:color="auto"/>
                <w:lang w:val="en-US" w:eastAsia="zh-CN"/>
              </w:rPr>
              <w:t>镇平</w:t>
            </w:r>
            <w:r>
              <w:rPr>
                <w:rFonts w:hint="eastAsia" w:ascii="Times New Roman" w:hAnsi="Times New Roman" w:cs="Times New Roman"/>
                <w:sz w:val="21"/>
                <w:szCs w:val="21"/>
                <w:u w:val="none" w:color="auto"/>
                <w:lang w:eastAsia="zh-CN"/>
              </w:rPr>
              <w:t>县第</w:t>
            </w:r>
            <w:r>
              <w:rPr>
                <w:rFonts w:hint="eastAsia" w:cs="Times New Roman"/>
                <w:sz w:val="21"/>
                <w:szCs w:val="21"/>
                <w:u w:val="none" w:color="auto"/>
                <w:lang w:val="en-US" w:eastAsia="zh-CN"/>
              </w:rPr>
              <w:t>二</w:t>
            </w:r>
            <w:r>
              <w:rPr>
                <w:rFonts w:hint="eastAsia" w:ascii="Times New Roman" w:hAnsi="Times New Roman" w:cs="Times New Roman"/>
                <w:sz w:val="21"/>
                <w:szCs w:val="21"/>
                <w:u w:val="none" w:color="auto"/>
                <w:lang w:eastAsia="zh-CN"/>
              </w:rPr>
              <w:t>污水处理厂</w:t>
            </w:r>
            <w:r>
              <w:rPr>
                <w:rFonts w:hint="eastAsia" w:cs="Times New Roman"/>
                <w:sz w:val="21"/>
                <w:szCs w:val="21"/>
                <w:u w:val="none" w:color="auto"/>
                <w:lang w:val="en-US" w:eastAsia="zh-CN"/>
              </w:rPr>
              <w:t>收水指标</w:t>
            </w:r>
          </w:p>
        </w:tc>
      </w:tr>
      <w:tr w14:paraId="58BE2FBE">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030F6115">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声环境</w:t>
            </w:r>
          </w:p>
        </w:tc>
        <w:tc>
          <w:tcPr>
            <w:tcW w:w="1455" w:type="dxa"/>
            <w:vAlign w:val="center"/>
          </w:tcPr>
          <w:p w14:paraId="5F75E4B0">
            <w:pPr>
              <w:pStyle w:val="35"/>
              <w:rPr>
                <w:rFonts w:hint="default"/>
                <w:color w:val="000000" w:themeColor="text1"/>
                <w:sz w:val="21"/>
                <w:szCs w:val="21"/>
                <w:u w:val="none" w:color="auto"/>
                <w14:textFill>
                  <w14:solidFill>
                    <w14:schemeClr w14:val="tx1"/>
                  </w14:solidFill>
                </w14:textFill>
              </w:rPr>
            </w:pPr>
            <w:r>
              <w:rPr>
                <w:rFonts w:hint="eastAsia"/>
                <w:kern w:val="0"/>
                <w:sz w:val="21"/>
                <w:szCs w:val="21"/>
                <w:u w:val="none" w:color="auto"/>
              </w:rPr>
              <w:t>设备运行噪声</w:t>
            </w:r>
          </w:p>
        </w:tc>
        <w:tc>
          <w:tcPr>
            <w:tcW w:w="1350" w:type="dxa"/>
            <w:vAlign w:val="center"/>
          </w:tcPr>
          <w:p w14:paraId="4906F0AB">
            <w:pPr>
              <w:pStyle w:val="35"/>
              <w:rPr>
                <w:rFonts w:hint="default"/>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等效连续A声级</w:t>
            </w:r>
          </w:p>
        </w:tc>
        <w:tc>
          <w:tcPr>
            <w:tcW w:w="2430" w:type="dxa"/>
            <w:vAlign w:val="center"/>
          </w:tcPr>
          <w:p w14:paraId="5F9CC17B">
            <w:pPr>
              <w:pStyle w:val="35"/>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产噪设备采取基础减振、厂房隔声等降噪措施；设备定期维护保养</w:t>
            </w:r>
          </w:p>
        </w:tc>
        <w:tc>
          <w:tcPr>
            <w:tcW w:w="2702" w:type="dxa"/>
            <w:vAlign w:val="center"/>
          </w:tcPr>
          <w:p w14:paraId="1AB6143B">
            <w:pPr>
              <w:spacing w:line="240" w:lineRule="auto"/>
              <w:ind w:firstLine="0" w:firstLineChars="0"/>
              <w:jc w:val="center"/>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《工业企业厂界环境噪声排放标准》（GB12348-2008）</w:t>
            </w:r>
            <w:r>
              <w:rPr>
                <w:rFonts w:hint="eastAsia"/>
                <w:color w:val="000000" w:themeColor="text1"/>
                <w:sz w:val="21"/>
                <w:szCs w:val="21"/>
                <w:u w:val="none" w:color="auto"/>
                <w14:textFill>
                  <w14:solidFill>
                    <w14:schemeClr w14:val="tx1"/>
                  </w14:solidFill>
                </w14:textFill>
              </w:rPr>
              <w:t>2类标准</w:t>
            </w:r>
          </w:p>
        </w:tc>
      </w:tr>
      <w:tr w14:paraId="66295E8E">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restart"/>
            <w:vAlign w:val="center"/>
          </w:tcPr>
          <w:p w14:paraId="6F5C60BE">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固体废物</w:t>
            </w:r>
          </w:p>
        </w:tc>
        <w:tc>
          <w:tcPr>
            <w:tcW w:w="2805" w:type="dxa"/>
            <w:gridSpan w:val="2"/>
            <w:vAlign w:val="center"/>
          </w:tcPr>
          <w:p w14:paraId="1E29951C">
            <w:pPr>
              <w:pStyle w:val="35"/>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职工生活垃圾</w:t>
            </w:r>
          </w:p>
        </w:tc>
        <w:tc>
          <w:tcPr>
            <w:tcW w:w="2430" w:type="dxa"/>
            <w:vAlign w:val="center"/>
          </w:tcPr>
          <w:p w14:paraId="389EF381">
            <w:pPr>
              <w:pStyle w:val="35"/>
              <w:ind w:firstLine="0" w:firstLineChars="0"/>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垃圾箱（桶）若干</w:t>
            </w:r>
          </w:p>
        </w:tc>
        <w:tc>
          <w:tcPr>
            <w:tcW w:w="2702" w:type="dxa"/>
            <w:vMerge w:val="restart"/>
            <w:vAlign w:val="center"/>
          </w:tcPr>
          <w:p w14:paraId="575E9827">
            <w:pPr>
              <w:wordWrap w:val="0"/>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措施落实到位</w:t>
            </w:r>
          </w:p>
        </w:tc>
      </w:tr>
      <w:tr w14:paraId="533CD57A">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5742DDEE">
            <w:pPr>
              <w:spacing w:line="240" w:lineRule="auto"/>
              <w:ind w:firstLine="0" w:firstLineChars="0"/>
              <w:jc w:val="center"/>
              <w:rPr>
                <w:rFonts w:hint="eastAsia"/>
                <w:color w:val="000000" w:themeColor="text1"/>
                <w:sz w:val="21"/>
                <w:szCs w:val="21"/>
                <w:u w:val="none" w:color="auto"/>
                <w14:textFill>
                  <w14:solidFill>
                    <w14:schemeClr w14:val="tx1"/>
                  </w14:solidFill>
                </w14:textFill>
              </w:rPr>
            </w:pPr>
          </w:p>
        </w:tc>
        <w:tc>
          <w:tcPr>
            <w:tcW w:w="2805" w:type="dxa"/>
            <w:gridSpan w:val="2"/>
            <w:vAlign w:val="center"/>
          </w:tcPr>
          <w:p w14:paraId="4244F835">
            <w:pPr>
              <w:pStyle w:val="35"/>
              <w:ind w:firstLine="0" w:firstLineChars="0"/>
              <w:rPr>
                <w:color w:val="000000" w:themeColor="text1"/>
                <w:sz w:val="21"/>
                <w:szCs w:val="21"/>
                <w:u w:val="none" w:color="auto"/>
                <w14:textFill>
                  <w14:solidFill>
                    <w14:schemeClr w14:val="tx1"/>
                  </w14:solidFill>
                </w14:textFill>
              </w:rPr>
            </w:pPr>
            <w:r>
              <w:rPr>
                <w:rFonts w:hint="eastAsia"/>
                <w:color w:val="000000" w:themeColor="text1"/>
                <w:u w:val="none" w:color="auto"/>
                <w:lang w:val="en-US" w:eastAsia="zh-CN"/>
                <w14:textFill>
                  <w14:solidFill>
                    <w14:schemeClr w14:val="tx1"/>
                  </w14:solidFill>
                </w14:textFill>
              </w:rPr>
              <w:t>化粪池污泥</w:t>
            </w:r>
          </w:p>
        </w:tc>
        <w:tc>
          <w:tcPr>
            <w:tcW w:w="2430" w:type="dxa"/>
            <w:vAlign w:val="center"/>
          </w:tcPr>
          <w:p w14:paraId="6D689F12">
            <w:pPr>
              <w:pStyle w:val="35"/>
              <w:ind w:firstLine="0" w:firstLineChars="0"/>
              <w:rPr>
                <w:color w:val="000000" w:themeColor="text1"/>
                <w:sz w:val="21"/>
                <w:szCs w:val="21"/>
                <w:u w:val="none" w:color="auto"/>
                <w14:textFill>
                  <w14:solidFill>
                    <w14:schemeClr w14:val="tx1"/>
                  </w14:solidFill>
                </w14:textFill>
              </w:rPr>
            </w:pPr>
            <w:r>
              <w:rPr>
                <w:rFonts w:hint="default"/>
                <w:color w:val="000000" w:themeColor="text1"/>
                <w:u w:val="none" w:color="auto"/>
                <w14:textFill>
                  <w14:solidFill>
                    <w14:schemeClr w14:val="tx1"/>
                  </w14:solidFill>
                </w14:textFill>
              </w:rPr>
              <w:t>由专用吸污车定期清掏，干化后委托环卫部门清运处理</w:t>
            </w:r>
          </w:p>
        </w:tc>
        <w:tc>
          <w:tcPr>
            <w:tcW w:w="2702" w:type="dxa"/>
            <w:vMerge w:val="continue"/>
            <w:vAlign w:val="center"/>
          </w:tcPr>
          <w:p w14:paraId="6F991484">
            <w:pPr>
              <w:wordWrap w:val="0"/>
              <w:spacing w:line="240" w:lineRule="auto"/>
              <w:ind w:firstLine="0" w:firstLineChars="0"/>
              <w:jc w:val="center"/>
              <w:rPr>
                <w:rFonts w:hint="eastAsia"/>
                <w:color w:val="000000" w:themeColor="text1"/>
                <w:sz w:val="21"/>
                <w:szCs w:val="21"/>
                <w:u w:val="none" w:color="auto"/>
                <w14:textFill>
                  <w14:solidFill>
                    <w14:schemeClr w14:val="tx1"/>
                  </w14:solidFill>
                </w14:textFill>
              </w:rPr>
            </w:pPr>
          </w:p>
        </w:tc>
      </w:tr>
      <w:tr w14:paraId="34AFE442">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0162006C">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2805" w:type="dxa"/>
            <w:gridSpan w:val="2"/>
            <w:vAlign w:val="center"/>
          </w:tcPr>
          <w:p w14:paraId="119446DF">
            <w:pPr>
              <w:pStyle w:val="35"/>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一般固废</w:t>
            </w:r>
          </w:p>
        </w:tc>
        <w:tc>
          <w:tcPr>
            <w:tcW w:w="2430" w:type="dxa"/>
            <w:vAlign w:val="center"/>
          </w:tcPr>
          <w:p w14:paraId="7B4BFB35">
            <w:pPr>
              <w:pStyle w:val="35"/>
              <w:ind w:firstLine="0" w:firstLineChars="0"/>
              <w:rPr>
                <w:rFonts w:hint="default"/>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1座</w:t>
            </w:r>
            <w:r>
              <w:rPr>
                <w:rFonts w:hint="eastAsia"/>
                <w:color w:val="000000" w:themeColor="text1"/>
                <w:sz w:val="21"/>
                <w:szCs w:val="21"/>
                <w:u w:val="none" w:color="auto"/>
                <w:lang w:val="en-US" w:eastAsia="zh-CN"/>
                <w14:textFill>
                  <w14:solidFill>
                    <w14:schemeClr w14:val="tx1"/>
                  </w14:solidFill>
                </w14:textFill>
              </w:rPr>
              <w:t>2</w:t>
            </w:r>
            <w:r>
              <w:rPr>
                <w:color w:val="000000" w:themeColor="text1"/>
                <w:sz w:val="21"/>
                <w:szCs w:val="21"/>
                <w:u w:val="none" w:color="auto"/>
                <w14:textFill>
                  <w14:solidFill>
                    <w14:schemeClr w14:val="tx1"/>
                  </w14:solidFill>
                </w14:textFill>
              </w:rPr>
              <w:t>0m</w:t>
            </w:r>
            <w:r>
              <w:rPr>
                <w:color w:val="000000" w:themeColor="text1"/>
                <w:sz w:val="21"/>
                <w:szCs w:val="21"/>
                <w:u w:val="none" w:color="auto"/>
                <w:vertAlign w:val="superscript"/>
                <w14:textFill>
                  <w14:solidFill>
                    <w14:schemeClr w14:val="tx1"/>
                  </w14:solidFill>
                </w14:textFill>
              </w:rPr>
              <w:t>2</w:t>
            </w:r>
            <w:r>
              <w:rPr>
                <w:color w:val="000000" w:themeColor="text1"/>
                <w:sz w:val="21"/>
                <w:szCs w:val="21"/>
                <w:u w:val="none" w:color="auto"/>
                <w14:textFill>
                  <w14:solidFill>
                    <w14:schemeClr w14:val="tx1"/>
                  </w14:solidFill>
                </w14:textFill>
              </w:rPr>
              <w:t>的一般固废暂存间</w:t>
            </w:r>
          </w:p>
        </w:tc>
        <w:tc>
          <w:tcPr>
            <w:tcW w:w="2702" w:type="dxa"/>
            <w:vAlign w:val="center"/>
          </w:tcPr>
          <w:p w14:paraId="0139517A">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《一般固体废物贮存和填埋污染控制标准》（GB18599-2020）</w:t>
            </w:r>
          </w:p>
        </w:tc>
      </w:tr>
      <w:tr w14:paraId="2CC98C42">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Merge w:val="continue"/>
            <w:vAlign w:val="center"/>
          </w:tcPr>
          <w:p w14:paraId="5B7CBB0A">
            <w:pPr>
              <w:spacing w:line="240" w:lineRule="auto"/>
              <w:ind w:firstLine="0" w:firstLineChars="0"/>
              <w:jc w:val="center"/>
              <w:rPr>
                <w:color w:val="000000" w:themeColor="text1"/>
                <w:sz w:val="21"/>
                <w:szCs w:val="21"/>
                <w:u w:val="none" w:color="auto"/>
                <w14:textFill>
                  <w14:solidFill>
                    <w14:schemeClr w14:val="tx1"/>
                  </w14:solidFill>
                </w14:textFill>
              </w:rPr>
            </w:pPr>
          </w:p>
        </w:tc>
        <w:tc>
          <w:tcPr>
            <w:tcW w:w="2805" w:type="dxa"/>
            <w:gridSpan w:val="2"/>
            <w:vAlign w:val="center"/>
          </w:tcPr>
          <w:p w14:paraId="5988F1AA">
            <w:pPr>
              <w:pStyle w:val="35"/>
              <w:rPr>
                <w:rFonts w:hint="default" w:eastAsiaTheme="minorEastAsia"/>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危险废物</w:t>
            </w:r>
          </w:p>
        </w:tc>
        <w:tc>
          <w:tcPr>
            <w:tcW w:w="2430" w:type="dxa"/>
            <w:vAlign w:val="center"/>
          </w:tcPr>
          <w:p w14:paraId="36E8320B">
            <w:pPr>
              <w:pStyle w:val="35"/>
              <w:ind w:firstLine="0" w:firstLineChars="0"/>
              <w:rPr>
                <w:rFonts w:hint="default"/>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1座</w:t>
            </w:r>
            <w:r>
              <w:rPr>
                <w:rFonts w:hint="eastAsia"/>
                <w:color w:val="000000" w:themeColor="text1"/>
                <w:sz w:val="21"/>
                <w:szCs w:val="21"/>
                <w:u w:val="none" w:color="auto"/>
                <w:lang w:val="en-US" w:eastAsia="zh-CN"/>
                <w14:textFill>
                  <w14:solidFill>
                    <w14:schemeClr w14:val="tx1"/>
                  </w14:solidFill>
                </w14:textFill>
              </w:rPr>
              <w:t>2</w:t>
            </w:r>
            <w:r>
              <w:rPr>
                <w:color w:val="000000" w:themeColor="text1"/>
                <w:sz w:val="21"/>
                <w:szCs w:val="21"/>
                <w:u w:val="none" w:color="auto"/>
                <w14:textFill>
                  <w14:solidFill>
                    <w14:schemeClr w14:val="tx1"/>
                  </w14:solidFill>
                </w14:textFill>
              </w:rPr>
              <w:t>0m</w:t>
            </w:r>
            <w:r>
              <w:rPr>
                <w:color w:val="000000" w:themeColor="text1"/>
                <w:sz w:val="21"/>
                <w:szCs w:val="21"/>
                <w:u w:val="none" w:color="auto"/>
                <w:vertAlign w:val="superscript"/>
                <w14:textFill>
                  <w14:solidFill>
                    <w14:schemeClr w14:val="tx1"/>
                  </w14:solidFill>
                </w14:textFill>
              </w:rPr>
              <w:t>2</w:t>
            </w:r>
            <w:r>
              <w:rPr>
                <w:color w:val="000000" w:themeColor="text1"/>
                <w:sz w:val="21"/>
                <w:szCs w:val="21"/>
                <w:u w:val="none" w:color="auto"/>
                <w14:textFill>
                  <w14:solidFill>
                    <w14:schemeClr w14:val="tx1"/>
                  </w14:solidFill>
                </w14:textFill>
              </w:rPr>
              <w:t>有“六防”措施的危废暂存间</w:t>
            </w:r>
          </w:p>
        </w:tc>
        <w:tc>
          <w:tcPr>
            <w:tcW w:w="2702" w:type="dxa"/>
            <w:vAlign w:val="center"/>
          </w:tcPr>
          <w:p w14:paraId="5F8A93F3">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《危险废物贮存污染控制标准》（GB18597-2023）</w:t>
            </w:r>
          </w:p>
        </w:tc>
      </w:tr>
      <w:tr w14:paraId="7329D868">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33B670BC">
            <w:pPr>
              <w:spacing w:line="240" w:lineRule="auto"/>
              <w:ind w:firstLine="0" w:firstLineChars="0"/>
              <w:jc w:val="center"/>
              <w:rPr>
                <w:rFonts w:eastAsiaTheme="minorEastAsia"/>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电磁辐射</w:t>
            </w:r>
          </w:p>
        </w:tc>
        <w:tc>
          <w:tcPr>
            <w:tcW w:w="7937" w:type="dxa"/>
            <w:gridSpan w:val="4"/>
            <w:vAlign w:val="center"/>
          </w:tcPr>
          <w:p w14:paraId="7EBC83A6">
            <w:pPr>
              <w:spacing w:line="240" w:lineRule="auto"/>
              <w:ind w:firstLine="0" w:firstLineChars="0"/>
              <w:jc w:val="center"/>
              <w:rPr>
                <w:rFonts w:eastAsiaTheme="minorEastAsia"/>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w:t>
            </w:r>
          </w:p>
        </w:tc>
      </w:tr>
      <w:tr w14:paraId="50985EE2">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6DE19852">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土壤及地下水污染防治措施</w:t>
            </w:r>
          </w:p>
        </w:tc>
        <w:tc>
          <w:tcPr>
            <w:tcW w:w="7937" w:type="dxa"/>
            <w:gridSpan w:val="4"/>
            <w:vAlign w:val="center"/>
          </w:tcPr>
          <w:p w14:paraId="273426D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b w:val="0"/>
                <w:bCs w:val="0"/>
                <w:sz w:val="21"/>
                <w:szCs w:val="21"/>
                <w:u w:val="none" w:color="auto"/>
                <w:lang w:val="en-US" w:eastAsia="zh-CN"/>
              </w:rPr>
            </w:pPr>
            <w:r>
              <w:rPr>
                <w:rFonts w:hint="eastAsia"/>
                <w:sz w:val="21"/>
                <w:szCs w:val="21"/>
                <w:u w:val="none" w:color="auto"/>
              </w:rPr>
              <w:t>设置分区防渗，重点防渗</w:t>
            </w:r>
            <w:r>
              <w:rPr>
                <w:rFonts w:hint="eastAsia"/>
                <w:sz w:val="21"/>
                <w:szCs w:val="21"/>
                <w:u w:val="none" w:color="auto"/>
                <w:lang w:val="en-US" w:eastAsia="zh-CN"/>
              </w:rPr>
              <w:t>包括</w:t>
            </w:r>
            <w:r>
              <w:rPr>
                <w:rFonts w:hint="eastAsia"/>
                <w:b w:val="0"/>
                <w:bCs w:val="0"/>
                <w:sz w:val="21"/>
                <w:szCs w:val="21"/>
                <w:u w:val="none" w:color="auto"/>
                <w:lang w:val="en-US" w:eastAsia="zh-CN"/>
              </w:rPr>
              <w:t>危废暂存间、化粪池；</w:t>
            </w:r>
            <w:r>
              <w:rPr>
                <w:rFonts w:hint="eastAsia"/>
                <w:sz w:val="21"/>
                <w:szCs w:val="21"/>
                <w:u w:val="none" w:color="auto"/>
              </w:rPr>
              <w:t>一般防渗区</w:t>
            </w:r>
            <w:r>
              <w:rPr>
                <w:rFonts w:hint="eastAsia"/>
                <w:sz w:val="21"/>
                <w:szCs w:val="21"/>
                <w:u w:val="none" w:color="auto"/>
                <w:lang w:val="en-US" w:eastAsia="zh-CN"/>
              </w:rPr>
              <w:t>包括</w:t>
            </w:r>
            <w:r>
              <w:rPr>
                <w:rFonts w:hint="eastAsia"/>
                <w:b w:val="0"/>
                <w:bCs w:val="0"/>
                <w:sz w:val="21"/>
                <w:szCs w:val="21"/>
                <w:u w:val="none" w:color="auto"/>
                <w:lang w:val="en-US" w:eastAsia="zh-CN"/>
              </w:rPr>
              <w:t>生产车间、仓库、一般固废暂存间等；简单防渗区包括除绿化以外的其他区域（如装卸区、厂区道路等）。</w:t>
            </w:r>
          </w:p>
          <w:p w14:paraId="0FB4BB4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000000" w:themeColor="text1"/>
                <w:sz w:val="21"/>
                <w:szCs w:val="21"/>
                <w:u w:val="none" w:color="auto"/>
                <w14:textFill>
                  <w14:solidFill>
                    <w14:schemeClr w14:val="tx1"/>
                  </w14:solidFill>
                </w14:textFill>
              </w:rPr>
            </w:pPr>
            <w:r>
              <w:rPr>
                <w:rFonts w:hint="eastAsia"/>
                <w:sz w:val="21"/>
                <w:szCs w:val="21"/>
                <w:u w:val="none" w:color="auto"/>
              </w:rPr>
              <w:t>污染防分区防渗要求：①重点防渗区：重点防渗区等效黏土防渗层Mb≥6.0m，且渗透系数K≤1.0×10</w:t>
            </w:r>
            <w:r>
              <w:rPr>
                <w:rFonts w:hint="eastAsia"/>
                <w:sz w:val="21"/>
                <w:szCs w:val="21"/>
                <w:u w:val="none" w:color="auto"/>
                <w:vertAlign w:val="superscript"/>
              </w:rPr>
              <w:t>-7</w:t>
            </w:r>
            <w:r>
              <w:rPr>
                <w:rFonts w:hint="eastAsia"/>
                <w:sz w:val="21"/>
                <w:szCs w:val="21"/>
                <w:u w:val="none" w:color="auto"/>
              </w:rPr>
              <w:t>cm/s。②一般防渗区的防渗技术要求：等效黏土防渗层Mb≥1.5m，K≤1.0×10</w:t>
            </w:r>
            <w:r>
              <w:rPr>
                <w:rFonts w:hint="eastAsia"/>
                <w:sz w:val="21"/>
                <w:szCs w:val="21"/>
                <w:u w:val="none" w:color="auto"/>
                <w:vertAlign w:val="superscript"/>
              </w:rPr>
              <w:t>-7</w:t>
            </w:r>
            <w:r>
              <w:rPr>
                <w:rFonts w:hint="eastAsia"/>
                <w:sz w:val="21"/>
                <w:szCs w:val="21"/>
                <w:u w:val="none" w:color="auto"/>
              </w:rPr>
              <w:t>cm/s。</w:t>
            </w:r>
          </w:p>
        </w:tc>
      </w:tr>
      <w:tr w14:paraId="0EE2B14B">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41911463">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生态保护措施</w:t>
            </w:r>
          </w:p>
        </w:tc>
        <w:tc>
          <w:tcPr>
            <w:tcW w:w="7937" w:type="dxa"/>
            <w:gridSpan w:val="4"/>
            <w:vAlign w:val="center"/>
          </w:tcPr>
          <w:p w14:paraId="164F22B3">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加强厂区及车间周围绿化</w:t>
            </w:r>
          </w:p>
        </w:tc>
      </w:tr>
      <w:tr w14:paraId="5822331A">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0BC300DB">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环境风险防范措施</w:t>
            </w:r>
          </w:p>
        </w:tc>
        <w:tc>
          <w:tcPr>
            <w:tcW w:w="7937" w:type="dxa"/>
            <w:gridSpan w:val="4"/>
            <w:vAlign w:val="center"/>
          </w:tcPr>
          <w:p w14:paraId="27746813">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制定完善的风险管理防范措施</w:t>
            </w:r>
          </w:p>
        </w:tc>
      </w:tr>
      <w:tr w14:paraId="562E342C">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57" w:type="dxa"/>
            <w:bottom w:w="0" w:type="dxa"/>
            <w:right w:w="57" w:type="dxa"/>
          </w:tblCellMar>
        </w:tblPrEx>
        <w:trPr>
          <w:trHeight w:val="454" w:hRule="atLeast"/>
          <w:jc w:val="center"/>
        </w:trPr>
        <w:tc>
          <w:tcPr>
            <w:tcW w:w="1021" w:type="dxa"/>
            <w:vAlign w:val="center"/>
          </w:tcPr>
          <w:p w14:paraId="296B8BC2">
            <w:pPr>
              <w:spacing w:line="240" w:lineRule="auto"/>
              <w:ind w:firstLine="0" w:firstLineChars="0"/>
              <w:jc w:val="center"/>
              <w:rPr>
                <w:color w:val="000000" w:themeColor="text1"/>
                <w:sz w:val="21"/>
                <w:szCs w:val="21"/>
                <w:u w:val="none" w:color="auto"/>
                <w14:textFill>
                  <w14:solidFill>
                    <w14:schemeClr w14:val="tx1"/>
                  </w14:solidFill>
                </w14:textFill>
              </w:rPr>
            </w:pPr>
            <w:r>
              <w:rPr>
                <w:rFonts w:hint="eastAsia"/>
                <w:color w:val="000000" w:themeColor="text1"/>
                <w:sz w:val="21"/>
                <w:szCs w:val="21"/>
                <w:u w:val="none" w:color="auto"/>
                <w14:textFill>
                  <w14:solidFill>
                    <w14:schemeClr w14:val="tx1"/>
                  </w14:solidFill>
                </w14:textFill>
              </w:rPr>
              <w:t>其他环境管理要求</w:t>
            </w:r>
          </w:p>
        </w:tc>
        <w:tc>
          <w:tcPr>
            <w:tcW w:w="7937" w:type="dxa"/>
            <w:gridSpan w:val="4"/>
            <w:vAlign w:val="center"/>
          </w:tcPr>
          <w:p w14:paraId="38BABFE1">
            <w:pPr>
              <w:spacing w:line="240" w:lineRule="auto"/>
              <w:ind w:firstLine="0" w:firstLineChars="0"/>
              <w:rPr>
                <w:color w:val="000000" w:themeColor="text1"/>
                <w:kern w:val="0"/>
                <w:sz w:val="21"/>
                <w:szCs w:val="21"/>
                <w:u w:val="none" w:color="auto"/>
                <w14:textFill>
                  <w14:solidFill>
                    <w14:schemeClr w14:val="tx1"/>
                  </w14:solidFill>
                </w14:textFill>
              </w:rPr>
            </w:pPr>
            <w:r>
              <w:rPr>
                <w:color w:val="000000" w:themeColor="text1"/>
                <w:kern w:val="0"/>
                <w:sz w:val="21"/>
                <w:szCs w:val="21"/>
                <w:u w:val="none" w:color="auto"/>
                <w14:textFill>
                  <w14:solidFill>
                    <w14:schemeClr w14:val="tx1"/>
                  </w14:solidFill>
                </w14:textFill>
              </w:rPr>
              <w:t>根据《建设项目竣工环境保护验收暂行办法》（国环规环评〔</w:t>
            </w:r>
            <w:r>
              <w:rPr>
                <w:rFonts w:eastAsia="TimesNewRomanPSMT"/>
                <w:color w:val="000000" w:themeColor="text1"/>
                <w:kern w:val="0"/>
                <w:sz w:val="21"/>
                <w:szCs w:val="21"/>
                <w:u w:val="none" w:color="auto"/>
                <w14:textFill>
                  <w14:solidFill>
                    <w14:schemeClr w14:val="tx1"/>
                  </w14:solidFill>
                </w14:textFill>
              </w:rPr>
              <w:t>2017</w:t>
            </w:r>
            <w:r>
              <w:rPr>
                <w:color w:val="000000" w:themeColor="text1"/>
                <w:kern w:val="0"/>
                <w:sz w:val="21"/>
                <w:szCs w:val="21"/>
                <w:u w:val="none" w:color="auto"/>
                <w14:textFill>
                  <w14:solidFill>
                    <w14:schemeClr w14:val="tx1"/>
                  </w14:solidFill>
                </w14:textFill>
              </w:rPr>
              <w:t>〕</w:t>
            </w:r>
            <w:r>
              <w:rPr>
                <w:rFonts w:eastAsia="TimesNewRomanPSMT"/>
                <w:color w:val="000000" w:themeColor="text1"/>
                <w:kern w:val="0"/>
                <w:sz w:val="21"/>
                <w:szCs w:val="21"/>
                <w:u w:val="none" w:color="auto"/>
                <w14:textFill>
                  <w14:solidFill>
                    <w14:schemeClr w14:val="tx1"/>
                  </w14:solidFill>
                </w14:textFill>
              </w:rPr>
              <w:t>4</w:t>
            </w:r>
            <w:r>
              <w:rPr>
                <w:color w:val="000000" w:themeColor="text1"/>
                <w:kern w:val="0"/>
                <w:sz w:val="21"/>
                <w:szCs w:val="21"/>
                <w:u w:val="none" w:color="auto"/>
                <w14:textFill>
                  <w14:solidFill>
                    <w14:schemeClr w14:val="tx1"/>
                  </w14:solidFill>
                </w14:textFill>
              </w:rPr>
              <w:t>号），环保设施必须经验收合格后，建设项目方可投入生产或使用。</w:t>
            </w:r>
          </w:p>
          <w:p w14:paraId="0F09639A">
            <w:pPr>
              <w:spacing w:line="240" w:lineRule="auto"/>
              <w:ind w:firstLine="0" w:firstLineChars="0"/>
              <w:rPr>
                <w:color w:val="000000" w:themeColor="text1"/>
                <w:kern w:val="0"/>
                <w:sz w:val="21"/>
                <w:szCs w:val="21"/>
                <w:u w:val="none" w:color="auto"/>
                <w14:textFill>
                  <w14:solidFill>
                    <w14:schemeClr w14:val="tx1"/>
                  </w14:solidFill>
                </w14:textFill>
              </w:rPr>
            </w:pPr>
            <w:r>
              <w:rPr>
                <w:rFonts w:hint="eastAsia"/>
                <w:color w:val="000000" w:themeColor="text1"/>
                <w:kern w:val="0"/>
                <w:sz w:val="21"/>
                <w:szCs w:val="21"/>
                <w:u w:val="none" w:color="auto"/>
                <w14:textFill>
                  <w14:solidFill>
                    <w14:schemeClr w14:val="tx1"/>
                  </w14:solidFill>
                </w14:textFill>
              </w:rPr>
              <w:t>项目应按照文中监测计划对项目各污染物排放情况进行监测，同时按照《排污单位自行监测技术指南 总则》建立并实施监测质量保证与质量控制措施方案，以自证自行监测数据的质量。根据自行监测方案及监测开展情况，梳理全过程监测质控要求，建立自行监测质量保证与质量控制体系。若是由第三方进行监测，需要确认第三方资质；项目正式运营后，应对污染治理设施、设备及各污染物产生排放情况进行统计，建立管理台账，台账保存期限不得少于五年。</w:t>
            </w:r>
          </w:p>
          <w:p w14:paraId="61E941B9">
            <w:pPr>
              <w:spacing w:line="240" w:lineRule="auto"/>
              <w:ind w:firstLine="0" w:firstLineChars="0"/>
              <w:rPr>
                <w:color w:val="000000" w:themeColor="text1"/>
                <w:sz w:val="21"/>
                <w:szCs w:val="21"/>
                <w:u w:val="none" w:color="auto"/>
                <w14:textFill>
                  <w14:solidFill>
                    <w14:schemeClr w14:val="tx1"/>
                  </w14:solidFill>
                </w14:textFill>
              </w:rPr>
            </w:pPr>
            <w:r>
              <w:rPr>
                <w:rFonts w:hint="eastAsia"/>
                <w:color w:val="000000" w:themeColor="text1"/>
                <w:kern w:val="0"/>
                <w:sz w:val="21"/>
                <w:szCs w:val="21"/>
                <w:u w:val="none" w:color="auto"/>
                <w14:textFill>
                  <w14:solidFill>
                    <w14:schemeClr w14:val="tx1"/>
                  </w14:solidFill>
                </w14:textFill>
              </w:rPr>
              <w:t>同时，排放口规范化设置，粘贴标识牌。</w:t>
            </w:r>
          </w:p>
        </w:tc>
      </w:tr>
    </w:tbl>
    <w:p w14:paraId="694D0764">
      <w:pPr>
        <w:ind w:left="0" w:leftChars="0" w:firstLine="0" w:firstLineChars="0"/>
        <w:jc w:val="both"/>
        <w:sectPr>
          <w:pgSz w:w="11906" w:h="16838"/>
          <w:pgMar w:top="1440" w:right="1440" w:bottom="1440" w:left="1440" w:header="851" w:footer="992" w:gutter="0"/>
          <w:cols w:space="0" w:num="1"/>
          <w:rtlGutter w:val="0"/>
          <w:docGrid w:type="lines" w:linePitch="312" w:charSpace="0"/>
        </w:sectPr>
      </w:pPr>
    </w:p>
    <w:p w14:paraId="596E5DAD">
      <w:pPr>
        <w:pStyle w:val="2"/>
        <w:spacing w:before="31" w:after="6"/>
        <w:jc w:val="center"/>
      </w:pPr>
      <w:bookmarkStart w:id="37" w:name="_Toc19291"/>
      <w:bookmarkStart w:id="38" w:name="_Toc20528"/>
      <w:bookmarkStart w:id="39" w:name="_Toc6947"/>
      <w:r>
        <w:rPr>
          <w:rFonts w:hint="eastAsia"/>
        </w:rPr>
        <w:t>六、结论</w:t>
      </w:r>
      <w:bookmarkEnd w:id="37"/>
      <w:bookmarkEnd w:id="38"/>
      <w:bookmarkEnd w:id="39"/>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2"/>
      </w:tblGrid>
      <w:tr w14:paraId="24A8A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02" w:hRule="atLeast"/>
        </w:trPr>
        <w:tc>
          <w:tcPr>
            <w:tcW w:w="5000" w:type="pct"/>
            <w:vAlign w:val="center"/>
          </w:tcPr>
          <w:p w14:paraId="71C764A2">
            <w:pPr>
              <w:spacing w:line="360" w:lineRule="auto"/>
              <w:ind w:firstLine="480" w:firstLineChars="200"/>
            </w:pPr>
            <w:r>
              <w:rPr>
                <w:rFonts w:hint="default" w:ascii="Times New Roman" w:hAnsi="Times New Roman" w:eastAsia="黑体" w:cs="Times New Roman"/>
                <w:szCs w:val="24"/>
              </w:rPr>
              <w:t>综上所述，本项目建设符合国家产业政策和环保政策要求，项目选址符合土地利用发展规划要求</w:t>
            </w:r>
            <w:r>
              <w:rPr>
                <w:rFonts w:hint="eastAsia" w:ascii="Times New Roman" w:hAnsi="Times New Roman" w:eastAsia="黑体" w:cs="Times New Roman"/>
                <w:szCs w:val="24"/>
                <w:lang w:eastAsia="zh-CN"/>
              </w:rPr>
              <w:t>，</w:t>
            </w:r>
            <w:r>
              <w:rPr>
                <w:rFonts w:hint="default" w:ascii="Times New Roman" w:hAnsi="Times New Roman" w:eastAsia="黑体" w:cs="Times New Roman"/>
                <w:szCs w:val="24"/>
              </w:rPr>
              <w:t>平面布局合理，各项污染防治措施得当。在认真贯彻执行国家相关环保法律、法规，严格落实环评要求的各项污染防治措施，加强企业环境管理的情况下，确保污染物可以达标排放，对环境影响较小。从环境保护角度考虑，评价认为本项目的建设是可行的。</w:t>
            </w:r>
          </w:p>
        </w:tc>
      </w:tr>
    </w:tbl>
    <w:p w14:paraId="2E9CD351">
      <w:pPr>
        <w:ind w:left="0" w:leftChars="0" w:firstLine="0" w:firstLineChars="0"/>
        <w:jc w:val="both"/>
        <w:sectPr>
          <w:pgSz w:w="11906" w:h="16838"/>
          <w:pgMar w:top="1440" w:right="1440" w:bottom="1440" w:left="1440" w:header="851" w:footer="992" w:gutter="0"/>
          <w:cols w:space="0" w:num="1"/>
          <w:rtlGutter w:val="0"/>
          <w:docGrid w:type="lines" w:linePitch="312" w:charSpace="0"/>
        </w:sectPr>
      </w:pPr>
    </w:p>
    <w:p w14:paraId="41B0F63E">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textAlignment w:val="auto"/>
        <w:outlineLvl w:val="0"/>
        <w:rPr>
          <w:rFonts w:ascii="Times New Roman" w:hAnsi="Times New Roman" w:eastAsia="黑体"/>
          <w:snapToGrid w:val="0"/>
          <w:color w:val="000000"/>
          <w:sz w:val="32"/>
          <w:szCs w:val="32"/>
        </w:rPr>
      </w:pPr>
      <w:bookmarkStart w:id="40" w:name="_Toc16279"/>
      <w:bookmarkStart w:id="41" w:name="_Toc24349"/>
      <w:bookmarkStart w:id="42" w:name="_Toc26691"/>
      <w:bookmarkStart w:id="43" w:name="_Toc6760"/>
      <w:bookmarkStart w:id="44" w:name="_Toc13913"/>
      <w:bookmarkStart w:id="45" w:name="_Toc23922"/>
      <w:bookmarkStart w:id="46" w:name="_Toc32744"/>
      <w:r>
        <w:rPr>
          <w:rFonts w:ascii="Times New Roman" w:hAnsi="Times New Roman" w:eastAsia="黑体"/>
          <w:snapToGrid w:val="0"/>
          <w:color w:val="000000"/>
          <w:sz w:val="32"/>
          <w:szCs w:val="32"/>
        </w:rPr>
        <w:t>附表</w:t>
      </w:r>
      <w:bookmarkEnd w:id="40"/>
      <w:bookmarkEnd w:id="41"/>
      <w:bookmarkEnd w:id="42"/>
      <w:bookmarkEnd w:id="43"/>
      <w:bookmarkEnd w:id="44"/>
      <w:bookmarkEnd w:id="45"/>
      <w:bookmarkEnd w:id="46"/>
    </w:p>
    <w:p w14:paraId="3A606F85">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outlineLvl w:val="0"/>
        <w:rPr>
          <w:rFonts w:ascii="Times New Roman" w:hAnsi="Times New Roman" w:eastAsia="方正小标宋_GBK"/>
          <w:snapToGrid w:val="0"/>
          <w:color w:val="000000"/>
          <w:sz w:val="38"/>
          <w:szCs w:val="38"/>
        </w:rPr>
      </w:pPr>
      <w:bookmarkStart w:id="47" w:name="_Toc1298"/>
      <w:bookmarkStart w:id="48" w:name="_Toc32040"/>
      <w:bookmarkStart w:id="49" w:name="_Toc22907"/>
      <w:bookmarkStart w:id="50" w:name="_Toc15093"/>
      <w:bookmarkStart w:id="51" w:name="_Toc10349"/>
      <w:bookmarkStart w:id="52" w:name="_Toc6622"/>
      <w:bookmarkStart w:id="53" w:name="_Toc1509"/>
      <w:r>
        <w:rPr>
          <w:rFonts w:ascii="Times New Roman" w:hAnsi="Times New Roman" w:eastAsia="方正小标宋_GBK"/>
          <w:snapToGrid w:val="0"/>
          <w:color w:val="000000"/>
          <w:sz w:val="38"/>
          <w:szCs w:val="38"/>
        </w:rPr>
        <w:t>建设项目污染物排放量汇总表</w:t>
      </w:r>
      <w:bookmarkEnd w:id="47"/>
      <w:bookmarkEnd w:id="48"/>
      <w:bookmarkEnd w:id="49"/>
      <w:bookmarkEnd w:id="50"/>
      <w:bookmarkEnd w:id="51"/>
      <w:bookmarkEnd w:id="52"/>
      <w:bookmarkEnd w:id="53"/>
    </w:p>
    <w:tbl>
      <w:tblPr>
        <w:tblStyle w:val="28"/>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918"/>
        <w:gridCol w:w="1517"/>
        <w:gridCol w:w="1119"/>
        <w:gridCol w:w="1536"/>
        <w:gridCol w:w="1536"/>
        <w:gridCol w:w="1553"/>
        <w:gridCol w:w="2083"/>
        <w:gridCol w:w="1256"/>
      </w:tblGrid>
      <w:tr w14:paraId="34C681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tcBorders>
              <w:tl2br w:val="single" w:color="auto" w:sz="4" w:space="0"/>
            </w:tcBorders>
            <w:noWrap w:val="0"/>
            <w:tcMar>
              <w:left w:w="28" w:type="dxa"/>
              <w:right w:w="28" w:type="dxa"/>
            </w:tcMar>
            <w:vAlign w:val="center"/>
          </w:tcPr>
          <w:p w14:paraId="3F758D85">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 xml:space="preserve">  </w:t>
            </w:r>
            <w:r>
              <w:rPr>
                <w:color w:val="000000"/>
                <w:sz w:val="21"/>
                <w:szCs w:val="21"/>
              </w:rPr>
              <w:t>项目</w:t>
            </w:r>
          </w:p>
          <w:p w14:paraId="1844A1CE">
            <w:pPr>
              <w:keepNext w:val="0"/>
              <w:keepLines w:val="0"/>
              <w:pageBreakBefore w:val="0"/>
              <w:kinsoku/>
              <w:wordWrap/>
              <w:overflowPunct/>
              <w:topLinePunct w:val="0"/>
              <w:bidi w:val="0"/>
              <w:spacing w:line="240" w:lineRule="auto"/>
              <w:ind w:firstLine="0" w:firstLineChars="0"/>
              <w:jc w:val="both"/>
              <w:rPr>
                <w:color w:val="000000"/>
                <w:sz w:val="21"/>
                <w:szCs w:val="21"/>
              </w:rPr>
            </w:pPr>
            <w:r>
              <w:rPr>
                <w:color w:val="000000"/>
                <w:sz w:val="21"/>
                <w:szCs w:val="21"/>
              </w:rPr>
              <w:t>分类</w:t>
            </w:r>
          </w:p>
        </w:tc>
        <w:tc>
          <w:tcPr>
            <w:tcW w:w="684" w:type="pct"/>
            <w:noWrap w:val="0"/>
            <w:tcMar>
              <w:left w:w="28" w:type="dxa"/>
              <w:right w:w="28" w:type="dxa"/>
            </w:tcMar>
            <w:vAlign w:val="center"/>
          </w:tcPr>
          <w:p w14:paraId="241F7066">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污染物名称</w:t>
            </w:r>
          </w:p>
        </w:tc>
        <w:tc>
          <w:tcPr>
            <w:tcW w:w="541" w:type="pct"/>
            <w:noWrap w:val="0"/>
            <w:tcMar>
              <w:left w:w="28" w:type="dxa"/>
              <w:right w:w="28" w:type="dxa"/>
            </w:tcMar>
            <w:vAlign w:val="center"/>
          </w:tcPr>
          <w:p w14:paraId="595B225B">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现有工程</w:t>
            </w:r>
          </w:p>
          <w:p w14:paraId="3505A10A">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排放量（固体废物产生量）</w:t>
            </w:r>
            <w:r>
              <w:rPr>
                <w:color w:val="000000"/>
                <w:sz w:val="21"/>
                <w:szCs w:val="21"/>
              </w:rPr>
              <w:fldChar w:fldCharType="begin"/>
            </w:r>
            <w:r>
              <w:rPr>
                <w:color w:val="000000"/>
                <w:sz w:val="21"/>
                <w:szCs w:val="21"/>
              </w:rPr>
              <w:instrText xml:space="preserve"> = 1 \* GB3 \* MERGEFORMAT </w:instrText>
            </w:r>
            <w:r>
              <w:rPr>
                <w:color w:val="000000"/>
                <w:sz w:val="21"/>
                <w:szCs w:val="21"/>
              </w:rPr>
              <w:fldChar w:fldCharType="separate"/>
            </w:r>
            <w:r>
              <w:rPr>
                <w:color w:val="000000"/>
                <w:sz w:val="21"/>
                <w:szCs w:val="21"/>
              </w:rPr>
              <w:t>①</w:t>
            </w:r>
            <w:r>
              <w:rPr>
                <w:color w:val="000000"/>
                <w:sz w:val="21"/>
                <w:szCs w:val="21"/>
              </w:rPr>
              <w:fldChar w:fldCharType="end"/>
            </w:r>
          </w:p>
        </w:tc>
        <w:tc>
          <w:tcPr>
            <w:tcW w:w="399" w:type="pct"/>
            <w:noWrap w:val="0"/>
            <w:tcMar>
              <w:left w:w="28" w:type="dxa"/>
              <w:right w:w="28" w:type="dxa"/>
            </w:tcMar>
            <w:vAlign w:val="center"/>
          </w:tcPr>
          <w:p w14:paraId="1E908359">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现有工程</w:t>
            </w:r>
          </w:p>
          <w:p w14:paraId="647CA6FD">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许可排放量</w:t>
            </w:r>
            <w:r>
              <w:rPr>
                <w:color w:val="000000"/>
                <w:sz w:val="21"/>
                <w:szCs w:val="21"/>
              </w:rPr>
              <w:fldChar w:fldCharType="begin"/>
            </w:r>
            <w:r>
              <w:rPr>
                <w:color w:val="000000"/>
                <w:sz w:val="21"/>
                <w:szCs w:val="21"/>
              </w:rPr>
              <w:instrText xml:space="preserve"> = 2 \* GB3 \* MERGEFORMAT </w:instrText>
            </w:r>
            <w:r>
              <w:rPr>
                <w:color w:val="000000"/>
                <w:sz w:val="21"/>
                <w:szCs w:val="21"/>
              </w:rPr>
              <w:fldChar w:fldCharType="separate"/>
            </w:r>
            <w:r>
              <w:rPr>
                <w:color w:val="000000"/>
                <w:sz w:val="21"/>
                <w:szCs w:val="21"/>
              </w:rPr>
              <w:t>②</w:t>
            </w:r>
            <w:r>
              <w:rPr>
                <w:color w:val="000000"/>
                <w:sz w:val="21"/>
                <w:szCs w:val="21"/>
              </w:rPr>
              <w:fldChar w:fldCharType="end"/>
            </w:r>
          </w:p>
        </w:tc>
        <w:tc>
          <w:tcPr>
            <w:tcW w:w="548" w:type="pct"/>
            <w:noWrap w:val="0"/>
            <w:tcMar>
              <w:left w:w="28" w:type="dxa"/>
              <w:right w:w="28" w:type="dxa"/>
            </w:tcMar>
            <w:vAlign w:val="center"/>
          </w:tcPr>
          <w:p w14:paraId="0FD0DDD7">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在建工程排放量（固体废物产生量）</w:t>
            </w:r>
            <w:r>
              <w:rPr>
                <w:color w:val="000000"/>
                <w:sz w:val="21"/>
                <w:szCs w:val="21"/>
              </w:rPr>
              <w:fldChar w:fldCharType="begin"/>
            </w:r>
            <w:r>
              <w:rPr>
                <w:color w:val="000000"/>
                <w:sz w:val="21"/>
                <w:szCs w:val="21"/>
              </w:rPr>
              <w:instrText xml:space="preserve"> = 3 \* GB3 \* MERGEFORMAT </w:instrText>
            </w:r>
            <w:r>
              <w:rPr>
                <w:color w:val="000000"/>
                <w:sz w:val="21"/>
                <w:szCs w:val="21"/>
              </w:rPr>
              <w:fldChar w:fldCharType="separate"/>
            </w:r>
            <w:r>
              <w:rPr>
                <w:color w:val="000000"/>
                <w:sz w:val="21"/>
                <w:szCs w:val="21"/>
              </w:rPr>
              <w:t>③</w:t>
            </w:r>
            <w:r>
              <w:rPr>
                <w:color w:val="000000"/>
                <w:sz w:val="21"/>
                <w:szCs w:val="21"/>
              </w:rPr>
              <w:fldChar w:fldCharType="end"/>
            </w:r>
          </w:p>
        </w:tc>
        <w:tc>
          <w:tcPr>
            <w:tcW w:w="548" w:type="pct"/>
            <w:noWrap w:val="0"/>
            <w:tcMar>
              <w:left w:w="28" w:type="dxa"/>
              <w:right w:w="28" w:type="dxa"/>
            </w:tcMar>
            <w:vAlign w:val="center"/>
          </w:tcPr>
          <w:p w14:paraId="27EF788A">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本项目排放量（固体废物产生量）</w:t>
            </w:r>
            <w:r>
              <w:rPr>
                <w:color w:val="000000"/>
                <w:sz w:val="21"/>
                <w:szCs w:val="21"/>
              </w:rPr>
              <w:fldChar w:fldCharType="begin"/>
            </w:r>
            <w:r>
              <w:rPr>
                <w:color w:val="000000"/>
                <w:sz w:val="21"/>
                <w:szCs w:val="21"/>
              </w:rPr>
              <w:instrText xml:space="preserve"> = 4 \* GB3 \* MERGEFORMAT </w:instrText>
            </w:r>
            <w:r>
              <w:rPr>
                <w:color w:val="000000"/>
                <w:sz w:val="21"/>
                <w:szCs w:val="21"/>
              </w:rPr>
              <w:fldChar w:fldCharType="separate"/>
            </w:r>
            <w:r>
              <w:rPr>
                <w:color w:val="000000"/>
                <w:sz w:val="21"/>
                <w:szCs w:val="21"/>
              </w:rPr>
              <w:t>④</w:t>
            </w:r>
            <w:r>
              <w:rPr>
                <w:color w:val="000000"/>
                <w:sz w:val="21"/>
                <w:szCs w:val="21"/>
              </w:rPr>
              <w:fldChar w:fldCharType="end"/>
            </w:r>
          </w:p>
        </w:tc>
        <w:tc>
          <w:tcPr>
            <w:tcW w:w="554" w:type="pct"/>
            <w:noWrap w:val="0"/>
            <w:tcMar>
              <w:left w:w="28" w:type="dxa"/>
              <w:right w:w="28" w:type="dxa"/>
            </w:tcMar>
            <w:vAlign w:val="center"/>
          </w:tcPr>
          <w:p w14:paraId="6B69CD1A">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以新带老削减量</w:t>
            </w:r>
          </w:p>
          <w:p w14:paraId="03B365AD">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（新建项目不填）</w:t>
            </w:r>
            <w:r>
              <w:rPr>
                <w:color w:val="000000"/>
                <w:sz w:val="21"/>
                <w:szCs w:val="21"/>
              </w:rPr>
              <w:fldChar w:fldCharType="begin"/>
            </w:r>
            <w:r>
              <w:rPr>
                <w:color w:val="000000"/>
                <w:sz w:val="21"/>
                <w:szCs w:val="21"/>
              </w:rPr>
              <w:instrText xml:space="preserve"> = 5 \* GB3 \* MERGEFORMAT </w:instrText>
            </w:r>
            <w:r>
              <w:rPr>
                <w:color w:val="000000"/>
                <w:sz w:val="21"/>
                <w:szCs w:val="21"/>
              </w:rPr>
              <w:fldChar w:fldCharType="separate"/>
            </w:r>
            <w:r>
              <w:rPr>
                <w:color w:val="000000"/>
                <w:sz w:val="21"/>
                <w:szCs w:val="21"/>
              </w:rPr>
              <w:t>⑤</w:t>
            </w:r>
            <w:r>
              <w:rPr>
                <w:color w:val="000000"/>
                <w:sz w:val="21"/>
                <w:szCs w:val="21"/>
              </w:rPr>
              <w:fldChar w:fldCharType="end"/>
            </w:r>
          </w:p>
        </w:tc>
        <w:tc>
          <w:tcPr>
            <w:tcW w:w="743" w:type="pct"/>
            <w:noWrap w:val="0"/>
            <w:tcMar>
              <w:left w:w="28" w:type="dxa"/>
              <w:right w:w="28" w:type="dxa"/>
            </w:tcMar>
            <w:vAlign w:val="center"/>
          </w:tcPr>
          <w:p w14:paraId="60C20667">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本项目建成后</w:t>
            </w:r>
          </w:p>
          <w:p w14:paraId="27CE2301">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全厂排放量（固体废物产生量）</w:t>
            </w:r>
            <w:r>
              <w:rPr>
                <w:color w:val="000000"/>
                <w:sz w:val="21"/>
                <w:szCs w:val="21"/>
              </w:rPr>
              <w:fldChar w:fldCharType="begin"/>
            </w:r>
            <w:r>
              <w:rPr>
                <w:color w:val="000000"/>
                <w:sz w:val="21"/>
                <w:szCs w:val="21"/>
              </w:rPr>
              <w:instrText xml:space="preserve"> = 6 \* GB3 \* MERGEFORMAT </w:instrText>
            </w:r>
            <w:r>
              <w:rPr>
                <w:color w:val="000000"/>
                <w:sz w:val="21"/>
                <w:szCs w:val="21"/>
              </w:rPr>
              <w:fldChar w:fldCharType="separate"/>
            </w:r>
            <w:r>
              <w:rPr>
                <w:color w:val="000000"/>
                <w:sz w:val="21"/>
                <w:szCs w:val="21"/>
              </w:rPr>
              <w:t>⑥</w:t>
            </w:r>
            <w:r>
              <w:rPr>
                <w:color w:val="000000"/>
                <w:sz w:val="21"/>
                <w:szCs w:val="21"/>
              </w:rPr>
              <w:fldChar w:fldCharType="end"/>
            </w:r>
          </w:p>
        </w:tc>
        <w:tc>
          <w:tcPr>
            <w:tcW w:w="448" w:type="pct"/>
            <w:noWrap w:val="0"/>
            <w:tcMar>
              <w:left w:w="28" w:type="dxa"/>
              <w:right w:w="28" w:type="dxa"/>
            </w:tcMar>
            <w:vAlign w:val="center"/>
          </w:tcPr>
          <w:p w14:paraId="5C6485C9">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变化量</w:t>
            </w:r>
          </w:p>
          <w:p w14:paraId="58CA86AE">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fldChar w:fldCharType="begin"/>
            </w:r>
            <w:r>
              <w:rPr>
                <w:color w:val="000000"/>
                <w:sz w:val="21"/>
                <w:szCs w:val="21"/>
              </w:rPr>
              <w:instrText xml:space="preserve"> = 7 \* GB3 \* MERGEFORMAT </w:instrText>
            </w:r>
            <w:r>
              <w:rPr>
                <w:color w:val="000000"/>
                <w:sz w:val="21"/>
                <w:szCs w:val="21"/>
              </w:rPr>
              <w:fldChar w:fldCharType="separate"/>
            </w:r>
            <w:r>
              <w:rPr>
                <w:color w:val="000000"/>
                <w:sz w:val="21"/>
                <w:szCs w:val="21"/>
              </w:rPr>
              <w:t>⑦</w:t>
            </w:r>
            <w:r>
              <w:rPr>
                <w:color w:val="000000"/>
                <w:sz w:val="21"/>
                <w:szCs w:val="21"/>
              </w:rPr>
              <w:fldChar w:fldCharType="end"/>
            </w:r>
          </w:p>
        </w:tc>
      </w:tr>
      <w:tr w14:paraId="6ACF7A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restart"/>
            <w:noWrap w:val="0"/>
            <w:vAlign w:val="center"/>
          </w:tcPr>
          <w:p w14:paraId="316D5FED">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废气</w:t>
            </w:r>
          </w:p>
        </w:tc>
        <w:tc>
          <w:tcPr>
            <w:tcW w:w="684" w:type="pct"/>
            <w:noWrap w:val="0"/>
            <w:vAlign w:val="center"/>
          </w:tcPr>
          <w:p w14:paraId="645E3F23">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颗粒物（t/a）</w:t>
            </w:r>
          </w:p>
        </w:tc>
        <w:tc>
          <w:tcPr>
            <w:tcW w:w="541" w:type="pct"/>
            <w:noWrap w:val="0"/>
            <w:vAlign w:val="center"/>
          </w:tcPr>
          <w:p w14:paraId="2769F55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6E54AEAA">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0B8CF6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B54CF16">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1.74</w:t>
            </w:r>
          </w:p>
        </w:tc>
        <w:tc>
          <w:tcPr>
            <w:tcW w:w="554" w:type="pct"/>
            <w:noWrap w:val="0"/>
            <w:vAlign w:val="center"/>
          </w:tcPr>
          <w:p w14:paraId="33EFE3C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17601B8C">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1.74</w:t>
            </w:r>
          </w:p>
        </w:tc>
        <w:tc>
          <w:tcPr>
            <w:tcW w:w="448" w:type="pct"/>
            <w:noWrap w:val="0"/>
            <w:vAlign w:val="center"/>
          </w:tcPr>
          <w:p w14:paraId="7EDBED50">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ascii="Times New Roman" w:hAnsi="Times New Roman" w:eastAsia="宋体" w:cs="Times New Roman"/>
                <w:b w:val="0"/>
                <w:bCs/>
                <w:kern w:val="21"/>
                <w:sz w:val="21"/>
                <w:szCs w:val="21"/>
                <w:lang w:val="en-US" w:eastAsia="zh-CN"/>
              </w:rPr>
              <w:t>+</w:t>
            </w:r>
            <w:r>
              <w:rPr>
                <w:rFonts w:hint="default" w:ascii="Times New Roman" w:hAnsi="Times New Roman" w:eastAsia="宋体" w:cs="Times New Roman"/>
                <w:i w:val="0"/>
                <w:iCs w:val="0"/>
                <w:color w:val="000000"/>
                <w:kern w:val="0"/>
                <w:sz w:val="21"/>
                <w:szCs w:val="21"/>
                <w:u w:val="none"/>
                <w:lang w:val="en-US" w:eastAsia="zh-CN" w:bidi="ar"/>
              </w:rPr>
              <w:t>1.74</w:t>
            </w:r>
          </w:p>
        </w:tc>
      </w:tr>
      <w:tr w14:paraId="3E8E66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3AD4C8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6487A082">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rPr>
              <w:t>挥发性有机物</w:t>
            </w:r>
            <w:r>
              <w:rPr>
                <w:color w:val="000000"/>
                <w:sz w:val="21"/>
                <w:szCs w:val="21"/>
              </w:rPr>
              <w:t>（t/a）</w:t>
            </w:r>
          </w:p>
        </w:tc>
        <w:tc>
          <w:tcPr>
            <w:tcW w:w="541" w:type="pct"/>
            <w:noWrap w:val="0"/>
            <w:vAlign w:val="center"/>
          </w:tcPr>
          <w:p w14:paraId="5CABACBA">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76ADD1D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28AD3BA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6C61982">
            <w:pPr>
              <w:keepNext w:val="0"/>
              <w:keepLines w:val="0"/>
              <w:pageBreakBefore w:val="0"/>
              <w:kinsoku/>
              <w:wordWrap/>
              <w:overflowPunct/>
              <w:topLinePunct w:val="0"/>
              <w:bidi w:val="0"/>
              <w:spacing w:line="240" w:lineRule="auto"/>
              <w:ind w:firstLine="0" w:firstLineChars="0"/>
              <w:jc w:val="center"/>
              <w:rPr>
                <w:rFonts w:hint="default" w:eastAsia="宋体"/>
                <w:color w:val="000000"/>
                <w:spacing w:val="-1"/>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861</w:t>
            </w:r>
          </w:p>
        </w:tc>
        <w:tc>
          <w:tcPr>
            <w:tcW w:w="554" w:type="pct"/>
            <w:noWrap w:val="0"/>
            <w:vAlign w:val="center"/>
          </w:tcPr>
          <w:p w14:paraId="36893A9A">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724C02ED">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861</w:t>
            </w:r>
          </w:p>
        </w:tc>
        <w:tc>
          <w:tcPr>
            <w:tcW w:w="448" w:type="pct"/>
            <w:noWrap w:val="0"/>
            <w:vAlign w:val="center"/>
          </w:tcPr>
          <w:p w14:paraId="6796C4DE">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pacing w:val="-1"/>
                <w:sz w:val="21"/>
                <w:szCs w:val="21"/>
                <w:lang w:val="en-US" w:eastAsia="zh-CN"/>
              </w:rPr>
              <w:t>+</w:t>
            </w: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861</w:t>
            </w:r>
          </w:p>
        </w:tc>
      </w:tr>
      <w:tr w14:paraId="16C060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restart"/>
            <w:noWrap w:val="0"/>
            <w:vAlign w:val="center"/>
          </w:tcPr>
          <w:p w14:paraId="0EB33C1E">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废水</w:t>
            </w:r>
          </w:p>
        </w:tc>
        <w:tc>
          <w:tcPr>
            <w:tcW w:w="684" w:type="pct"/>
            <w:noWrap w:val="0"/>
            <w:vAlign w:val="center"/>
          </w:tcPr>
          <w:p w14:paraId="21EFAEFA">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废水量（m</w:t>
            </w:r>
            <w:r>
              <w:rPr>
                <w:color w:val="000000"/>
                <w:sz w:val="21"/>
                <w:szCs w:val="21"/>
                <w:vertAlign w:val="superscript"/>
              </w:rPr>
              <w:t>3</w:t>
            </w:r>
            <w:r>
              <w:rPr>
                <w:color w:val="000000"/>
                <w:sz w:val="21"/>
                <w:szCs w:val="21"/>
              </w:rPr>
              <w:t>/a）</w:t>
            </w:r>
          </w:p>
        </w:tc>
        <w:tc>
          <w:tcPr>
            <w:tcW w:w="541" w:type="pct"/>
            <w:noWrap w:val="0"/>
            <w:vAlign w:val="center"/>
          </w:tcPr>
          <w:p w14:paraId="2785FB54">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0596F79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2A5C9A8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6CA8DD2">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ascii="Times New Roman" w:hAnsi="Times New Roman"/>
                <w:kern w:val="0"/>
                <w:sz w:val="21"/>
                <w:szCs w:val="21"/>
                <w:lang w:val="en-US" w:eastAsia="zh-CN"/>
              </w:rPr>
              <w:t>198</w:t>
            </w:r>
          </w:p>
        </w:tc>
        <w:tc>
          <w:tcPr>
            <w:tcW w:w="554" w:type="pct"/>
            <w:noWrap w:val="0"/>
            <w:vAlign w:val="center"/>
          </w:tcPr>
          <w:p w14:paraId="1C932564">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5B761C6B">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ascii="Times New Roman" w:hAnsi="Times New Roman"/>
                <w:kern w:val="0"/>
                <w:sz w:val="21"/>
                <w:szCs w:val="21"/>
                <w:lang w:val="en-US" w:eastAsia="zh-CN"/>
              </w:rPr>
              <w:t>198</w:t>
            </w:r>
          </w:p>
        </w:tc>
        <w:tc>
          <w:tcPr>
            <w:tcW w:w="448" w:type="pct"/>
            <w:noWrap w:val="0"/>
            <w:vAlign w:val="center"/>
          </w:tcPr>
          <w:p w14:paraId="35043EC1">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rFonts w:hint="default" w:ascii="Times New Roman" w:hAnsi="Times New Roman"/>
                <w:kern w:val="0"/>
                <w:sz w:val="21"/>
                <w:szCs w:val="21"/>
                <w:lang w:val="en-US" w:eastAsia="zh-CN"/>
              </w:rPr>
              <w:t>198</w:t>
            </w:r>
          </w:p>
        </w:tc>
      </w:tr>
      <w:tr w14:paraId="62435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0BC1FF2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2C0D4512">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COD（t/a）</w:t>
            </w:r>
          </w:p>
        </w:tc>
        <w:tc>
          <w:tcPr>
            <w:tcW w:w="541" w:type="pct"/>
            <w:noWrap w:val="0"/>
            <w:vAlign w:val="center"/>
          </w:tcPr>
          <w:p w14:paraId="23D4B62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7C13AF37">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07B91C4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C170A6E">
            <w:pPr>
              <w:keepNext w:val="0"/>
              <w:keepLines w:val="0"/>
              <w:pageBreakBefore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0.010</w:t>
            </w:r>
          </w:p>
        </w:tc>
        <w:tc>
          <w:tcPr>
            <w:tcW w:w="554" w:type="pct"/>
            <w:noWrap w:val="0"/>
            <w:vAlign w:val="center"/>
          </w:tcPr>
          <w:p w14:paraId="65E16F1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4993691F">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0.010</w:t>
            </w:r>
          </w:p>
        </w:tc>
        <w:tc>
          <w:tcPr>
            <w:tcW w:w="1256" w:type="dxa"/>
            <w:noWrap w:val="0"/>
            <w:vAlign w:val="center"/>
          </w:tcPr>
          <w:p w14:paraId="1AD03964">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+0.010</w:t>
            </w:r>
          </w:p>
        </w:tc>
      </w:tr>
      <w:tr w14:paraId="5E4FF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2858770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40B4825C">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TP</w:t>
            </w:r>
            <w:r>
              <w:rPr>
                <w:color w:val="000000"/>
                <w:sz w:val="21"/>
                <w:szCs w:val="21"/>
              </w:rPr>
              <w:t>（t/a）</w:t>
            </w:r>
          </w:p>
        </w:tc>
        <w:tc>
          <w:tcPr>
            <w:tcW w:w="541" w:type="pct"/>
            <w:noWrap w:val="0"/>
            <w:vAlign w:val="center"/>
          </w:tcPr>
          <w:p w14:paraId="29DB6A1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28D8B64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E08D8D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E9C7597">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0</w:t>
            </w:r>
          </w:p>
        </w:tc>
        <w:tc>
          <w:tcPr>
            <w:tcW w:w="554" w:type="pct"/>
            <w:noWrap w:val="0"/>
            <w:vAlign w:val="center"/>
          </w:tcPr>
          <w:p w14:paraId="0FF86B7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052A81A0">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0</w:t>
            </w:r>
          </w:p>
        </w:tc>
        <w:tc>
          <w:tcPr>
            <w:tcW w:w="1256" w:type="dxa"/>
            <w:noWrap w:val="0"/>
            <w:vAlign w:val="center"/>
          </w:tcPr>
          <w:p w14:paraId="7C097EA4">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+0</w:t>
            </w:r>
          </w:p>
        </w:tc>
      </w:tr>
      <w:tr w14:paraId="31F96E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restart"/>
            <w:noWrap w:val="0"/>
            <w:vAlign w:val="center"/>
          </w:tcPr>
          <w:p w14:paraId="2E762B0D">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一般工业</w:t>
            </w:r>
          </w:p>
          <w:p w14:paraId="2207E380">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固体废物</w:t>
            </w:r>
          </w:p>
        </w:tc>
        <w:tc>
          <w:tcPr>
            <w:tcW w:w="684" w:type="pct"/>
            <w:noWrap w:val="0"/>
            <w:vAlign w:val="center"/>
          </w:tcPr>
          <w:p w14:paraId="388C28E1">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职工生活垃圾（t/a）</w:t>
            </w:r>
          </w:p>
        </w:tc>
        <w:tc>
          <w:tcPr>
            <w:tcW w:w="541" w:type="pct"/>
            <w:noWrap w:val="0"/>
            <w:vAlign w:val="center"/>
          </w:tcPr>
          <w:p w14:paraId="6992EA87">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74A320E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55B8469">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01A34A5">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themeColor="text1"/>
                <w:sz w:val="21"/>
                <w:szCs w:val="21"/>
                <w14:textFill>
                  <w14:solidFill>
                    <w14:schemeClr w14:val="tx1"/>
                  </w14:solidFill>
                </w14:textFill>
              </w:rPr>
              <w:t>2.475</w:t>
            </w:r>
          </w:p>
        </w:tc>
        <w:tc>
          <w:tcPr>
            <w:tcW w:w="554" w:type="pct"/>
            <w:noWrap w:val="0"/>
            <w:vAlign w:val="center"/>
          </w:tcPr>
          <w:p w14:paraId="0246F9E6">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7153261C">
            <w:pPr>
              <w:keepNext w:val="0"/>
              <w:keepLines w:val="0"/>
              <w:pageBreakBefore w:val="0"/>
              <w:kinsoku/>
              <w:wordWrap/>
              <w:overflowPunct/>
              <w:topLinePunct w:val="0"/>
              <w:bidi w:val="0"/>
              <w:spacing w:line="240" w:lineRule="auto"/>
              <w:ind w:firstLine="0" w:firstLineChars="0"/>
              <w:jc w:val="center"/>
              <w:rPr>
                <w:bCs/>
                <w:color w:val="000000"/>
                <w:kern w:val="0"/>
                <w:sz w:val="21"/>
                <w:szCs w:val="21"/>
              </w:rPr>
            </w:pPr>
            <w:r>
              <w:rPr>
                <w:bCs/>
                <w:color w:val="000000"/>
                <w:kern w:val="0"/>
                <w:sz w:val="21"/>
                <w:szCs w:val="21"/>
              </w:rPr>
              <w:t>2.475</w:t>
            </w:r>
          </w:p>
        </w:tc>
        <w:tc>
          <w:tcPr>
            <w:tcW w:w="448" w:type="pct"/>
            <w:noWrap w:val="0"/>
            <w:vAlign w:val="center"/>
          </w:tcPr>
          <w:p w14:paraId="10F0CE62">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+2.475</w:t>
            </w:r>
          </w:p>
        </w:tc>
      </w:tr>
      <w:tr w14:paraId="2FF4C8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506A842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4815ECEE">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化粪池污泥（t/a）</w:t>
            </w:r>
          </w:p>
        </w:tc>
        <w:tc>
          <w:tcPr>
            <w:tcW w:w="541" w:type="pct"/>
            <w:noWrap w:val="0"/>
            <w:vAlign w:val="center"/>
          </w:tcPr>
          <w:p w14:paraId="11813E5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36126769">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C934E6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1EA87E0">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themeColor="text1"/>
                <w:sz w:val="21"/>
                <w:szCs w:val="21"/>
                <w14:textFill>
                  <w14:solidFill>
                    <w14:schemeClr w14:val="tx1"/>
                  </w14:solidFill>
                </w14:textFill>
              </w:rPr>
              <w:t>1.238</w:t>
            </w:r>
          </w:p>
        </w:tc>
        <w:tc>
          <w:tcPr>
            <w:tcW w:w="554" w:type="pct"/>
            <w:noWrap w:val="0"/>
            <w:vAlign w:val="center"/>
          </w:tcPr>
          <w:p w14:paraId="10C7AF3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54117C20">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themeColor="text1"/>
                <w:sz w:val="21"/>
                <w:szCs w:val="21"/>
                <w14:textFill>
                  <w14:solidFill>
                    <w14:schemeClr w14:val="tx1"/>
                  </w14:solidFill>
                </w14:textFill>
              </w:rPr>
              <w:t>1.238</w:t>
            </w:r>
          </w:p>
        </w:tc>
        <w:tc>
          <w:tcPr>
            <w:tcW w:w="448" w:type="pct"/>
            <w:noWrap w:val="0"/>
            <w:vAlign w:val="center"/>
          </w:tcPr>
          <w:p w14:paraId="008EEA37">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color w:val="000000" w:themeColor="text1"/>
                <w:sz w:val="21"/>
                <w:szCs w:val="21"/>
                <w14:textFill>
                  <w14:solidFill>
                    <w14:schemeClr w14:val="tx1"/>
                  </w14:solidFill>
                </w14:textFill>
              </w:rPr>
              <w:t>1.238</w:t>
            </w:r>
          </w:p>
        </w:tc>
      </w:tr>
      <w:tr w14:paraId="4AFA8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267B656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2F47A0E7">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不合格品（t/a）</w:t>
            </w:r>
          </w:p>
        </w:tc>
        <w:tc>
          <w:tcPr>
            <w:tcW w:w="541" w:type="pct"/>
            <w:noWrap w:val="0"/>
            <w:vAlign w:val="center"/>
          </w:tcPr>
          <w:p w14:paraId="001CAB6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73D98AD7">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FCF2FD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35D7C3D">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default"/>
                <w:color w:val="000000" w:themeColor="text1"/>
                <w:sz w:val="21"/>
                <w:szCs w:val="21"/>
                <w:lang w:val="en-US" w:eastAsia="zh-CN"/>
                <w14:textFill>
                  <w14:solidFill>
                    <w14:schemeClr w14:val="tx1"/>
                  </w14:solidFill>
                </w14:textFill>
              </w:rPr>
              <w:t>6</w:t>
            </w:r>
            <w:r>
              <w:rPr>
                <w:rFonts w:hint="default"/>
                <w:color w:val="000000" w:themeColor="text1"/>
                <w:sz w:val="21"/>
                <w:szCs w:val="21"/>
                <w14:textFill>
                  <w14:solidFill>
                    <w14:schemeClr w14:val="tx1"/>
                  </w14:solidFill>
                </w14:textFill>
              </w:rPr>
              <w:t>00</w:t>
            </w:r>
          </w:p>
        </w:tc>
        <w:tc>
          <w:tcPr>
            <w:tcW w:w="554" w:type="pct"/>
            <w:noWrap w:val="0"/>
            <w:vAlign w:val="center"/>
          </w:tcPr>
          <w:p w14:paraId="771B4BF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0645D36C">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color w:val="000000" w:themeColor="text1"/>
                <w:sz w:val="21"/>
                <w:szCs w:val="21"/>
                <w:lang w:val="en-US" w:eastAsia="zh-CN"/>
                <w14:textFill>
                  <w14:solidFill>
                    <w14:schemeClr w14:val="tx1"/>
                  </w14:solidFill>
                </w14:textFill>
              </w:rPr>
              <w:t>6</w:t>
            </w:r>
            <w:r>
              <w:rPr>
                <w:rFonts w:hint="default"/>
                <w:color w:val="000000" w:themeColor="text1"/>
                <w:sz w:val="21"/>
                <w:szCs w:val="21"/>
                <w14:textFill>
                  <w14:solidFill>
                    <w14:schemeClr w14:val="tx1"/>
                  </w14:solidFill>
                </w14:textFill>
              </w:rPr>
              <w:t>00</w:t>
            </w:r>
          </w:p>
        </w:tc>
        <w:tc>
          <w:tcPr>
            <w:tcW w:w="448" w:type="pct"/>
            <w:noWrap w:val="0"/>
            <w:vAlign w:val="center"/>
          </w:tcPr>
          <w:p w14:paraId="147819BC">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rFonts w:hint="default"/>
                <w:color w:val="000000" w:themeColor="text1"/>
                <w:sz w:val="21"/>
                <w:szCs w:val="21"/>
                <w:lang w:val="en-US" w:eastAsia="zh-CN"/>
                <w14:textFill>
                  <w14:solidFill>
                    <w14:schemeClr w14:val="tx1"/>
                  </w14:solidFill>
                </w14:textFill>
              </w:rPr>
              <w:t>6</w:t>
            </w:r>
            <w:r>
              <w:rPr>
                <w:rFonts w:hint="default"/>
                <w:color w:val="000000" w:themeColor="text1"/>
                <w:sz w:val="21"/>
                <w:szCs w:val="21"/>
                <w14:textFill>
                  <w14:solidFill>
                    <w14:schemeClr w14:val="tx1"/>
                  </w14:solidFill>
                </w14:textFill>
              </w:rPr>
              <w:t>00</w:t>
            </w:r>
          </w:p>
        </w:tc>
      </w:tr>
      <w:tr w14:paraId="2C2417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0808B0B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1A1B882D">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废砂（t/a）</w:t>
            </w:r>
          </w:p>
        </w:tc>
        <w:tc>
          <w:tcPr>
            <w:tcW w:w="541" w:type="pct"/>
            <w:noWrap w:val="0"/>
            <w:vAlign w:val="center"/>
          </w:tcPr>
          <w:p w14:paraId="770BB159">
            <w:pPr>
              <w:keepNext w:val="0"/>
              <w:keepLines w:val="0"/>
              <w:pageBreakBefore w:val="0"/>
              <w:kinsoku/>
              <w:wordWrap/>
              <w:overflowPunct/>
              <w:topLinePunct w:val="0"/>
              <w:bidi w:val="0"/>
              <w:spacing w:line="240" w:lineRule="auto"/>
              <w:ind w:firstLine="0" w:firstLineChars="0"/>
              <w:jc w:val="center"/>
              <w:rPr>
                <w:color w:val="000000"/>
                <w:spacing w:val="-2"/>
                <w:sz w:val="21"/>
                <w:szCs w:val="21"/>
              </w:rPr>
            </w:pPr>
          </w:p>
        </w:tc>
        <w:tc>
          <w:tcPr>
            <w:tcW w:w="399" w:type="pct"/>
            <w:noWrap w:val="0"/>
            <w:vAlign w:val="center"/>
          </w:tcPr>
          <w:p w14:paraId="7A40A8B9">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21E4E55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B9DCE5F">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lang w:val="en-US" w:eastAsia="zh-CN"/>
              </w:rPr>
              <w:t>1757.537</w:t>
            </w:r>
          </w:p>
        </w:tc>
        <w:tc>
          <w:tcPr>
            <w:tcW w:w="554" w:type="pct"/>
            <w:noWrap w:val="0"/>
            <w:vAlign w:val="center"/>
          </w:tcPr>
          <w:p w14:paraId="427013AF">
            <w:pPr>
              <w:keepNext w:val="0"/>
              <w:keepLines w:val="0"/>
              <w:pageBreakBefore w:val="0"/>
              <w:kinsoku/>
              <w:wordWrap/>
              <w:overflowPunct/>
              <w:topLinePunct w:val="0"/>
              <w:bidi w:val="0"/>
              <w:spacing w:line="240" w:lineRule="auto"/>
              <w:ind w:firstLine="0" w:firstLineChars="0"/>
              <w:jc w:val="center"/>
              <w:rPr>
                <w:rFonts w:hint="default" w:eastAsia="宋体"/>
                <w:color w:val="000000"/>
                <w:sz w:val="21"/>
                <w:szCs w:val="21"/>
                <w:lang w:val="en-US" w:eastAsia="zh-CN"/>
              </w:rPr>
            </w:pPr>
          </w:p>
        </w:tc>
        <w:tc>
          <w:tcPr>
            <w:tcW w:w="743" w:type="pct"/>
            <w:noWrap w:val="0"/>
            <w:vAlign w:val="center"/>
          </w:tcPr>
          <w:p w14:paraId="15952AF9">
            <w:pPr>
              <w:keepNext w:val="0"/>
              <w:keepLines w:val="0"/>
              <w:pageBreakBefore w:val="0"/>
              <w:kinsoku/>
              <w:wordWrap/>
              <w:overflowPunct/>
              <w:topLinePunct w:val="0"/>
              <w:bidi w:val="0"/>
              <w:spacing w:line="240" w:lineRule="auto"/>
              <w:ind w:firstLine="0" w:firstLineChars="0"/>
              <w:jc w:val="center"/>
              <w:rPr>
                <w:bCs/>
                <w:color w:val="000000"/>
                <w:kern w:val="0"/>
                <w:sz w:val="21"/>
                <w:szCs w:val="21"/>
              </w:rPr>
            </w:pPr>
            <w:r>
              <w:rPr>
                <w:rFonts w:hint="eastAsia"/>
                <w:color w:val="000000"/>
                <w:sz w:val="21"/>
                <w:szCs w:val="21"/>
                <w:lang w:val="en-US" w:eastAsia="zh-CN"/>
              </w:rPr>
              <w:t>1757.537</w:t>
            </w:r>
          </w:p>
        </w:tc>
        <w:tc>
          <w:tcPr>
            <w:tcW w:w="448" w:type="pct"/>
            <w:noWrap w:val="0"/>
            <w:vAlign w:val="center"/>
          </w:tcPr>
          <w:p w14:paraId="03B80920">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+1757.537</w:t>
            </w:r>
          </w:p>
        </w:tc>
      </w:tr>
      <w:tr w14:paraId="6F01D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34474C5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69490313">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w:t>
            </w:r>
            <w:r>
              <w:rPr>
                <w:rFonts w:hint="eastAsia"/>
                <w:color w:val="000000"/>
                <w:sz w:val="21"/>
                <w:szCs w:val="21"/>
                <w:lang w:val="en-US" w:eastAsia="zh-CN"/>
              </w:rPr>
              <w:t>铁</w:t>
            </w:r>
            <w:r>
              <w:rPr>
                <w:color w:val="000000"/>
                <w:sz w:val="21"/>
                <w:szCs w:val="21"/>
              </w:rPr>
              <w:t>屑（t/a）</w:t>
            </w:r>
          </w:p>
        </w:tc>
        <w:tc>
          <w:tcPr>
            <w:tcW w:w="541" w:type="pct"/>
            <w:noWrap w:val="0"/>
            <w:vAlign w:val="center"/>
          </w:tcPr>
          <w:p w14:paraId="21ABA2C2">
            <w:pPr>
              <w:keepNext w:val="0"/>
              <w:keepLines w:val="0"/>
              <w:pageBreakBefore w:val="0"/>
              <w:kinsoku/>
              <w:wordWrap/>
              <w:overflowPunct/>
              <w:topLinePunct w:val="0"/>
              <w:bidi w:val="0"/>
              <w:spacing w:line="240" w:lineRule="auto"/>
              <w:ind w:firstLine="0" w:firstLineChars="0"/>
              <w:jc w:val="center"/>
              <w:rPr>
                <w:color w:val="000000"/>
                <w:spacing w:val="-2"/>
                <w:sz w:val="21"/>
                <w:szCs w:val="21"/>
              </w:rPr>
            </w:pPr>
          </w:p>
        </w:tc>
        <w:tc>
          <w:tcPr>
            <w:tcW w:w="399" w:type="pct"/>
            <w:noWrap w:val="0"/>
            <w:vAlign w:val="center"/>
          </w:tcPr>
          <w:p w14:paraId="0F79E38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9E7E8E5">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01DC7CAA">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themeColor="text1"/>
                <w:sz w:val="21"/>
                <w:szCs w:val="21"/>
                <w:lang w:val="en-US" w:eastAsia="zh-CN"/>
                <w14:textFill>
                  <w14:solidFill>
                    <w14:schemeClr w14:val="tx1"/>
                  </w14:solidFill>
                </w14:textFill>
              </w:rPr>
              <w:t>360</w:t>
            </w:r>
          </w:p>
        </w:tc>
        <w:tc>
          <w:tcPr>
            <w:tcW w:w="554" w:type="pct"/>
            <w:noWrap w:val="0"/>
            <w:vAlign w:val="center"/>
          </w:tcPr>
          <w:p w14:paraId="6DFAA89C">
            <w:pPr>
              <w:keepNext w:val="0"/>
              <w:keepLines w:val="0"/>
              <w:pageBreakBefore w:val="0"/>
              <w:kinsoku/>
              <w:wordWrap/>
              <w:overflowPunct/>
              <w:topLinePunct w:val="0"/>
              <w:bidi w:val="0"/>
              <w:spacing w:line="240" w:lineRule="auto"/>
              <w:ind w:firstLine="0" w:firstLineChars="0"/>
              <w:jc w:val="center"/>
              <w:rPr>
                <w:rFonts w:hint="default" w:eastAsia="宋体"/>
                <w:color w:val="000000"/>
                <w:sz w:val="21"/>
                <w:szCs w:val="21"/>
                <w:lang w:val="en-US" w:eastAsia="zh-CN"/>
              </w:rPr>
            </w:pPr>
          </w:p>
        </w:tc>
        <w:tc>
          <w:tcPr>
            <w:tcW w:w="743" w:type="pct"/>
            <w:noWrap w:val="0"/>
            <w:vAlign w:val="center"/>
          </w:tcPr>
          <w:p w14:paraId="3F5FB061">
            <w:pPr>
              <w:keepNext w:val="0"/>
              <w:keepLines w:val="0"/>
              <w:pageBreakBefore w:val="0"/>
              <w:kinsoku/>
              <w:wordWrap/>
              <w:overflowPunct/>
              <w:topLinePunct w:val="0"/>
              <w:bidi w:val="0"/>
              <w:spacing w:line="240" w:lineRule="auto"/>
              <w:ind w:firstLine="0" w:firstLineChars="0"/>
              <w:jc w:val="center"/>
              <w:rPr>
                <w:bCs/>
                <w:color w:val="000000"/>
                <w:kern w:val="0"/>
                <w:sz w:val="21"/>
                <w:szCs w:val="21"/>
              </w:rPr>
            </w:pPr>
            <w:r>
              <w:rPr>
                <w:rFonts w:hint="eastAsia"/>
                <w:color w:val="000000" w:themeColor="text1"/>
                <w:sz w:val="21"/>
                <w:szCs w:val="21"/>
                <w:lang w:val="en-US" w:eastAsia="zh-CN"/>
                <w14:textFill>
                  <w14:solidFill>
                    <w14:schemeClr w14:val="tx1"/>
                  </w14:solidFill>
                </w14:textFill>
              </w:rPr>
              <w:t>360</w:t>
            </w:r>
          </w:p>
        </w:tc>
        <w:tc>
          <w:tcPr>
            <w:tcW w:w="448" w:type="pct"/>
            <w:noWrap w:val="0"/>
            <w:vAlign w:val="center"/>
          </w:tcPr>
          <w:p w14:paraId="61377B6F">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rFonts w:hint="eastAsia"/>
                <w:color w:val="000000" w:themeColor="text1"/>
                <w:sz w:val="21"/>
                <w:szCs w:val="21"/>
                <w:lang w:val="en-US" w:eastAsia="zh-CN"/>
                <w14:textFill>
                  <w14:solidFill>
                    <w14:schemeClr w14:val="tx1"/>
                  </w14:solidFill>
                </w14:textFill>
              </w:rPr>
              <w:t>360</w:t>
            </w:r>
          </w:p>
        </w:tc>
      </w:tr>
      <w:tr w14:paraId="20AE84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251C361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6BE63DB6">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w:t>
            </w:r>
            <w:r>
              <w:rPr>
                <w:rFonts w:hint="eastAsia"/>
                <w:color w:val="000000"/>
                <w:sz w:val="21"/>
                <w:szCs w:val="21"/>
                <w:lang w:val="en-US" w:eastAsia="zh-CN"/>
              </w:rPr>
              <w:t>钢丸</w:t>
            </w:r>
            <w:r>
              <w:rPr>
                <w:color w:val="000000"/>
                <w:sz w:val="21"/>
                <w:szCs w:val="21"/>
              </w:rPr>
              <w:t>（t/a）</w:t>
            </w:r>
          </w:p>
        </w:tc>
        <w:tc>
          <w:tcPr>
            <w:tcW w:w="541" w:type="pct"/>
            <w:noWrap w:val="0"/>
            <w:vAlign w:val="center"/>
          </w:tcPr>
          <w:p w14:paraId="72D6DC56">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p>
        </w:tc>
        <w:tc>
          <w:tcPr>
            <w:tcW w:w="399" w:type="pct"/>
            <w:noWrap w:val="0"/>
            <w:vAlign w:val="center"/>
          </w:tcPr>
          <w:p w14:paraId="48DC89E5">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79EFF57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AE7B6AB">
            <w:pPr>
              <w:keepNext w:val="0"/>
              <w:keepLines w:val="0"/>
              <w:pageBreakBefore w:val="0"/>
              <w:kinsoku/>
              <w:wordWrap/>
              <w:overflowPunct/>
              <w:topLinePunct w:val="0"/>
              <w:bidi w:val="0"/>
              <w:spacing w:line="240" w:lineRule="auto"/>
              <w:ind w:firstLine="0" w:firstLineChars="0"/>
              <w:jc w:val="center"/>
              <w:rPr>
                <w:rFonts w:hint="default"/>
                <w:color w:val="000000"/>
                <w:sz w:val="21"/>
                <w:szCs w:val="21"/>
                <w:lang w:val="en-US"/>
              </w:rPr>
            </w:pPr>
            <w:r>
              <w:rPr>
                <w:rFonts w:hint="eastAsia"/>
                <w:color w:val="000000" w:themeColor="text1"/>
                <w:sz w:val="21"/>
                <w:szCs w:val="21"/>
                <w:lang w:val="en-US" w:eastAsia="zh-CN"/>
                <w14:textFill>
                  <w14:solidFill>
                    <w14:schemeClr w14:val="tx1"/>
                  </w14:solidFill>
                </w14:textFill>
              </w:rPr>
              <w:t>20</w:t>
            </w:r>
          </w:p>
        </w:tc>
        <w:tc>
          <w:tcPr>
            <w:tcW w:w="554" w:type="pct"/>
            <w:noWrap w:val="0"/>
            <w:vAlign w:val="center"/>
          </w:tcPr>
          <w:p w14:paraId="00FFEEC7">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0DE0EF8D">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themeColor="text1"/>
                <w:sz w:val="21"/>
                <w:szCs w:val="21"/>
                <w:lang w:val="en-US" w:eastAsia="zh-CN"/>
                <w14:textFill>
                  <w14:solidFill>
                    <w14:schemeClr w14:val="tx1"/>
                  </w14:solidFill>
                </w14:textFill>
              </w:rPr>
              <w:t>20</w:t>
            </w:r>
          </w:p>
        </w:tc>
        <w:tc>
          <w:tcPr>
            <w:tcW w:w="448" w:type="pct"/>
            <w:noWrap w:val="0"/>
            <w:vAlign w:val="center"/>
          </w:tcPr>
          <w:p w14:paraId="251701E7">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rFonts w:hint="eastAsia"/>
                <w:color w:val="000000" w:themeColor="text1"/>
                <w:sz w:val="21"/>
                <w:szCs w:val="21"/>
                <w:lang w:val="en-US" w:eastAsia="zh-CN"/>
                <w14:textFill>
                  <w14:solidFill>
                    <w14:schemeClr w14:val="tx1"/>
                  </w14:solidFill>
                </w14:textFill>
              </w:rPr>
              <w:t>20</w:t>
            </w:r>
          </w:p>
        </w:tc>
      </w:tr>
      <w:tr w14:paraId="2D7FEB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E1770E0">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1D229232">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default"/>
                <w:color w:val="000000"/>
                <w:sz w:val="21"/>
                <w:szCs w:val="21"/>
              </w:rPr>
              <w:t>废包装袋</w:t>
            </w:r>
            <w:r>
              <w:rPr>
                <w:color w:val="000000"/>
                <w:sz w:val="21"/>
                <w:szCs w:val="21"/>
              </w:rPr>
              <w:t>（t/a）</w:t>
            </w:r>
          </w:p>
        </w:tc>
        <w:tc>
          <w:tcPr>
            <w:tcW w:w="541" w:type="pct"/>
            <w:noWrap w:val="0"/>
            <w:vAlign w:val="center"/>
          </w:tcPr>
          <w:p w14:paraId="5C34FD4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5373A68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313707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31D42A3">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themeColor="text1"/>
                <w:sz w:val="21"/>
                <w:szCs w:val="21"/>
                <w:lang w:val="en-US" w:eastAsia="zh-CN"/>
                <w14:textFill>
                  <w14:solidFill>
                    <w14:schemeClr w14:val="tx1"/>
                  </w14:solidFill>
                </w14:textFill>
              </w:rPr>
              <w:t>3.0</w:t>
            </w:r>
          </w:p>
        </w:tc>
        <w:tc>
          <w:tcPr>
            <w:tcW w:w="554" w:type="pct"/>
            <w:noWrap w:val="0"/>
            <w:vAlign w:val="center"/>
          </w:tcPr>
          <w:p w14:paraId="4DD369D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2FED4A44">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themeColor="text1"/>
                <w:sz w:val="21"/>
                <w:szCs w:val="21"/>
                <w:lang w:val="en-US" w:eastAsia="zh-CN"/>
                <w14:textFill>
                  <w14:solidFill>
                    <w14:schemeClr w14:val="tx1"/>
                  </w14:solidFill>
                </w14:textFill>
              </w:rPr>
              <w:t>3.0</w:t>
            </w:r>
          </w:p>
        </w:tc>
        <w:tc>
          <w:tcPr>
            <w:tcW w:w="448" w:type="pct"/>
            <w:noWrap w:val="0"/>
            <w:vAlign w:val="center"/>
          </w:tcPr>
          <w:p w14:paraId="45BEDDD5">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w:t>
            </w:r>
            <w:r>
              <w:rPr>
                <w:rFonts w:hint="eastAsia"/>
                <w:color w:val="000000" w:themeColor="text1"/>
                <w:sz w:val="21"/>
                <w:szCs w:val="21"/>
                <w:lang w:val="en-US" w:eastAsia="zh-CN"/>
                <w14:textFill>
                  <w14:solidFill>
                    <w14:schemeClr w14:val="tx1"/>
                  </w14:solidFill>
                </w14:textFill>
              </w:rPr>
              <w:t>3.0</w:t>
            </w:r>
          </w:p>
        </w:tc>
      </w:tr>
      <w:tr w14:paraId="1B1B0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55A70D6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368DC522">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rPr>
              <w:t>袋式除尘器收集粉尘</w:t>
            </w:r>
            <w:r>
              <w:rPr>
                <w:color w:val="000000"/>
                <w:sz w:val="21"/>
                <w:szCs w:val="21"/>
              </w:rPr>
              <w:t>（t/a）</w:t>
            </w:r>
          </w:p>
        </w:tc>
        <w:tc>
          <w:tcPr>
            <w:tcW w:w="541" w:type="pct"/>
            <w:noWrap w:val="0"/>
            <w:vAlign w:val="center"/>
          </w:tcPr>
          <w:p w14:paraId="54A7C42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673A993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D8D5B26">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2C24C408">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lang w:val="en-US" w:eastAsia="zh-CN"/>
              </w:rPr>
              <w:t>100.883</w:t>
            </w:r>
          </w:p>
        </w:tc>
        <w:tc>
          <w:tcPr>
            <w:tcW w:w="554" w:type="pct"/>
            <w:noWrap w:val="0"/>
            <w:vAlign w:val="center"/>
          </w:tcPr>
          <w:p w14:paraId="22739C96">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743" w:type="pct"/>
            <w:noWrap w:val="0"/>
            <w:vAlign w:val="center"/>
          </w:tcPr>
          <w:p w14:paraId="5FEA57AE">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100.883</w:t>
            </w:r>
          </w:p>
        </w:tc>
        <w:tc>
          <w:tcPr>
            <w:tcW w:w="448" w:type="pct"/>
            <w:noWrap w:val="0"/>
            <w:vAlign w:val="center"/>
          </w:tcPr>
          <w:p w14:paraId="7073FF5F">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+100.883</w:t>
            </w:r>
          </w:p>
        </w:tc>
      </w:tr>
      <w:tr w14:paraId="4E2900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6174BD2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4AA5AD57">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炉渣</w:t>
            </w:r>
            <w:r>
              <w:rPr>
                <w:color w:val="000000"/>
                <w:sz w:val="21"/>
                <w:szCs w:val="21"/>
              </w:rPr>
              <w:t>（t/a）</w:t>
            </w:r>
          </w:p>
        </w:tc>
        <w:tc>
          <w:tcPr>
            <w:tcW w:w="541" w:type="pct"/>
            <w:noWrap w:val="0"/>
            <w:vAlign w:val="center"/>
          </w:tcPr>
          <w:p w14:paraId="5EFC179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399" w:type="pct"/>
            <w:noWrap w:val="0"/>
            <w:vAlign w:val="center"/>
          </w:tcPr>
          <w:p w14:paraId="7FD9916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6A2A22E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F2F33BC">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hAnsi="宋体"/>
                <w:b w:val="0"/>
                <w:bCs w:val="0"/>
                <w:sz w:val="21"/>
                <w:szCs w:val="21"/>
                <w:u w:val="none"/>
                <w:lang w:val="en-US" w:eastAsia="zh-CN"/>
              </w:rPr>
              <w:t>120</w:t>
            </w:r>
          </w:p>
        </w:tc>
        <w:tc>
          <w:tcPr>
            <w:tcW w:w="554" w:type="pct"/>
            <w:noWrap w:val="0"/>
            <w:vAlign w:val="center"/>
          </w:tcPr>
          <w:p w14:paraId="2F6C77AE">
            <w:pPr>
              <w:keepNext w:val="0"/>
              <w:keepLines w:val="0"/>
              <w:pageBreakBefore w:val="0"/>
              <w:kinsoku/>
              <w:wordWrap/>
              <w:overflowPunct/>
              <w:topLinePunct w:val="0"/>
              <w:bidi w:val="0"/>
              <w:spacing w:line="240" w:lineRule="auto"/>
              <w:ind w:firstLine="0" w:firstLineChars="0"/>
              <w:jc w:val="center"/>
              <w:rPr>
                <w:rFonts w:hint="default" w:eastAsia="宋体"/>
                <w:color w:val="000000"/>
                <w:sz w:val="21"/>
                <w:szCs w:val="21"/>
                <w:lang w:val="en-US" w:eastAsia="zh-CN"/>
              </w:rPr>
            </w:pPr>
          </w:p>
        </w:tc>
        <w:tc>
          <w:tcPr>
            <w:tcW w:w="743" w:type="pct"/>
            <w:noWrap w:val="0"/>
            <w:vAlign w:val="center"/>
          </w:tcPr>
          <w:p w14:paraId="53B4B127">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hAnsi="宋体"/>
                <w:b w:val="0"/>
                <w:bCs w:val="0"/>
                <w:sz w:val="21"/>
                <w:szCs w:val="21"/>
                <w:u w:val="none"/>
                <w:lang w:val="en-US" w:eastAsia="zh-CN"/>
              </w:rPr>
              <w:t>120</w:t>
            </w:r>
          </w:p>
        </w:tc>
        <w:tc>
          <w:tcPr>
            <w:tcW w:w="448" w:type="pct"/>
            <w:noWrap w:val="0"/>
            <w:vAlign w:val="center"/>
          </w:tcPr>
          <w:p w14:paraId="78D08C82">
            <w:pPr>
              <w:keepNext w:val="0"/>
              <w:keepLines w:val="0"/>
              <w:pageBreakBefore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w:t>
            </w:r>
            <w:r>
              <w:rPr>
                <w:rFonts w:hint="eastAsia" w:hAnsi="宋体"/>
                <w:b w:val="0"/>
                <w:bCs w:val="0"/>
                <w:sz w:val="21"/>
                <w:szCs w:val="21"/>
                <w:u w:val="none"/>
                <w:lang w:val="en-US" w:eastAsia="zh-CN"/>
              </w:rPr>
              <w:t>120</w:t>
            </w:r>
          </w:p>
        </w:tc>
      </w:tr>
      <w:tr w14:paraId="769913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restart"/>
            <w:noWrap w:val="0"/>
            <w:vAlign w:val="center"/>
          </w:tcPr>
          <w:p w14:paraId="611A19F1">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危险废物</w:t>
            </w:r>
          </w:p>
        </w:tc>
        <w:tc>
          <w:tcPr>
            <w:tcW w:w="684" w:type="pct"/>
            <w:noWrap w:val="0"/>
            <w:vAlign w:val="center"/>
          </w:tcPr>
          <w:p w14:paraId="125371E2">
            <w:pPr>
              <w:keepNext w:val="0"/>
              <w:keepLines w:val="0"/>
              <w:pageBreakBefore w:val="0"/>
              <w:kinsoku/>
              <w:wordWrap/>
              <w:overflowPunct/>
              <w:topLinePunct w:val="0"/>
              <w:bidi w:val="0"/>
              <w:adjustRightInd w:val="0"/>
              <w:snapToGrid w:val="0"/>
              <w:spacing w:line="240" w:lineRule="auto"/>
              <w:ind w:firstLine="0" w:firstLineChars="0"/>
              <w:jc w:val="center"/>
              <w:rPr>
                <w:color w:val="000000"/>
                <w:sz w:val="21"/>
                <w:szCs w:val="21"/>
              </w:rPr>
            </w:pPr>
            <w:r>
              <w:rPr>
                <w:rFonts w:hint="eastAsia"/>
                <w:color w:val="000000"/>
                <w:sz w:val="21"/>
                <w:szCs w:val="21"/>
              </w:rPr>
              <w:t>废润滑油</w:t>
            </w:r>
            <w:r>
              <w:rPr>
                <w:color w:val="000000"/>
                <w:sz w:val="21"/>
                <w:szCs w:val="21"/>
              </w:rPr>
              <w:t>（t/a）</w:t>
            </w:r>
          </w:p>
        </w:tc>
        <w:tc>
          <w:tcPr>
            <w:tcW w:w="541" w:type="pct"/>
            <w:noWrap w:val="0"/>
            <w:vAlign w:val="center"/>
          </w:tcPr>
          <w:p w14:paraId="336BDF31">
            <w:pPr>
              <w:keepNext w:val="0"/>
              <w:keepLines w:val="0"/>
              <w:pageBreakBefore w:val="0"/>
              <w:kinsoku/>
              <w:wordWrap/>
              <w:overflowPunct/>
              <w:topLinePunct w:val="0"/>
              <w:bidi w:val="0"/>
              <w:spacing w:line="240" w:lineRule="auto"/>
              <w:ind w:firstLine="0" w:firstLineChars="0"/>
              <w:jc w:val="center"/>
              <w:rPr>
                <w:color w:val="000000"/>
                <w:spacing w:val="-2"/>
                <w:sz w:val="21"/>
                <w:szCs w:val="21"/>
              </w:rPr>
            </w:pPr>
          </w:p>
        </w:tc>
        <w:tc>
          <w:tcPr>
            <w:tcW w:w="399" w:type="pct"/>
            <w:noWrap w:val="0"/>
            <w:vAlign w:val="center"/>
          </w:tcPr>
          <w:p w14:paraId="2039197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533DFBE3">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43FAFBAF">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rPr>
              <w:t>0.5</w:t>
            </w:r>
          </w:p>
        </w:tc>
        <w:tc>
          <w:tcPr>
            <w:tcW w:w="554" w:type="pct"/>
            <w:noWrap w:val="0"/>
            <w:vAlign w:val="center"/>
          </w:tcPr>
          <w:p w14:paraId="1E234B2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5FFC90A2">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eastAsia" w:ascii="Times New Roman" w:hAnsi="Times New Roman"/>
                <w:color w:val="000000"/>
                <w:sz w:val="21"/>
                <w:szCs w:val="21"/>
                <w:highlight w:val="none"/>
              </w:rPr>
              <w:t>0.5</w:t>
            </w:r>
          </w:p>
        </w:tc>
        <w:tc>
          <w:tcPr>
            <w:tcW w:w="1256" w:type="dxa"/>
            <w:noWrap w:val="0"/>
            <w:vAlign w:val="center"/>
          </w:tcPr>
          <w:p w14:paraId="5B9131A0">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eastAsia" w:ascii="Times New Roman" w:hAnsi="Times New Roman"/>
                <w:color w:val="000000"/>
                <w:sz w:val="21"/>
                <w:szCs w:val="21"/>
                <w:highlight w:val="none"/>
                <w:lang w:val="en-US" w:eastAsia="zh-CN"/>
              </w:rPr>
              <w:t>+</w:t>
            </w:r>
            <w:r>
              <w:rPr>
                <w:rFonts w:hint="eastAsia" w:ascii="Times New Roman" w:hAnsi="Times New Roman"/>
                <w:color w:val="000000"/>
                <w:sz w:val="21"/>
                <w:szCs w:val="21"/>
                <w:highlight w:val="none"/>
              </w:rPr>
              <w:t>0.5</w:t>
            </w:r>
          </w:p>
        </w:tc>
      </w:tr>
      <w:tr w14:paraId="7D757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2FFAD1F0">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595BC9FE">
            <w:pPr>
              <w:keepNext w:val="0"/>
              <w:keepLines w:val="0"/>
              <w:pageBreakBefore w:val="0"/>
              <w:kinsoku/>
              <w:wordWrap/>
              <w:overflowPunct/>
              <w:topLinePunct w:val="0"/>
              <w:bidi w:val="0"/>
              <w:adjustRightInd w:val="0"/>
              <w:snapToGrid w:val="0"/>
              <w:spacing w:line="240" w:lineRule="auto"/>
              <w:ind w:firstLine="0" w:firstLineChars="0"/>
              <w:jc w:val="center"/>
              <w:rPr>
                <w:color w:val="000000"/>
                <w:sz w:val="21"/>
                <w:szCs w:val="21"/>
              </w:rPr>
            </w:pPr>
            <w:r>
              <w:rPr>
                <w:rFonts w:hint="eastAsia"/>
                <w:color w:val="000000"/>
                <w:sz w:val="21"/>
                <w:szCs w:val="21"/>
              </w:rPr>
              <w:t>废润滑油桶</w:t>
            </w:r>
            <w:r>
              <w:rPr>
                <w:color w:val="000000"/>
                <w:sz w:val="21"/>
                <w:szCs w:val="21"/>
              </w:rPr>
              <w:t>（t/a）</w:t>
            </w:r>
          </w:p>
        </w:tc>
        <w:tc>
          <w:tcPr>
            <w:tcW w:w="541" w:type="pct"/>
            <w:noWrap w:val="0"/>
            <w:vAlign w:val="center"/>
          </w:tcPr>
          <w:p w14:paraId="2C7D22A6">
            <w:pPr>
              <w:keepNext w:val="0"/>
              <w:keepLines w:val="0"/>
              <w:pageBreakBefore w:val="0"/>
              <w:kinsoku/>
              <w:wordWrap/>
              <w:overflowPunct/>
              <w:topLinePunct w:val="0"/>
              <w:bidi w:val="0"/>
              <w:adjustRightInd w:val="0"/>
              <w:snapToGrid w:val="0"/>
              <w:spacing w:line="240" w:lineRule="auto"/>
              <w:ind w:firstLine="0" w:firstLineChars="0"/>
              <w:jc w:val="center"/>
              <w:rPr>
                <w:color w:val="000000"/>
                <w:spacing w:val="-2"/>
                <w:sz w:val="21"/>
                <w:szCs w:val="21"/>
              </w:rPr>
            </w:pPr>
          </w:p>
        </w:tc>
        <w:tc>
          <w:tcPr>
            <w:tcW w:w="399" w:type="pct"/>
            <w:noWrap w:val="0"/>
            <w:vAlign w:val="center"/>
          </w:tcPr>
          <w:p w14:paraId="486D889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1037789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5294EB57">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0.05</w:t>
            </w:r>
          </w:p>
        </w:tc>
        <w:tc>
          <w:tcPr>
            <w:tcW w:w="554" w:type="pct"/>
            <w:noWrap w:val="0"/>
            <w:vAlign w:val="center"/>
          </w:tcPr>
          <w:p w14:paraId="2A1758A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05506582">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eastAsia" w:ascii="Times New Roman" w:hAnsi="Times New Roman"/>
                <w:color w:val="000000"/>
                <w:sz w:val="21"/>
                <w:szCs w:val="21"/>
                <w:highlight w:val="none"/>
                <w:lang w:val="en-US" w:eastAsia="zh-CN"/>
              </w:rPr>
              <w:t>0.05</w:t>
            </w:r>
          </w:p>
        </w:tc>
        <w:tc>
          <w:tcPr>
            <w:tcW w:w="1256" w:type="dxa"/>
            <w:noWrap w:val="0"/>
            <w:vAlign w:val="center"/>
          </w:tcPr>
          <w:p w14:paraId="6F3C52E0">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eastAsia" w:ascii="Times New Roman" w:hAnsi="Times New Roman"/>
                <w:color w:val="000000"/>
                <w:sz w:val="21"/>
                <w:szCs w:val="21"/>
                <w:highlight w:val="none"/>
                <w:lang w:val="en-US" w:eastAsia="zh-CN"/>
              </w:rPr>
              <w:t>+0.05</w:t>
            </w:r>
          </w:p>
        </w:tc>
      </w:tr>
      <w:tr w14:paraId="6200AE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3F8B1E4C">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4CB663FB">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rPr>
              <w:t>废呋喃树脂桶</w:t>
            </w:r>
            <w:r>
              <w:rPr>
                <w:color w:val="000000"/>
                <w:sz w:val="21"/>
                <w:szCs w:val="21"/>
              </w:rPr>
              <w:t>（t/a）</w:t>
            </w:r>
          </w:p>
        </w:tc>
        <w:tc>
          <w:tcPr>
            <w:tcW w:w="541" w:type="pct"/>
            <w:noWrap w:val="0"/>
            <w:vAlign w:val="center"/>
          </w:tcPr>
          <w:p w14:paraId="4356396A">
            <w:pPr>
              <w:keepNext w:val="0"/>
              <w:keepLines w:val="0"/>
              <w:pageBreakBefore w:val="0"/>
              <w:kinsoku/>
              <w:wordWrap/>
              <w:overflowPunct/>
              <w:topLinePunct w:val="0"/>
              <w:bidi w:val="0"/>
              <w:adjustRightInd w:val="0"/>
              <w:snapToGrid w:val="0"/>
              <w:spacing w:line="240" w:lineRule="auto"/>
              <w:ind w:firstLine="0" w:firstLineChars="0"/>
              <w:jc w:val="center"/>
              <w:rPr>
                <w:rFonts w:hint="eastAsia"/>
                <w:color w:val="000000"/>
                <w:spacing w:val="-2"/>
                <w:sz w:val="21"/>
                <w:szCs w:val="21"/>
              </w:rPr>
            </w:pPr>
          </w:p>
        </w:tc>
        <w:tc>
          <w:tcPr>
            <w:tcW w:w="399" w:type="pct"/>
            <w:noWrap w:val="0"/>
            <w:vAlign w:val="center"/>
          </w:tcPr>
          <w:p w14:paraId="1A9B162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C9AB49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21ED3C15">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5.0</w:t>
            </w:r>
          </w:p>
        </w:tc>
        <w:tc>
          <w:tcPr>
            <w:tcW w:w="554" w:type="pct"/>
            <w:noWrap w:val="0"/>
            <w:vAlign w:val="center"/>
          </w:tcPr>
          <w:p w14:paraId="65FD8BE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75882253">
            <w:pPr>
              <w:pStyle w:val="45"/>
              <w:keepNext w:val="0"/>
              <w:keepLines w:val="0"/>
              <w:pageBreakBefore w:val="0"/>
              <w:kinsoku/>
              <w:wordWrap/>
              <w:overflowPunct/>
              <w:topLinePunct w:val="0"/>
              <w:bidi w:val="0"/>
              <w:snapToGrid w:val="0"/>
              <w:spacing w:line="240" w:lineRule="auto"/>
              <w:ind w:firstLine="0" w:firstLineChars="0"/>
              <w:rPr>
                <w:color w:val="000000"/>
                <w:spacing w:val="-2"/>
                <w:sz w:val="21"/>
                <w:szCs w:val="21"/>
              </w:rPr>
            </w:pPr>
            <w:r>
              <w:rPr>
                <w:rFonts w:hint="eastAsia" w:ascii="Times New Roman" w:hAnsi="Times New Roman"/>
                <w:color w:val="000000"/>
                <w:sz w:val="21"/>
                <w:szCs w:val="21"/>
                <w:highlight w:val="none"/>
                <w:lang w:val="en-US" w:eastAsia="zh-CN"/>
              </w:rPr>
              <w:t>5.0</w:t>
            </w:r>
          </w:p>
        </w:tc>
        <w:tc>
          <w:tcPr>
            <w:tcW w:w="1256" w:type="dxa"/>
            <w:noWrap w:val="0"/>
            <w:vAlign w:val="center"/>
          </w:tcPr>
          <w:p w14:paraId="28B243F7">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+5.0</w:t>
            </w:r>
          </w:p>
        </w:tc>
      </w:tr>
      <w:tr w14:paraId="655926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234F8479">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38CD4BD5">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rPr>
              <w:t>废固化剂桶</w:t>
            </w:r>
            <w:r>
              <w:rPr>
                <w:color w:val="000000"/>
                <w:sz w:val="21"/>
                <w:szCs w:val="21"/>
              </w:rPr>
              <w:t>（t/a）</w:t>
            </w:r>
          </w:p>
        </w:tc>
        <w:tc>
          <w:tcPr>
            <w:tcW w:w="541" w:type="pct"/>
            <w:noWrap w:val="0"/>
            <w:vAlign w:val="center"/>
          </w:tcPr>
          <w:p w14:paraId="3E3F1027">
            <w:pPr>
              <w:keepNext w:val="0"/>
              <w:keepLines w:val="0"/>
              <w:pageBreakBefore w:val="0"/>
              <w:kinsoku/>
              <w:wordWrap/>
              <w:overflowPunct/>
              <w:topLinePunct w:val="0"/>
              <w:bidi w:val="0"/>
              <w:adjustRightInd w:val="0"/>
              <w:snapToGrid w:val="0"/>
              <w:spacing w:line="240" w:lineRule="auto"/>
              <w:ind w:firstLine="0" w:firstLineChars="0"/>
              <w:jc w:val="center"/>
              <w:rPr>
                <w:rFonts w:hint="eastAsia"/>
                <w:color w:val="000000"/>
                <w:spacing w:val="-2"/>
                <w:sz w:val="21"/>
                <w:szCs w:val="21"/>
              </w:rPr>
            </w:pPr>
          </w:p>
        </w:tc>
        <w:tc>
          <w:tcPr>
            <w:tcW w:w="399" w:type="pct"/>
            <w:noWrap w:val="0"/>
            <w:vAlign w:val="center"/>
          </w:tcPr>
          <w:p w14:paraId="2141732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3054A750">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6CE3A5F6">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2.5</w:t>
            </w:r>
          </w:p>
        </w:tc>
        <w:tc>
          <w:tcPr>
            <w:tcW w:w="554" w:type="pct"/>
            <w:noWrap w:val="0"/>
            <w:vAlign w:val="center"/>
          </w:tcPr>
          <w:p w14:paraId="18AB704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596B220B">
            <w:pPr>
              <w:pStyle w:val="45"/>
              <w:keepNext w:val="0"/>
              <w:keepLines w:val="0"/>
              <w:pageBreakBefore w:val="0"/>
              <w:kinsoku/>
              <w:wordWrap/>
              <w:overflowPunct/>
              <w:topLinePunct w:val="0"/>
              <w:bidi w:val="0"/>
              <w:snapToGrid w:val="0"/>
              <w:spacing w:line="240" w:lineRule="auto"/>
              <w:ind w:firstLine="0" w:firstLineChars="0"/>
              <w:rPr>
                <w:color w:val="000000"/>
                <w:spacing w:val="-2"/>
                <w:sz w:val="21"/>
                <w:szCs w:val="21"/>
              </w:rPr>
            </w:pPr>
            <w:r>
              <w:rPr>
                <w:rFonts w:hint="eastAsia" w:ascii="Times New Roman" w:hAnsi="Times New Roman"/>
                <w:color w:val="000000"/>
                <w:sz w:val="21"/>
                <w:szCs w:val="21"/>
                <w:highlight w:val="none"/>
                <w:lang w:val="en-US" w:eastAsia="zh-CN"/>
              </w:rPr>
              <w:t>2.5</w:t>
            </w:r>
          </w:p>
        </w:tc>
        <w:tc>
          <w:tcPr>
            <w:tcW w:w="1256" w:type="dxa"/>
            <w:noWrap w:val="0"/>
            <w:vAlign w:val="center"/>
          </w:tcPr>
          <w:p w14:paraId="63E78787">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+2.5</w:t>
            </w:r>
          </w:p>
        </w:tc>
      </w:tr>
      <w:tr w14:paraId="31B079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D05ABD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35C011CA">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highlight w:val="none"/>
                <w:lang w:val="en-US" w:eastAsia="zh-CN"/>
              </w:rPr>
              <w:t>废醇基涂料桶</w:t>
            </w:r>
            <w:r>
              <w:rPr>
                <w:color w:val="000000"/>
                <w:sz w:val="21"/>
                <w:szCs w:val="21"/>
              </w:rPr>
              <w:t>（t/a）</w:t>
            </w:r>
          </w:p>
        </w:tc>
        <w:tc>
          <w:tcPr>
            <w:tcW w:w="541" w:type="pct"/>
            <w:noWrap w:val="0"/>
            <w:vAlign w:val="center"/>
          </w:tcPr>
          <w:p w14:paraId="49022EBD">
            <w:pPr>
              <w:keepNext w:val="0"/>
              <w:keepLines w:val="0"/>
              <w:pageBreakBefore w:val="0"/>
              <w:kinsoku/>
              <w:wordWrap/>
              <w:overflowPunct/>
              <w:topLinePunct w:val="0"/>
              <w:bidi w:val="0"/>
              <w:adjustRightInd w:val="0"/>
              <w:snapToGrid w:val="0"/>
              <w:spacing w:line="240" w:lineRule="auto"/>
              <w:ind w:firstLine="0" w:firstLineChars="0"/>
              <w:jc w:val="center"/>
              <w:rPr>
                <w:rFonts w:hint="eastAsia"/>
                <w:color w:val="000000"/>
                <w:spacing w:val="-2"/>
                <w:sz w:val="21"/>
                <w:szCs w:val="21"/>
              </w:rPr>
            </w:pPr>
          </w:p>
        </w:tc>
        <w:tc>
          <w:tcPr>
            <w:tcW w:w="399" w:type="pct"/>
            <w:noWrap w:val="0"/>
            <w:vAlign w:val="center"/>
          </w:tcPr>
          <w:p w14:paraId="03B5B42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70928385">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1F26E9CA">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rPr>
            </w:pPr>
            <w:r>
              <w:rPr>
                <w:rFonts w:hint="eastAsia" w:ascii="Times New Roman" w:hAnsi="Times New Roman"/>
                <w:color w:val="000000"/>
                <w:sz w:val="21"/>
                <w:szCs w:val="21"/>
                <w:highlight w:val="none"/>
                <w:lang w:val="en-US" w:eastAsia="zh-CN"/>
              </w:rPr>
              <w:t>0.6</w:t>
            </w:r>
          </w:p>
        </w:tc>
        <w:tc>
          <w:tcPr>
            <w:tcW w:w="554" w:type="pct"/>
            <w:noWrap w:val="0"/>
            <w:vAlign w:val="center"/>
          </w:tcPr>
          <w:p w14:paraId="69AFCC4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34E89259">
            <w:pPr>
              <w:pStyle w:val="45"/>
              <w:keepNext w:val="0"/>
              <w:keepLines w:val="0"/>
              <w:pageBreakBefore w:val="0"/>
              <w:kinsoku/>
              <w:wordWrap/>
              <w:overflowPunct/>
              <w:topLinePunct w:val="0"/>
              <w:bidi w:val="0"/>
              <w:snapToGrid w:val="0"/>
              <w:spacing w:line="240" w:lineRule="auto"/>
              <w:ind w:firstLine="0" w:firstLineChars="0"/>
              <w:rPr>
                <w:color w:val="000000"/>
                <w:spacing w:val="-2"/>
                <w:sz w:val="21"/>
                <w:szCs w:val="21"/>
              </w:rPr>
            </w:pPr>
            <w:r>
              <w:rPr>
                <w:rFonts w:hint="eastAsia" w:ascii="Times New Roman" w:hAnsi="Times New Roman"/>
                <w:color w:val="000000"/>
                <w:sz w:val="21"/>
                <w:szCs w:val="21"/>
                <w:highlight w:val="none"/>
                <w:lang w:val="en-US" w:eastAsia="zh-CN"/>
              </w:rPr>
              <w:t>0.6</w:t>
            </w:r>
          </w:p>
        </w:tc>
        <w:tc>
          <w:tcPr>
            <w:tcW w:w="1256" w:type="dxa"/>
            <w:noWrap w:val="0"/>
            <w:vAlign w:val="center"/>
          </w:tcPr>
          <w:p w14:paraId="718418A9">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+0.6</w:t>
            </w:r>
          </w:p>
        </w:tc>
      </w:tr>
      <w:tr w14:paraId="2ED82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10DB8A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00729E56">
            <w:pPr>
              <w:keepNext w:val="0"/>
              <w:keepLines w:val="0"/>
              <w:pageBreakBefore w:val="0"/>
              <w:kinsoku/>
              <w:wordWrap/>
              <w:overflowPunct/>
              <w:topLinePunct w:val="0"/>
              <w:bidi w:val="0"/>
              <w:spacing w:line="240" w:lineRule="auto"/>
              <w:ind w:firstLine="0" w:firstLineChars="0"/>
              <w:jc w:val="center"/>
              <w:rPr>
                <w:rFonts w:hint="eastAsia"/>
                <w:color w:val="000000"/>
                <w:sz w:val="21"/>
                <w:szCs w:val="21"/>
              </w:rPr>
            </w:pPr>
            <w:r>
              <w:rPr>
                <w:rFonts w:hint="eastAsia"/>
                <w:color w:val="000000"/>
                <w:sz w:val="21"/>
                <w:szCs w:val="21"/>
                <w:lang w:val="en-US" w:eastAsia="zh-CN"/>
              </w:rPr>
              <w:t>废脱模剂桶</w:t>
            </w:r>
            <w:r>
              <w:rPr>
                <w:color w:val="000000"/>
                <w:sz w:val="21"/>
                <w:szCs w:val="21"/>
              </w:rPr>
              <w:t>（t/a）</w:t>
            </w:r>
          </w:p>
        </w:tc>
        <w:tc>
          <w:tcPr>
            <w:tcW w:w="541" w:type="pct"/>
            <w:noWrap w:val="0"/>
            <w:vAlign w:val="center"/>
          </w:tcPr>
          <w:p w14:paraId="76F9C74C">
            <w:pPr>
              <w:keepNext w:val="0"/>
              <w:keepLines w:val="0"/>
              <w:pageBreakBefore w:val="0"/>
              <w:kinsoku/>
              <w:wordWrap/>
              <w:overflowPunct/>
              <w:topLinePunct w:val="0"/>
              <w:bidi w:val="0"/>
              <w:adjustRightInd w:val="0"/>
              <w:snapToGrid w:val="0"/>
              <w:spacing w:line="240" w:lineRule="auto"/>
              <w:ind w:firstLine="0" w:firstLineChars="0"/>
              <w:jc w:val="center"/>
              <w:rPr>
                <w:rFonts w:hint="eastAsia"/>
                <w:color w:val="000000"/>
                <w:spacing w:val="-2"/>
                <w:sz w:val="21"/>
                <w:szCs w:val="21"/>
              </w:rPr>
            </w:pPr>
          </w:p>
        </w:tc>
        <w:tc>
          <w:tcPr>
            <w:tcW w:w="399" w:type="pct"/>
            <w:noWrap w:val="0"/>
            <w:vAlign w:val="center"/>
          </w:tcPr>
          <w:p w14:paraId="03D23BB5">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CAE2E52">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2129095A">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rPr>
            </w:pPr>
            <w:r>
              <w:rPr>
                <w:rFonts w:hint="eastAsia" w:ascii="Times New Roman" w:hAnsi="Times New Roman"/>
                <w:color w:val="000000"/>
                <w:sz w:val="21"/>
                <w:szCs w:val="21"/>
                <w:highlight w:val="none"/>
                <w:lang w:val="en-US" w:eastAsia="zh-CN"/>
              </w:rPr>
              <w:t>0.3</w:t>
            </w:r>
          </w:p>
        </w:tc>
        <w:tc>
          <w:tcPr>
            <w:tcW w:w="554" w:type="pct"/>
            <w:noWrap w:val="0"/>
            <w:vAlign w:val="center"/>
          </w:tcPr>
          <w:p w14:paraId="344C009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10E085ED">
            <w:pPr>
              <w:pStyle w:val="45"/>
              <w:keepNext w:val="0"/>
              <w:keepLines w:val="0"/>
              <w:pageBreakBefore w:val="0"/>
              <w:kinsoku/>
              <w:wordWrap/>
              <w:overflowPunct/>
              <w:topLinePunct w:val="0"/>
              <w:bidi w:val="0"/>
              <w:snapToGrid w:val="0"/>
              <w:spacing w:line="240" w:lineRule="auto"/>
              <w:ind w:firstLine="0" w:firstLineChars="0"/>
              <w:rPr>
                <w:color w:val="000000"/>
                <w:spacing w:val="-2"/>
                <w:sz w:val="21"/>
                <w:szCs w:val="21"/>
              </w:rPr>
            </w:pPr>
            <w:r>
              <w:rPr>
                <w:rFonts w:hint="eastAsia" w:ascii="Times New Roman" w:hAnsi="Times New Roman"/>
                <w:color w:val="000000"/>
                <w:sz w:val="21"/>
                <w:szCs w:val="21"/>
                <w:highlight w:val="none"/>
                <w:lang w:val="en-US" w:eastAsia="zh-CN"/>
              </w:rPr>
              <w:t>0.3</w:t>
            </w:r>
          </w:p>
        </w:tc>
        <w:tc>
          <w:tcPr>
            <w:tcW w:w="1256" w:type="dxa"/>
            <w:noWrap w:val="0"/>
            <w:vAlign w:val="center"/>
          </w:tcPr>
          <w:p w14:paraId="658CC65F">
            <w:pPr>
              <w:pStyle w:val="45"/>
              <w:keepNext w:val="0"/>
              <w:keepLines w:val="0"/>
              <w:pageBreakBefore w:val="0"/>
              <w:kinsoku/>
              <w:wordWrap/>
              <w:overflowPunct/>
              <w:topLinePunct w:val="0"/>
              <w:bidi w:val="0"/>
              <w:snapToGrid w:val="0"/>
              <w:spacing w:line="240" w:lineRule="auto"/>
              <w:ind w:firstLine="0" w:firstLineChars="0"/>
              <w:rPr>
                <w:rFonts w:hint="eastAsia"/>
                <w:color w:val="000000"/>
                <w:sz w:val="21"/>
                <w:szCs w:val="21"/>
              </w:rPr>
            </w:pPr>
            <w:r>
              <w:rPr>
                <w:rFonts w:hint="eastAsia" w:ascii="Times New Roman" w:hAnsi="Times New Roman"/>
                <w:color w:val="000000"/>
                <w:sz w:val="21"/>
                <w:szCs w:val="21"/>
                <w:highlight w:val="none"/>
                <w:lang w:val="en-US" w:eastAsia="zh-CN"/>
              </w:rPr>
              <w:t>+0.3</w:t>
            </w:r>
          </w:p>
        </w:tc>
      </w:tr>
      <w:tr w14:paraId="0C9EA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BDBC729">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5F013A29">
            <w:pPr>
              <w:keepNext w:val="0"/>
              <w:keepLines w:val="0"/>
              <w:pageBreakBefore w:val="0"/>
              <w:kinsoku/>
              <w:wordWrap/>
              <w:overflowPunct/>
              <w:topLinePunct w:val="0"/>
              <w:bidi w:val="0"/>
              <w:spacing w:line="240" w:lineRule="auto"/>
              <w:ind w:firstLine="0" w:firstLineChars="0"/>
              <w:jc w:val="center"/>
              <w:rPr>
                <w:color w:val="000000"/>
                <w:sz w:val="21"/>
                <w:szCs w:val="21"/>
              </w:rPr>
            </w:pPr>
            <w:r>
              <w:rPr>
                <w:color w:val="000000"/>
                <w:sz w:val="21"/>
                <w:szCs w:val="21"/>
              </w:rPr>
              <w:t>废活性炭（t/a）</w:t>
            </w:r>
          </w:p>
        </w:tc>
        <w:tc>
          <w:tcPr>
            <w:tcW w:w="541" w:type="pct"/>
            <w:noWrap w:val="0"/>
            <w:vAlign w:val="center"/>
          </w:tcPr>
          <w:p w14:paraId="77A4F95F">
            <w:pPr>
              <w:keepNext w:val="0"/>
              <w:keepLines w:val="0"/>
              <w:pageBreakBefore w:val="0"/>
              <w:kinsoku/>
              <w:wordWrap/>
              <w:overflowPunct/>
              <w:topLinePunct w:val="0"/>
              <w:bidi w:val="0"/>
              <w:adjustRightInd w:val="0"/>
              <w:snapToGrid w:val="0"/>
              <w:spacing w:line="240" w:lineRule="auto"/>
              <w:ind w:firstLine="0" w:firstLineChars="0"/>
              <w:jc w:val="center"/>
              <w:rPr>
                <w:color w:val="000000"/>
                <w:spacing w:val="-2"/>
                <w:sz w:val="21"/>
                <w:szCs w:val="21"/>
              </w:rPr>
            </w:pPr>
          </w:p>
        </w:tc>
        <w:tc>
          <w:tcPr>
            <w:tcW w:w="399" w:type="pct"/>
            <w:noWrap w:val="0"/>
            <w:vAlign w:val="center"/>
          </w:tcPr>
          <w:p w14:paraId="49F1CD2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776D5CEE">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274FFAAE">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default" w:ascii="Times New Roman" w:hAnsi="Times New Roman" w:eastAsia="宋体"/>
                <w:color w:val="000000"/>
                <w:sz w:val="21"/>
                <w:szCs w:val="21"/>
                <w:highlight w:val="none"/>
                <w:lang w:val="en-US" w:eastAsia="zh-CN"/>
              </w:rPr>
              <w:t>4t/2a</w:t>
            </w:r>
          </w:p>
        </w:tc>
        <w:tc>
          <w:tcPr>
            <w:tcW w:w="554" w:type="pct"/>
            <w:noWrap w:val="0"/>
            <w:vAlign w:val="center"/>
          </w:tcPr>
          <w:p w14:paraId="2F44D2D1">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64AC2921">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default" w:ascii="Times New Roman" w:hAnsi="Times New Roman" w:eastAsia="宋体"/>
                <w:color w:val="000000"/>
                <w:sz w:val="21"/>
                <w:szCs w:val="21"/>
                <w:highlight w:val="none"/>
                <w:lang w:val="en-US" w:eastAsia="zh-CN"/>
              </w:rPr>
              <w:t>4t/2a</w:t>
            </w:r>
          </w:p>
        </w:tc>
        <w:tc>
          <w:tcPr>
            <w:tcW w:w="1256" w:type="dxa"/>
            <w:noWrap w:val="0"/>
            <w:vAlign w:val="center"/>
          </w:tcPr>
          <w:p w14:paraId="6F673CDB">
            <w:pPr>
              <w:pStyle w:val="45"/>
              <w:keepNext w:val="0"/>
              <w:keepLines w:val="0"/>
              <w:pageBreakBefore w:val="0"/>
              <w:kinsoku/>
              <w:wordWrap/>
              <w:overflowPunct/>
              <w:topLinePunct w:val="0"/>
              <w:bidi w:val="0"/>
              <w:snapToGrid w:val="0"/>
              <w:spacing w:line="240" w:lineRule="auto"/>
              <w:ind w:firstLine="0" w:firstLineChars="0"/>
              <w:rPr>
                <w:color w:val="000000"/>
                <w:sz w:val="21"/>
                <w:szCs w:val="21"/>
              </w:rPr>
            </w:pPr>
            <w:r>
              <w:rPr>
                <w:rFonts w:hint="eastAsia" w:ascii="Times New Roman" w:hAnsi="Times New Roman" w:eastAsia="宋体"/>
                <w:color w:val="000000"/>
                <w:sz w:val="21"/>
                <w:szCs w:val="21"/>
                <w:highlight w:val="none"/>
                <w:lang w:val="en-US" w:eastAsia="zh-CN"/>
              </w:rPr>
              <w:t>+</w:t>
            </w:r>
            <w:r>
              <w:rPr>
                <w:rFonts w:hint="default" w:ascii="Times New Roman" w:hAnsi="Times New Roman" w:eastAsia="宋体"/>
                <w:color w:val="000000"/>
                <w:sz w:val="21"/>
                <w:szCs w:val="21"/>
                <w:highlight w:val="none"/>
                <w:lang w:val="en-US" w:eastAsia="zh-CN"/>
              </w:rPr>
              <w:t>4t/2a</w:t>
            </w:r>
          </w:p>
        </w:tc>
      </w:tr>
      <w:tr w14:paraId="7E3E7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1" w:type="pct"/>
            <w:vMerge w:val="continue"/>
            <w:noWrap w:val="0"/>
            <w:vAlign w:val="center"/>
          </w:tcPr>
          <w:p w14:paraId="1B81D27B">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684" w:type="pct"/>
            <w:noWrap w:val="0"/>
            <w:vAlign w:val="center"/>
          </w:tcPr>
          <w:p w14:paraId="68DF80DD">
            <w:pPr>
              <w:keepNext w:val="0"/>
              <w:keepLines w:val="0"/>
              <w:pageBreakBefore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highlight w:val="none"/>
                <w:lang w:val="en-US" w:eastAsia="zh-CN"/>
              </w:rPr>
              <w:t>废催化剂</w:t>
            </w:r>
            <w:r>
              <w:rPr>
                <w:color w:val="000000"/>
                <w:sz w:val="21"/>
                <w:szCs w:val="21"/>
              </w:rPr>
              <w:t>（t/a）</w:t>
            </w:r>
          </w:p>
        </w:tc>
        <w:tc>
          <w:tcPr>
            <w:tcW w:w="541" w:type="pct"/>
            <w:noWrap w:val="0"/>
            <w:vAlign w:val="center"/>
          </w:tcPr>
          <w:p w14:paraId="78D812F6">
            <w:pPr>
              <w:keepNext w:val="0"/>
              <w:keepLines w:val="0"/>
              <w:pageBreakBefore w:val="0"/>
              <w:kinsoku/>
              <w:wordWrap/>
              <w:overflowPunct/>
              <w:topLinePunct w:val="0"/>
              <w:bidi w:val="0"/>
              <w:adjustRightInd w:val="0"/>
              <w:snapToGrid w:val="0"/>
              <w:spacing w:line="240" w:lineRule="auto"/>
              <w:ind w:firstLine="0" w:firstLineChars="0"/>
              <w:jc w:val="center"/>
              <w:rPr>
                <w:color w:val="000000"/>
                <w:spacing w:val="-2"/>
                <w:sz w:val="21"/>
                <w:szCs w:val="21"/>
              </w:rPr>
            </w:pPr>
          </w:p>
        </w:tc>
        <w:tc>
          <w:tcPr>
            <w:tcW w:w="399" w:type="pct"/>
            <w:noWrap w:val="0"/>
            <w:vAlign w:val="center"/>
          </w:tcPr>
          <w:p w14:paraId="6E3B35DD">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548" w:type="pct"/>
            <w:noWrap w:val="0"/>
            <w:vAlign w:val="center"/>
          </w:tcPr>
          <w:p w14:paraId="4E7C3DC8">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1536" w:type="dxa"/>
            <w:noWrap w:val="0"/>
            <w:vAlign w:val="center"/>
          </w:tcPr>
          <w:p w14:paraId="7079D045">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rPr>
            </w:pPr>
            <w:r>
              <w:rPr>
                <w:rFonts w:hint="default" w:ascii="Times New Roman" w:hAnsi="Times New Roman" w:eastAsia="宋体"/>
                <w:color w:val="000000"/>
                <w:sz w:val="21"/>
                <w:szCs w:val="21"/>
                <w:highlight w:val="none"/>
                <w:lang w:val="en-US" w:eastAsia="zh-CN"/>
              </w:rPr>
              <w:t>0.06t/3a</w:t>
            </w:r>
          </w:p>
        </w:tc>
        <w:tc>
          <w:tcPr>
            <w:tcW w:w="554" w:type="pct"/>
            <w:noWrap w:val="0"/>
            <w:vAlign w:val="center"/>
          </w:tcPr>
          <w:p w14:paraId="22B8C10F">
            <w:pPr>
              <w:keepNext w:val="0"/>
              <w:keepLines w:val="0"/>
              <w:pageBreakBefore w:val="0"/>
              <w:kinsoku/>
              <w:wordWrap/>
              <w:overflowPunct/>
              <w:topLinePunct w:val="0"/>
              <w:bidi w:val="0"/>
              <w:spacing w:line="240" w:lineRule="auto"/>
              <w:ind w:firstLine="0" w:firstLineChars="0"/>
              <w:jc w:val="center"/>
              <w:rPr>
                <w:color w:val="000000"/>
                <w:sz w:val="21"/>
                <w:szCs w:val="21"/>
              </w:rPr>
            </w:pPr>
          </w:p>
        </w:tc>
        <w:tc>
          <w:tcPr>
            <w:tcW w:w="2083" w:type="dxa"/>
            <w:noWrap w:val="0"/>
            <w:vAlign w:val="center"/>
          </w:tcPr>
          <w:p w14:paraId="428DCF20">
            <w:pPr>
              <w:pStyle w:val="45"/>
              <w:keepNext w:val="0"/>
              <w:keepLines w:val="0"/>
              <w:pageBreakBefore w:val="0"/>
              <w:kinsoku/>
              <w:wordWrap/>
              <w:overflowPunct/>
              <w:topLinePunct w:val="0"/>
              <w:bidi w:val="0"/>
              <w:snapToGrid w:val="0"/>
              <w:spacing w:line="240" w:lineRule="auto"/>
              <w:ind w:firstLine="0" w:firstLineChars="0"/>
              <w:rPr>
                <w:rFonts w:hint="eastAsia" w:ascii="Times New Roman" w:hAnsi="Times New Roman"/>
                <w:color w:val="000000"/>
                <w:sz w:val="21"/>
                <w:szCs w:val="21"/>
              </w:rPr>
            </w:pPr>
            <w:r>
              <w:rPr>
                <w:rFonts w:hint="default" w:ascii="Times New Roman" w:hAnsi="Times New Roman" w:eastAsia="宋体"/>
                <w:color w:val="000000"/>
                <w:sz w:val="21"/>
                <w:szCs w:val="21"/>
                <w:highlight w:val="none"/>
                <w:lang w:val="en-US" w:eastAsia="zh-CN"/>
              </w:rPr>
              <w:t>0.06t/3a</w:t>
            </w:r>
          </w:p>
        </w:tc>
        <w:tc>
          <w:tcPr>
            <w:tcW w:w="1256" w:type="dxa"/>
            <w:noWrap w:val="0"/>
            <w:vAlign w:val="center"/>
          </w:tcPr>
          <w:p w14:paraId="1C9EB596">
            <w:pPr>
              <w:pStyle w:val="45"/>
              <w:keepNext w:val="0"/>
              <w:keepLines w:val="0"/>
              <w:pageBreakBefore w:val="0"/>
              <w:kinsoku/>
              <w:wordWrap/>
              <w:overflowPunct/>
              <w:topLinePunct w:val="0"/>
              <w:bidi w:val="0"/>
              <w:snapToGrid w:val="0"/>
              <w:spacing w:line="240" w:lineRule="auto"/>
              <w:ind w:firstLine="0" w:firstLineChars="0"/>
              <w:rPr>
                <w:rFonts w:ascii="Times New Roman" w:hAnsi="Times New Roman"/>
                <w:color w:val="000000"/>
                <w:sz w:val="21"/>
                <w:szCs w:val="21"/>
              </w:rPr>
            </w:pPr>
            <w:r>
              <w:rPr>
                <w:rFonts w:hint="eastAsia" w:ascii="Times New Roman" w:hAnsi="Times New Roman" w:eastAsia="宋体"/>
                <w:color w:val="000000"/>
                <w:sz w:val="21"/>
                <w:szCs w:val="21"/>
                <w:highlight w:val="none"/>
                <w:lang w:val="en-US" w:eastAsia="zh-CN"/>
              </w:rPr>
              <w:t>+</w:t>
            </w:r>
            <w:r>
              <w:rPr>
                <w:rFonts w:hint="default" w:ascii="Times New Roman" w:hAnsi="Times New Roman" w:eastAsia="宋体"/>
                <w:color w:val="000000"/>
                <w:sz w:val="21"/>
                <w:szCs w:val="21"/>
                <w:highlight w:val="none"/>
                <w:lang w:val="en-US" w:eastAsia="zh-CN"/>
              </w:rPr>
              <w:t>0.06t/3a</w:t>
            </w:r>
          </w:p>
        </w:tc>
      </w:tr>
    </w:tbl>
    <w:p w14:paraId="65708244">
      <w:pPr>
        <w:pStyle w:val="33"/>
        <w:spacing w:before="192" w:beforeLines="80" w:after="24"/>
        <w:jc w:val="left"/>
        <w:rPr>
          <w:bCs/>
          <w:snapToGrid w:val="0"/>
          <w:color w:val="000000"/>
          <w:spacing w:val="-6"/>
          <w:kern w:val="21"/>
          <w:sz w:val="24"/>
          <w:szCs w:val="24"/>
        </w:rPr>
      </w:pPr>
      <w:r>
        <w:rPr>
          <w:bCs/>
          <w:snapToGrid w:val="0"/>
          <w:color w:val="000000"/>
          <w:kern w:val="21"/>
          <w:sz w:val="24"/>
          <w:szCs w:val="24"/>
        </w:rPr>
        <w:t>注：</w:t>
      </w:r>
      <w:r>
        <w:rPr>
          <w:bCs/>
          <w:snapToGrid w:val="0"/>
          <w:color w:val="000000"/>
          <w:spacing w:val="-16"/>
          <w:kern w:val="21"/>
          <w:sz w:val="24"/>
          <w:szCs w:val="24"/>
        </w:rPr>
        <w:fldChar w:fldCharType="begin"/>
      </w:r>
      <w:r>
        <w:rPr>
          <w:bCs/>
          <w:snapToGrid w:val="0"/>
          <w:color w:val="000000"/>
          <w:spacing w:val="-16"/>
          <w:kern w:val="21"/>
          <w:sz w:val="24"/>
          <w:szCs w:val="24"/>
        </w:rPr>
        <w:instrText xml:space="preserve"> = 6 \* GB3 \* MERGEFORMAT </w:instrText>
      </w:r>
      <w:r>
        <w:rPr>
          <w:bCs/>
          <w:snapToGrid w:val="0"/>
          <w:color w:val="000000"/>
          <w:spacing w:val="-16"/>
          <w:kern w:val="21"/>
          <w:sz w:val="24"/>
          <w:szCs w:val="24"/>
        </w:rPr>
        <w:fldChar w:fldCharType="separate"/>
      </w:r>
      <w:r>
        <w:rPr>
          <w:bCs/>
          <w:color w:val="000000"/>
          <w:sz w:val="24"/>
          <w:szCs w:val="24"/>
        </w:rPr>
        <w:t>⑥</w:t>
      </w:r>
      <w:r>
        <w:rPr>
          <w:bCs/>
          <w:snapToGrid w:val="0"/>
          <w:color w:val="000000"/>
          <w:spacing w:val="-16"/>
          <w:kern w:val="21"/>
          <w:sz w:val="24"/>
          <w:szCs w:val="24"/>
        </w:rPr>
        <w:fldChar w:fldCharType="end"/>
      </w:r>
      <w:r>
        <w:rPr>
          <w:bCs/>
          <w:snapToGrid w:val="0"/>
          <w:color w:val="000000"/>
          <w:spacing w:val="-16"/>
          <w:kern w:val="21"/>
          <w:sz w:val="24"/>
          <w:szCs w:val="24"/>
        </w:rPr>
        <w:t>=</w:t>
      </w:r>
      <w:r>
        <w:rPr>
          <w:bCs/>
          <w:snapToGrid w:val="0"/>
          <w:color w:val="000000"/>
          <w:spacing w:val="-6"/>
          <w:kern w:val="21"/>
          <w:sz w:val="24"/>
          <w:szCs w:val="24"/>
        </w:rPr>
        <w:fldChar w:fldCharType="begin"/>
      </w:r>
      <w:r>
        <w:rPr>
          <w:bCs/>
          <w:snapToGrid w:val="0"/>
          <w:color w:val="000000"/>
          <w:spacing w:val="-6"/>
          <w:kern w:val="21"/>
          <w:sz w:val="24"/>
          <w:szCs w:val="24"/>
        </w:rPr>
        <w:instrText xml:space="preserve"> = 1 \* GB3 \* MERGEFORMAT </w:instrText>
      </w:r>
      <w:r>
        <w:rPr>
          <w:bCs/>
          <w:snapToGrid w:val="0"/>
          <w:color w:val="000000"/>
          <w:spacing w:val="-6"/>
          <w:kern w:val="21"/>
          <w:sz w:val="24"/>
          <w:szCs w:val="24"/>
        </w:rPr>
        <w:fldChar w:fldCharType="separate"/>
      </w:r>
      <w:r>
        <w:rPr>
          <w:bCs/>
          <w:color w:val="000000"/>
          <w:sz w:val="24"/>
          <w:szCs w:val="24"/>
        </w:rPr>
        <w:t>①</w:t>
      </w:r>
      <w:r>
        <w:rPr>
          <w:bCs/>
          <w:snapToGrid w:val="0"/>
          <w:color w:val="000000"/>
          <w:spacing w:val="-6"/>
          <w:kern w:val="21"/>
          <w:sz w:val="24"/>
          <w:szCs w:val="24"/>
        </w:rPr>
        <w:fldChar w:fldCharType="end"/>
      </w:r>
      <w:r>
        <w:rPr>
          <w:bCs/>
          <w:snapToGrid w:val="0"/>
          <w:color w:val="000000"/>
          <w:spacing w:val="-6"/>
          <w:kern w:val="21"/>
          <w:sz w:val="24"/>
          <w:szCs w:val="24"/>
        </w:rPr>
        <w:t>+</w:t>
      </w:r>
      <w:r>
        <w:rPr>
          <w:bCs/>
          <w:snapToGrid w:val="0"/>
          <w:color w:val="000000"/>
          <w:spacing w:val="-6"/>
          <w:kern w:val="21"/>
          <w:sz w:val="24"/>
          <w:szCs w:val="24"/>
        </w:rPr>
        <w:fldChar w:fldCharType="begin"/>
      </w:r>
      <w:r>
        <w:rPr>
          <w:bCs/>
          <w:snapToGrid w:val="0"/>
          <w:color w:val="000000"/>
          <w:spacing w:val="-6"/>
          <w:kern w:val="21"/>
          <w:sz w:val="24"/>
          <w:szCs w:val="24"/>
        </w:rPr>
        <w:instrText xml:space="preserve"> = 3 \* GB3 \* MERGEFORMAT </w:instrText>
      </w:r>
      <w:r>
        <w:rPr>
          <w:bCs/>
          <w:snapToGrid w:val="0"/>
          <w:color w:val="000000"/>
          <w:spacing w:val="-6"/>
          <w:kern w:val="21"/>
          <w:sz w:val="24"/>
          <w:szCs w:val="24"/>
        </w:rPr>
        <w:fldChar w:fldCharType="separate"/>
      </w:r>
      <w:r>
        <w:rPr>
          <w:bCs/>
          <w:color w:val="000000"/>
          <w:sz w:val="24"/>
          <w:szCs w:val="24"/>
        </w:rPr>
        <w:t>③</w:t>
      </w:r>
      <w:r>
        <w:rPr>
          <w:bCs/>
          <w:snapToGrid w:val="0"/>
          <w:color w:val="000000"/>
          <w:spacing w:val="-6"/>
          <w:kern w:val="21"/>
          <w:sz w:val="24"/>
          <w:szCs w:val="24"/>
        </w:rPr>
        <w:fldChar w:fldCharType="end"/>
      </w:r>
      <w:r>
        <w:rPr>
          <w:bCs/>
          <w:snapToGrid w:val="0"/>
          <w:color w:val="000000"/>
          <w:spacing w:val="-6"/>
          <w:kern w:val="21"/>
          <w:sz w:val="24"/>
          <w:szCs w:val="24"/>
        </w:rPr>
        <w:t>+</w:t>
      </w:r>
      <w:r>
        <w:rPr>
          <w:bCs/>
          <w:snapToGrid w:val="0"/>
          <w:color w:val="000000"/>
          <w:spacing w:val="-6"/>
          <w:kern w:val="21"/>
          <w:sz w:val="24"/>
          <w:szCs w:val="24"/>
        </w:rPr>
        <w:fldChar w:fldCharType="begin"/>
      </w:r>
      <w:r>
        <w:rPr>
          <w:bCs/>
          <w:snapToGrid w:val="0"/>
          <w:color w:val="000000"/>
          <w:spacing w:val="-6"/>
          <w:kern w:val="21"/>
          <w:sz w:val="24"/>
          <w:szCs w:val="24"/>
        </w:rPr>
        <w:instrText xml:space="preserve"> = 4 \* GB3 \* MERGEFORMAT </w:instrText>
      </w:r>
      <w:r>
        <w:rPr>
          <w:bCs/>
          <w:snapToGrid w:val="0"/>
          <w:color w:val="000000"/>
          <w:spacing w:val="-6"/>
          <w:kern w:val="21"/>
          <w:sz w:val="24"/>
          <w:szCs w:val="24"/>
        </w:rPr>
        <w:fldChar w:fldCharType="separate"/>
      </w:r>
      <w:r>
        <w:rPr>
          <w:bCs/>
          <w:color w:val="000000"/>
          <w:sz w:val="24"/>
          <w:szCs w:val="24"/>
        </w:rPr>
        <w:t>④</w:t>
      </w:r>
      <w:r>
        <w:rPr>
          <w:bCs/>
          <w:snapToGrid w:val="0"/>
          <w:color w:val="000000"/>
          <w:spacing w:val="-6"/>
          <w:kern w:val="21"/>
          <w:sz w:val="24"/>
          <w:szCs w:val="24"/>
        </w:rPr>
        <w:fldChar w:fldCharType="end"/>
      </w:r>
      <w:r>
        <w:rPr>
          <w:bCs/>
          <w:snapToGrid w:val="0"/>
          <w:color w:val="000000"/>
          <w:spacing w:val="-6"/>
          <w:kern w:val="21"/>
          <w:sz w:val="24"/>
          <w:szCs w:val="24"/>
        </w:rPr>
        <w:t>-</w:t>
      </w:r>
      <w:r>
        <w:rPr>
          <w:bCs/>
          <w:snapToGrid w:val="0"/>
          <w:color w:val="000000"/>
          <w:spacing w:val="-16"/>
          <w:kern w:val="21"/>
          <w:sz w:val="24"/>
          <w:szCs w:val="24"/>
        </w:rPr>
        <w:fldChar w:fldCharType="begin"/>
      </w:r>
      <w:r>
        <w:rPr>
          <w:bCs/>
          <w:snapToGrid w:val="0"/>
          <w:color w:val="000000"/>
          <w:spacing w:val="-16"/>
          <w:kern w:val="21"/>
          <w:sz w:val="24"/>
          <w:szCs w:val="24"/>
        </w:rPr>
        <w:instrText xml:space="preserve"> = 5 \* GB3 \* MERGEFORMAT </w:instrText>
      </w:r>
      <w:r>
        <w:rPr>
          <w:bCs/>
          <w:snapToGrid w:val="0"/>
          <w:color w:val="000000"/>
          <w:spacing w:val="-16"/>
          <w:kern w:val="21"/>
          <w:sz w:val="24"/>
          <w:szCs w:val="24"/>
        </w:rPr>
        <w:fldChar w:fldCharType="separate"/>
      </w:r>
      <w:r>
        <w:rPr>
          <w:bCs/>
          <w:color w:val="000000"/>
          <w:sz w:val="24"/>
          <w:szCs w:val="24"/>
        </w:rPr>
        <w:t>⑤</w:t>
      </w:r>
      <w:r>
        <w:rPr>
          <w:bCs/>
          <w:snapToGrid w:val="0"/>
          <w:color w:val="000000"/>
          <w:spacing w:val="-16"/>
          <w:kern w:val="21"/>
          <w:sz w:val="24"/>
          <w:szCs w:val="24"/>
        </w:rPr>
        <w:fldChar w:fldCharType="end"/>
      </w:r>
      <w:r>
        <w:rPr>
          <w:bCs/>
          <w:snapToGrid w:val="0"/>
          <w:color w:val="000000"/>
          <w:spacing w:val="-16"/>
          <w:kern w:val="21"/>
          <w:sz w:val="24"/>
          <w:szCs w:val="24"/>
        </w:rPr>
        <w:t>；</w:t>
      </w:r>
      <w:r>
        <w:rPr>
          <w:bCs/>
          <w:snapToGrid w:val="0"/>
          <w:color w:val="000000"/>
          <w:spacing w:val="-6"/>
          <w:kern w:val="21"/>
          <w:sz w:val="24"/>
          <w:szCs w:val="24"/>
        </w:rPr>
        <w:fldChar w:fldCharType="begin"/>
      </w:r>
      <w:r>
        <w:rPr>
          <w:bCs/>
          <w:snapToGrid w:val="0"/>
          <w:color w:val="000000"/>
          <w:spacing w:val="-6"/>
          <w:kern w:val="21"/>
          <w:sz w:val="24"/>
          <w:szCs w:val="24"/>
        </w:rPr>
        <w:instrText xml:space="preserve"> = 7 \* GB3 \* MERGEFORMAT </w:instrText>
      </w:r>
      <w:r>
        <w:rPr>
          <w:bCs/>
          <w:snapToGrid w:val="0"/>
          <w:color w:val="000000"/>
          <w:spacing w:val="-6"/>
          <w:kern w:val="21"/>
          <w:sz w:val="24"/>
          <w:szCs w:val="24"/>
        </w:rPr>
        <w:fldChar w:fldCharType="separate"/>
      </w:r>
      <w:r>
        <w:rPr>
          <w:bCs/>
          <w:color w:val="000000"/>
          <w:sz w:val="24"/>
          <w:szCs w:val="24"/>
        </w:rPr>
        <w:t>⑦</w:t>
      </w:r>
      <w:r>
        <w:rPr>
          <w:bCs/>
          <w:snapToGrid w:val="0"/>
          <w:color w:val="000000"/>
          <w:spacing w:val="-6"/>
          <w:kern w:val="21"/>
          <w:sz w:val="24"/>
          <w:szCs w:val="24"/>
        </w:rPr>
        <w:fldChar w:fldCharType="end"/>
      </w:r>
      <w:r>
        <w:rPr>
          <w:bCs/>
          <w:snapToGrid w:val="0"/>
          <w:color w:val="000000"/>
          <w:spacing w:val="-6"/>
          <w:kern w:val="21"/>
          <w:sz w:val="24"/>
          <w:szCs w:val="24"/>
        </w:rPr>
        <w:t>=</w:t>
      </w:r>
      <w:r>
        <w:rPr>
          <w:bCs/>
          <w:snapToGrid w:val="0"/>
          <w:color w:val="000000"/>
          <w:spacing w:val="-16"/>
          <w:kern w:val="21"/>
          <w:sz w:val="24"/>
          <w:szCs w:val="24"/>
        </w:rPr>
        <w:fldChar w:fldCharType="begin"/>
      </w:r>
      <w:r>
        <w:rPr>
          <w:bCs/>
          <w:snapToGrid w:val="0"/>
          <w:color w:val="000000"/>
          <w:spacing w:val="-16"/>
          <w:kern w:val="21"/>
          <w:sz w:val="24"/>
          <w:szCs w:val="24"/>
        </w:rPr>
        <w:instrText xml:space="preserve"> = 6 \* GB3 \* MERGEFORMAT </w:instrText>
      </w:r>
      <w:r>
        <w:rPr>
          <w:bCs/>
          <w:snapToGrid w:val="0"/>
          <w:color w:val="000000"/>
          <w:spacing w:val="-16"/>
          <w:kern w:val="21"/>
          <w:sz w:val="24"/>
          <w:szCs w:val="24"/>
        </w:rPr>
        <w:fldChar w:fldCharType="separate"/>
      </w:r>
      <w:r>
        <w:rPr>
          <w:bCs/>
          <w:color w:val="000000"/>
          <w:sz w:val="24"/>
          <w:szCs w:val="24"/>
        </w:rPr>
        <w:t>⑥</w:t>
      </w:r>
      <w:r>
        <w:rPr>
          <w:bCs/>
          <w:snapToGrid w:val="0"/>
          <w:color w:val="000000"/>
          <w:spacing w:val="-16"/>
          <w:kern w:val="21"/>
          <w:sz w:val="24"/>
          <w:szCs w:val="24"/>
        </w:rPr>
        <w:fldChar w:fldCharType="end"/>
      </w:r>
      <w:r>
        <w:rPr>
          <w:bCs/>
          <w:snapToGrid w:val="0"/>
          <w:color w:val="000000"/>
          <w:spacing w:val="-16"/>
          <w:kern w:val="21"/>
          <w:sz w:val="24"/>
          <w:szCs w:val="24"/>
        </w:rPr>
        <w:t>-</w:t>
      </w:r>
      <w:r>
        <w:rPr>
          <w:bCs/>
          <w:snapToGrid w:val="0"/>
          <w:color w:val="000000"/>
          <w:spacing w:val="-6"/>
          <w:kern w:val="21"/>
          <w:sz w:val="24"/>
          <w:szCs w:val="24"/>
        </w:rPr>
        <w:fldChar w:fldCharType="begin"/>
      </w:r>
      <w:r>
        <w:rPr>
          <w:bCs/>
          <w:snapToGrid w:val="0"/>
          <w:color w:val="000000"/>
          <w:spacing w:val="-6"/>
          <w:kern w:val="21"/>
          <w:sz w:val="24"/>
          <w:szCs w:val="24"/>
        </w:rPr>
        <w:instrText xml:space="preserve"> = 1 \* GB3 \* MERGEFORMAT </w:instrText>
      </w:r>
      <w:r>
        <w:rPr>
          <w:bCs/>
          <w:snapToGrid w:val="0"/>
          <w:color w:val="000000"/>
          <w:spacing w:val="-6"/>
          <w:kern w:val="21"/>
          <w:sz w:val="24"/>
          <w:szCs w:val="24"/>
        </w:rPr>
        <w:fldChar w:fldCharType="separate"/>
      </w:r>
      <w:r>
        <w:rPr>
          <w:bCs/>
          <w:color w:val="000000"/>
          <w:sz w:val="24"/>
          <w:szCs w:val="24"/>
        </w:rPr>
        <w:t>①</w:t>
      </w:r>
      <w:r>
        <w:rPr>
          <w:bCs/>
          <w:snapToGrid w:val="0"/>
          <w:color w:val="000000"/>
          <w:spacing w:val="-6"/>
          <w:kern w:val="21"/>
          <w:sz w:val="24"/>
          <w:szCs w:val="24"/>
        </w:rPr>
        <w:fldChar w:fldCharType="end"/>
      </w:r>
    </w:p>
    <w:p w14:paraId="00AE69D9">
      <w:pPr>
        <w:rPr>
          <w:snapToGrid w:val="0"/>
          <w:color w:val="FF0000"/>
          <w:spacing w:val="-6"/>
          <w:kern w:val="21"/>
          <w:szCs w:val="21"/>
          <w:u w:val="single"/>
        </w:rPr>
        <w:sectPr>
          <w:footerReference r:id="rId8" w:type="default"/>
          <w:pgSz w:w="16838" w:h="11906" w:orient="landscape"/>
          <w:pgMar w:top="1083" w:right="1440" w:bottom="1083" w:left="1440" w:header="851" w:footer="850" w:gutter="0"/>
          <w:cols w:space="720" w:num="1"/>
          <w:docGrid w:linePitch="312" w:charSpace="0"/>
        </w:sectPr>
      </w:pPr>
    </w:p>
    <w:p w14:paraId="24E07D07">
      <w:pPr>
        <w:keepNext w:val="0"/>
        <w:keepLines w:val="0"/>
        <w:pageBreakBefore w:val="0"/>
        <w:widowControl w:val="0"/>
        <w:kinsoku/>
        <w:wordWrap/>
        <w:overflowPunct/>
        <w:topLinePunct w:val="0"/>
        <w:autoSpaceDE/>
        <w:autoSpaceDN/>
        <w:bidi w:val="0"/>
        <w:adjustRightInd/>
        <w:snapToGrid/>
        <w:spacing w:line="276" w:lineRule="auto"/>
        <w:ind w:firstLine="0" w:firstLineChars="0"/>
        <w:jc w:val="center"/>
        <w:textAlignment w:val="auto"/>
        <w:rPr>
          <w:snapToGrid w:val="0"/>
          <w:spacing w:val="10"/>
          <w:kern w:val="0"/>
          <w:sz w:val="28"/>
          <w:szCs w:val="28"/>
        </w:rPr>
      </w:pPr>
    </w:p>
    <w:p w14:paraId="6EB51091">
      <w:pPr>
        <w:keepNext w:val="0"/>
        <w:keepLines w:val="0"/>
        <w:pageBreakBefore w:val="0"/>
        <w:widowControl w:val="0"/>
        <w:kinsoku/>
        <w:wordWrap/>
        <w:overflowPunct/>
        <w:topLinePunct w:val="0"/>
        <w:autoSpaceDE/>
        <w:autoSpaceDN/>
        <w:bidi w:val="0"/>
        <w:adjustRightInd/>
        <w:snapToGrid/>
        <w:spacing w:line="276" w:lineRule="auto"/>
        <w:ind w:firstLine="0" w:firstLineChars="0"/>
        <w:jc w:val="center"/>
        <w:textAlignment w:val="auto"/>
        <w:rPr>
          <w:bCs/>
          <w:snapToGrid w:val="0"/>
          <w:spacing w:val="10"/>
          <w:kern w:val="0"/>
          <w:sz w:val="44"/>
          <w:szCs w:val="44"/>
        </w:rPr>
      </w:pPr>
    </w:p>
    <w:p w14:paraId="1D65BC4C">
      <w:pPr>
        <w:keepNext w:val="0"/>
        <w:keepLines w:val="0"/>
        <w:pageBreakBefore w:val="0"/>
        <w:widowControl w:val="0"/>
        <w:kinsoku/>
        <w:wordWrap/>
        <w:overflowPunct/>
        <w:topLinePunct w:val="0"/>
        <w:autoSpaceDE/>
        <w:autoSpaceDN/>
        <w:bidi w:val="0"/>
        <w:adjustRightInd/>
        <w:snapToGrid/>
        <w:spacing w:line="276" w:lineRule="auto"/>
        <w:ind w:firstLine="0" w:firstLineChars="0"/>
        <w:jc w:val="center"/>
        <w:textAlignment w:val="auto"/>
        <w:rPr>
          <w:bCs/>
          <w:snapToGrid w:val="0"/>
          <w:spacing w:val="10"/>
          <w:kern w:val="0"/>
          <w:sz w:val="44"/>
          <w:szCs w:val="44"/>
        </w:rPr>
      </w:pPr>
    </w:p>
    <w:p w14:paraId="4E6FC87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val="0"/>
          <w:snapToGrid w:val="0"/>
          <w:spacing w:val="10"/>
          <w:kern w:val="0"/>
          <w:sz w:val="52"/>
          <w:szCs w:val="52"/>
          <w:lang w:val="en-US" w:eastAsia="zh-CN"/>
        </w:rPr>
      </w:pPr>
      <w:r>
        <w:rPr>
          <w:rFonts w:hint="eastAsia"/>
          <w:b/>
          <w:bCs w:val="0"/>
          <w:snapToGrid w:val="0"/>
          <w:spacing w:val="10"/>
          <w:kern w:val="0"/>
          <w:sz w:val="52"/>
          <w:szCs w:val="52"/>
          <w:lang w:val="en-US" w:eastAsia="zh-CN"/>
        </w:rPr>
        <w:t>南阳恒卓机械制造有限公司</w:t>
      </w:r>
    </w:p>
    <w:p w14:paraId="66B2065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val="0"/>
          <w:snapToGrid w:val="0"/>
          <w:spacing w:val="10"/>
          <w:kern w:val="0"/>
          <w:sz w:val="52"/>
          <w:szCs w:val="52"/>
        </w:rPr>
      </w:pPr>
      <w:r>
        <w:rPr>
          <w:rFonts w:hint="eastAsia"/>
          <w:b/>
          <w:bCs w:val="0"/>
          <w:snapToGrid w:val="0"/>
          <w:spacing w:val="10"/>
          <w:kern w:val="0"/>
          <w:sz w:val="52"/>
          <w:szCs w:val="52"/>
          <w:lang w:val="en-US" w:eastAsia="zh-CN"/>
        </w:rPr>
        <w:t>机械制造设备生产项目</w:t>
      </w:r>
    </w:p>
    <w:p w14:paraId="5C817A5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sz w:val="52"/>
          <w:szCs w:val="52"/>
        </w:rPr>
      </w:pPr>
      <w:bookmarkStart w:id="54" w:name="_Toc108012751"/>
      <w:bookmarkStart w:id="55" w:name="_Toc137679813"/>
      <w:bookmarkStart w:id="56" w:name="_Toc138239266"/>
      <w:bookmarkStart w:id="57" w:name="_Toc12793"/>
      <w:bookmarkStart w:id="58" w:name="_Toc16853"/>
      <w:bookmarkStart w:id="59" w:name="_Toc2889"/>
      <w:bookmarkStart w:id="60" w:name="_Toc8626"/>
      <w:bookmarkStart w:id="61" w:name="_Toc4990"/>
      <w:bookmarkStart w:id="62" w:name="_Toc16759"/>
      <w:bookmarkStart w:id="63" w:name="_Toc137930083"/>
      <w:bookmarkStart w:id="64" w:name="_Toc107498452"/>
      <w:bookmarkStart w:id="65" w:name="_Toc19626"/>
      <w:bookmarkStart w:id="66" w:name="_Toc23141"/>
      <w:bookmarkStart w:id="67" w:name="_Toc27251"/>
      <w:bookmarkStart w:id="68" w:name="_Toc25628"/>
      <w:bookmarkStart w:id="69" w:name="_Toc26846"/>
      <w:bookmarkStart w:id="70" w:name="_Toc107497703"/>
      <w:bookmarkStart w:id="71" w:name="_Toc23677"/>
      <w:bookmarkStart w:id="72" w:name="_Toc107498406"/>
      <w:r>
        <w:rPr>
          <w:b/>
          <w:bCs/>
          <w:sz w:val="52"/>
          <w:szCs w:val="52"/>
        </w:rPr>
        <w:t>大气环境影响专项评价报告</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125431B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08D0B34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11A5B54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0B8B8C5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4A250C8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3CCEA04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5D0E71B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03B4B6F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6936244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7C1F9A9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50D10AA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snapToGrid w:val="0"/>
          <w:spacing w:val="10"/>
          <w:kern w:val="0"/>
          <w:sz w:val="36"/>
          <w:szCs w:val="36"/>
          <w:u w:val="single"/>
        </w:rPr>
      </w:pPr>
    </w:p>
    <w:p w14:paraId="259C21DA">
      <w:pPr>
        <w:keepNext w:val="0"/>
        <w:keepLines w:val="0"/>
        <w:pageBreakBefore w:val="0"/>
        <w:widowControl w:val="0"/>
        <w:kinsoku/>
        <w:wordWrap/>
        <w:overflowPunct/>
        <w:topLinePunct w:val="0"/>
        <w:autoSpaceDE/>
        <w:autoSpaceDN/>
        <w:bidi w:val="0"/>
        <w:adjustRightInd/>
        <w:snapToGrid/>
        <w:spacing w:line="800" w:lineRule="exact"/>
        <w:ind w:firstLine="0" w:firstLineChars="0"/>
        <w:jc w:val="center"/>
        <w:textAlignment w:val="auto"/>
        <w:rPr>
          <w:b/>
          <w:bCs/>
          <w:sz w:val="44"/>
          <w:szCs w:val="44"/>
        </w:rPr>
      </w:pPr>
      <w:bookmarkStart w:id="73" w:name="_Toc31877"/>
      <w:r>
        <w:rPr>
          <w:rFonts w:hint="eastAsia"/>
          <w:b/>
          <w:bCs/>
          <w:sz w:val="44"/>
          <w:szCs w:val="44"/>
          <w:lang w:val="en-US" w:eastAsia="zh-CN"/>
        </w:rPr>
        <w:t>南阳恒卓机械制造有限公</w:t>
      </w:r>
      <w:r>
        <w:rPr>
          <w:rFonts w:hint="eastAsia"/>
          <w:b/>
          <w:bCs/>
          <w:sz w:val="44"/>
          <w:szCs w:val="44"/>
          <w:lang w:eastAsia="zh-CN"/>
        </w:rPr>
        <w:t>司</w:t>
      </w:r>
    </w:p>
    <w:bookmarkEnd w:id="73"/>
    <w:p w14:paraId="74765681">
      <w:pPr>
        <w:keepNext w:val="0"/>
        <w:keepLines w:val="0"/>
        <w:pageBreakBefore w:val="0"/>
        <w:widowControl w:val="0"/>
        <w:kinsoku/>
        <w:wordWrap/>
        <w:overflowPunct/>
        <w:topLinePunct w:val="0"/>
        <w:autoSpaceDE/>
        <w:autoSpaceDN/>
        <w:bidi w:val="0"/>
        <w:adjustRightInd/>
        <w:snapToGrid/>
        <w:spacing w:line="800" w:lineRule="exact"/>
        <w:ind w:firstLine="0" w:firstLineChars="0"/>
        <w:jc w:val="center"/>
        <w:textAlignment w:val="auto"/>
        <w:rPr>
          <w:b/>
          <w:bCs/>
          <w:sz w:val="44"/>
          <w:szCs w:val="44"/>
        </w:rPr>
      </w:pPr>
      <w:r>
        <w:rPr>
          <w:b/>
          <w:bCs/>
          <w:sz w:val="44"/>
          <w:szCs w:val="44"/>
        </w:rPr>
        <w:t>二〇二</w:t>
      </w:r>
      <w:r>
        <w:rPr>
          <w:rFonts w:hint="eastAsia"/>
          <w:b/>
          <w:bCs/>
          <w:sz w:val="44"/>
          <w:szCs w:val="44"/>
          <w:lang w:val="en-US" w:eastAsia="zh-CN"/>
        </w:rPr>
        <w:t>六</w:t>
      </w:r>
      <w:r>
        <w:rPr>
          <w:b/>
          <w:bCs/>
          <w:sz w:val="44"/>
          <w:szCs w:val="44"/>
        </w:rPr>
        <w:t>年</w:t>
      </w:r>
      <w:r>
        <w:rPr>
          <w:rFonts w:hint="eastAsia"/>
          <w:b/>
          <w:bCs/>
          <w:sz w:val="44"/>
          <w:szCs w:val="44"/>
          <w:lang w:val="en-US" w:eastAsia="zh-CN"/>
        </w:rPr>
        <w:t>二</w:t>
      </w:r>
      <w:r>
        <w:rPr>
          <w:b/>
          <w:bCs/>
          <w:sz w:val="44"/>
          <w:szCs w:val="44"/>
        </w:rPr>
        <w:t>月</w:t>
      </w:r>
    </w:p>
    <w:p w14:paraId="79DD728A">
      <w:pPr>
        <w:keepNext w:val="0"/>
        <w:keepLines w:val="0"/>
        <w:pageBreakBefore w:val="0"/>
        <w:widowControl w:val="0"/>
        <w:kinsoku/>
        <w:wordWrap/>
        <w:overflowPunct/>
        <w:topLinePunct w:val="0"/>
        <w:autoSpaceDE/>
        <w:autoSpaceDN/>
        <w:bidi w:val="0"/>
        <w:adjustRightInd/>
        <w:snapToGrid/>
        <w:spacing w:line="800" w:lineRule="exact"/>
        <w:ind w:firstLine="0" w:firstLineChars="0"/>
        <w:jc w:val="both"/>
        <w:textAlignment w:val="auto"/>
        <w:rPr>
          <w:b/>
          <w:bCs/>
          <w:sz w:val="44"/>
          <w:szCs w:val="44"/>
        </w:rPr>
        <w:sectPr>
          <w:footerReference r:id="rId9" w:type="default"/>
          <w:pgSz w:w="11905" w:h="16838"/>
          <w:pgMar w:top="1440" w:right="1083" w:bottom="1440" w:left="1083" w:header="850" w:footer="992" w:gutter="0"/>
          <w:pgNumType w:fmt="lowerRoman" w:start="1"/>
          <w:cols w:space="0" w:num="1"/>
          <w:titlePg/>
          <w:rtlGutter w:val="0"/>
          <w:docGrid w:type="lines" w:linePitch="318" w:charSpace="0"/>
        </w:sectPr>
      </w:pPr>
    </w:p>
    <w:sdt>
      <w:sdtPr>
        <w:rPr>
          <w:rFonts w:ascii="宋体" w:hAnsi="宋体" w:eastAsia="宋体" w:cs="Times New Roman"/>
          <w:kern w:val="2"/>
          <w:sz w:val="21"/>
          <w:szCs w:val="24"/>
          <w:lang w:val="en-US" w:eastAsia="zh-CN" w:bidi="ar-SA"/>
        </w:rPr>
        <w:id w:val="147480638"/>
        <w15:color w:val="DBDBDB"/>
        <w:docPartObj>
          <w:docPartGallery w:val="Table of Contents"/>
          <w:docPartUnique/>
        </w:docPartObj>
      </w:sdtPr>
      <w:sdtEndPr>
        <w:rPr>
          <w:rFonts w:ascii="Times New Roman" w:hAnsi="Times New Roman" w:eastAsia="宋体" w:cs="Times New Roman"/>
          <w:kern w:val="2"/>
          <w:sz w:val="24"/>
          <w:szCs w:val="24"/>
          <w:lang w:val="en-US" w:eastAsia="zh-CN" w:bidi="ar-SA"/>
        </w:rPr>
      </w:sdtEndPr>
      <w:sdtContent>
        <w:p w14:paraId="0A1797BE">
          <w:pPr>
            <w:spacing w:before="0" w:beforeLines="0" w:after="0" w:afterLines="0" w:line="240" w:lineRule="auto"/>
            <w:ind w:left="0" w:leftChars="0" w:right="0" w:rightChars="0" w:firstLine="0" w:firstLineChars="0"/>
            <w:jc w:val="center"/>
          </w:pPr>
          <w:r>
            <w:rPr>
              <w:rFonts w:hint="eastAsia" w:ascii="黑体" w:hAnsi="黑体" w:eastAsia="黑体" w:cs="黑体"/>
              <w:sz w:val="36"/>
              <w:szCs w:val="36"/>
            </w:rPr>
            <w:t>目</w:t>
          </w:r>
          <w:r>
            <w:rPr>
              <w:rFonts w:hint="eastAsia" w:ascii="黑体" w:hAnsi="黑体" w:eastAsia="黑体" w:cs="黑体"/>
              <w:sz w:val="36"/>
              <w:szCs w:val="36"/>
              <w:lang w:val="en-US" w:eastAsia="zh-CN"/>
            </w:rPr>
            <w:t xml:space="preserve"> </w:t>
          </w:r>
          <w:r>
            <w:rPr>
              <w:rFonts w:hint="eastAsia" w:ascii="黑体" w:hAnsi="黑体" w:eastAsia="黑体" w:cs="黑体"/>
              <w:sz w:val="36"/>
              <w:szCs w:val="36"/>
            </w:rPr>
            <w:t>录</w:t>
          </w:r>
          <w:r>
            <w:fldChar w:fldCharType="begin"/>
          </w:r>
          <w:r>
            <w:instrText xml:space="preserve">TOC \o "1-3" \h \u </w:instrText>
          </w:r>
          <w:r>
            <w:fldChar w:fldCharType="separate"/>
          </w:r>
        </w:p>
        <w:p w14:paraId="0147C53E">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_Toc5115 </w:instrText>
          </w:r>
          <w:r>
            <w:rPr>
              <w:rFonts w:hint="default" w:ascii="Times New Roman" w:hAnsi="Times New Roman" w:eastAsia="黑体" w:cs="Times New Roman"/>
            </w:rPr>
            <w:fldChar w:fldCharType="separate"/>
          </w:r>
          <w:r>
            <w:rPr>
              <w:rFonts w:hint="default" w:ascii="Times New Roman" w:hAnsi="Times New Roman" w:eastAsia="黑体" w:cs="Times New Roman"/>
              <w:i w:val="0"/>
              <w:kern w:val="44"/>
              <w:szCs w:val="36"/>
              <w:lang w:val="en-US" w:eastAsia="zh-CN" w:bidi="ar-SA"/>
            </w:rPr>
            <w:t xml:space="preserve">第1章 </w:t>
          </w:r>
          <w:r>
            <w:rPr>
              <w:rFonts w:hint="default" w:ascii="Times New Roman" w:hAnsi="Times New Roman" w:eastAsia="黑体" w:cs="Times New Roman"/>
              <w:szCs w:val="36"/>
            </w:rPr>
            <w:t>总则</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_Toc5115 \h </w:instrText>
          </w:r>
          <w:r>
            <w:rPr>
              <w:rFonts w:hint="default" w:ascii="Times New Roman" w:hAnsi="Times New Roman" w:eastAsia="黑体" w:cs="Times New Roman"/>
            </w:rPr>
            <w:fldChar w:fldCharType="separate"/>
          </w:r>
          <w:r>
            <w:rPr>
              <w:rFonts w:hint="default" w:ascii="Times New Roman" w:hAnsi="Times New Roman" w:eastAsia="黑体" w:cs="Times New Roman"/>
            </w:rPr>
            <w:t>1</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5A582BB3">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_Toc8601 </w:instrText>
          </w:r>
          <w:r>
            <w:rPr>
              <w:rFonts w:hint="default" w:ascii="Times New Roman" w:hAnsi="Times New Roman" w:cs="Times New Roman"/>
            </w:rPr>
            <w:fldChar w:fldCharType="separate"/>
          </w:r>
          <w:r>
            <w:rPr>
              <w:rFonts w:hint="default" w:ascii="Times New Roman" w:hAnsi="Times New Roman" w:cs="Times New Roman"/>
              <w:lang w:val="en-US" w:eastAsia="zh-CN"/>
            </w:rPr>
            <w:t>1.1.</w:t>
          </w:r>
          <w:r>
            <w:rPr>
              <w:rFonts w:hint="default" w:ascii="Times New Roman" w:hAnsi="Times New Roman" w:cs="Times New Roman"/>
            </w:rPr>
            <w:t>大气环境影响专项评价设置由来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_Toc8601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14:paraId="06BE2723">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_Toc21408 </w:instrText>
          </w:r>
          <w:r>
            <w:rPr>
              <w:rFonts w:hint="default" w:ascii="Times New Roman" w:hAnsi="Times New Roman" w:cs="Times New Roman"/>
            </w:rPr>
            <w:fldChar w:fldCharType="separate"/>
          </w:r>
          <w:r>
            <w:rPr>
              <w:rFonts w:hint="default" w:ascii="Times New Roman" w:hAnsi="Times New Roman" w:cs="Times New Roman"/>
              <w:lang w:val="en-US" w:eastAsia="zh-CN"/>
            </w:rPr>
            <w:t>1.2.</w:t>
          </w:r>
          <w:r>
            <w:rPr>
              <w:rFonts w:hint="default" w:ascii="Times New Roman" w:hAnsi="Times New Roman" w:cs="Times New Roman"/>
            </w:rPr>
            <w:t>评价目的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_Toc21408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14:paraId="69817382">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_Toc20245 </w:instrText>
          </w:r>
          <w:r>
            <w:rPr>
              <w:rFonts w:hint="default" w:ascii="Times New Roman" w:hAnsi="Times New Roman" w:cs="Times New Roman"/>
            </w:rPr>
            <w:fldChar w:fldCharType="separate"/>
          </w:r>
          <w:r>
            <w:rPr>
              <w:rFonts w:hint="default" w:ascii="Times New Roman" w:hAnsi="Times New Roman" w:cs="Times New Roman"/>
              <w:lang w:val="en-US" w:eastAsia="zh-CN"/>
            </w:rPr>
            <w:t>1.3.</w:t>
          </w:r>
          <w:r>
            <w:rPr>
              <w:rFonts w:hint="default" w:ascii="Times New Roman" w:hAnsi="Times New Roman" w:cs="Times New Roman"/>
            </w:rPr>
            <w:t>评价依据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_Toc20245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14:paraId="10C9F818">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_Toc398 </w:instrText>
          </w:r>
          <w:r>
            <w:rPr>
              <w:rFonts w:hint="default" w:ascii="Times New Roman" w:hAnsi="Times New Roman" w:cs="Times New Roman"/>
            </w:rPr>
            <w:fldChar w:fldCharType="separate"/>
          </w:r>
          <w:r>
            <w:rPr>
              <w:rFonts w:hint="default" w:ascii="Times New Roman" w:hAnsi="Times New Roman" w:cs="Times New Roman"/>
              <w:lang w:val="en-US" w:eastAsia="zh-CN"/>
            </w:rPr>
            <w:t>1.4.</w:t>
          </w:r>
          <w:r>
            <w:rPr>
              <w:rFonts w:hint="default" w:ascii="Times New Roman" w:hAnsi="Times New Roman" w:cs="Times New Roman"/>
            </w:rPr>
            <w:t>评价等级、评价范围与评价时段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_Toc398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05B556DE">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_Toc12102 </w:instrText>
          </w:r>
          <w:r>
            <w:rPr>
              <w:rFonts w:hint="default" w:ascii="Times New Roman" w:hAnsi="Times New Roman" w:cs="Times New Roman"/>
            </w:rPr>
            <w:fldChar w:fldCharType="separate"/>
          </w:r>
          <w:r>
            <w:rPr>
              <w:rFonts w:hint="default" w:ascii="Times New Roman" w:hAnsi="Times New Roman" w:cs="Times New Roman"/>
              <w:lang w:val="en-US" w:eastAsia="zh-CN"/>
            </w:rPr>
            <w:t>1.4.1.</w:t>
          </w:r>
          <w:r>
            <w:rPr>
              <w:rFonts w:hint="default" w:ascii="Times New Roman" w:hAnsi="Times New Roman" w:cs="Times New Roman"/>
            </w:rPr>
            <w:t>环境影响识别与评价因子筛选</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_Toc12102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156F9BDB">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_Toc31650 </w:instrText>
          </w:r>
          <w:r>
            <w:rPr>
              <w:rFonts w:hint="default" w:ascii="Times New Roman" w:hAnsi="Times New Roman" w:cs="Times New Roman"/>
            </w:rPr>
            <w:fldChar w:fldCharType="separate"/>
          </w:r>
          <w:r>
            <w:rPr>
              <w:rFonts w:hint="default" w:ascii="Times New Roman" w:hAnsi="Times New Roman" w:cs="Times New Roman"/>
              <w:lang w:val="en-US" w:eastAsia="zh-CN"/>
            </w:rPr>
            <w:t>1.4.2.</w:t>
          </w:r>
          <w:r>
            <w:rPr>
              <w:rFonts w:hint="default" w:ascii="Times New Roman" w:hAnsi="Times New Roman" w:cs="Times New Roman"/>
            </w:rPr>
            <w:t>评价工作等级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_Toc31650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rPr>
            <w:fldChar w:fldCharType="end"/>
          </w:r>
        </w:p>
        <w:p w14:paraId="494B1FC6">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_Toc26422 </w:instrText>
          </w:r>
          <w:r>
            <w:rPr>
              <w:rFonts w:hint="default" w:ascii="Times New Roman" w:hAnsi="Times New Roman" w:cs="Times New Roman"/>
            </w:rPr>
            <w:fldChar w:fldCharType="separate"/>
          </w:r>
          <w:r>
            <w:rPr>
              <w:rFonts w:hint="default" w:ascii="Times New Roman" w:hAnsi="Times New Roman" w:cs="Times New Roman"/>
              <w:lang w:val="en-US" w:eastAsia="zh-CN"/>
            </w:rPr>
            <w:t>1.4.3.</w:t>
          </w:r>
          <w:r>
            <w:rPr>
              <w:rFonts w:hint="default" w:ascii="Times New Roman" w:hAnsi="Times New Roman" w:cs="Times New Roman"/>
            </w:rPr>
            <w:t>评价范围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_Toc26422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1D9D9C68">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_Toc32496 </w:instrText>
          </w:r>
          <w:r>
            <w:rPr>
              <w:rFonts w:hint="default" w:ascii="Times New Roman" w:hAnsi="Times New Roman" w:cs="Times New Roman"/>
            </w:rPr>
            <w:fldChar w:fldCharType="separate"/>
          </w:r>
          <w:r>
            <w:rPr>
              <w:rFonts w:hint="default" w:ascii="Times New Roman" w:hAnsi="Times New Roman" w:cs="Times New Roman"/>
              <w:lang w:val="en-US" w:eastAsia="zh-CN"/>
            </w:rPr>
            <w:t>1.4.4.</w:t>
          </w:r>
          <w:r>
            <w:rPr>
              <w:rFonts w:hint="default" w:ascii="Times New Roman" w:hAnsi="Times New Roman" w:cs="Times New Roman"/>
            </w:rPr>
            <w:t>评价时段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_Toc32496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05ECF1A9">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_Toc783 </w:instrText>
          </w:r>
          <w:r>
            <w:rPr>
              <w:rFonts w:hint="default" w:ascii="Times New Roman" w:hAnsi="Times New Roman" w:cs="Times New Roman"/>
            </w:rPr>
            <w:fldChar w:fldCharType="separate"/>
          </w:r>
          <w:r>
            <w:rPr>
              <w:rFonts w:hint="default" w:ascii="Times New Roman" w:hAnsi="Times New Roman" w:eastAsia="黑体" w:cs="Times New Roman"/>
              <w:i w:val="0"/>
              <w:caps w:val="0"/>
              <w:strike w:val="0"/>
              <w:dstrike w:val="0"/>
              <w:vanish w:val="0"/>
              <w:kern w:val="2"/>
              <w:szCs w:val="30"/>
              <w:vertAlign w:val="baseline"/>
              <w:lang w:val="en-US" w:eastAsia="zh-CN" w:bidi="ar-SA"/>
            </w:rPr>
            <w:t>1.5.</w:t>
          </w:r>
          <w:r>
            <w:rPr>
              <w:rFonts w:hint="default" w:ascii="Times New Roman" w:hAnsi="Times New Roman" w:eastAsia="宋体" w:cs="Times New Roman"/>
            </w:rPr>
            <w:t>评价标准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_Toc783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072E94CE">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_Toc17601 </w:instrText>
          </w:r>
          <w:r>
            <w:rPr>
              <w:rFonts w:hint="default" w:ascii="Times New Roman" w:hAnsi="Times New Roman" w:cs="Times New Roman"/>
            </w:rPr>
            <w:fldChar w:fldCharType="separate"/>
          </w:r>
          <w:r>
            <w:rPr>
              <w:rFonts w:hint="default" w:ascii="Times New Roman" w:hAnsi="Times New Roman" w:cs="Times New Roman"/>
              <w:lang w:val="en-US" w:eastAsia="zh-CN"/>
            </w:rPr>
            <w:t>1.5.1.</w:t>
          </w:r>
          <w:r>
            <w:rPr>
              <w:rFonts w:hint="default" w:ascii="Times New Roman" w:hAnsi="Times New Roman" w:cs="Times New Roman"/>
            </w:rPr>
            <w:t>环境空气质量标准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_Toc17601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5629B6A9">
          <w:pPr>
            <w:pStyle w:val="13"/>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_Toc17839 </w:instrText>
          </w:r>
          <w:r>
            <w:rPr>
              <w:rFonts w:hint="default" w:ascii="Times New Roman" w:hAnsi="Times New Roman" w:cs="Times New Roman"/>
            </w:rPr>
            <w:fldChar w:fldCharType="separate"/>
          </w:r>
          <w:r>
            <w:rPr>
              <w:rFonts w:hint="default" w:ascii="Times New Roman" w:hAnsi="Times New Roman" w:cs="Times New Roman"/>
              <w:lang w:val="en-US" w:eastAsia="zh-CN"/>
            </w:rPr>
            <w:t>1.5.2.</w:t>
          </w:r>
          <w:r>
            <w:rPr>
              <w:rFonts w:hint="default" w:ascii="Times New Roman" w:hAnsi="Times New Roman" w:cs="Times New Roman"/>
            </w:rPr>
            <w:t>污染物排放标准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_Toc17839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rPr>
            <w:fldChar w:fldCharType="end"/>
          </w:r>
        </w:p>
        <w:p w14:paraId="1AFB2355">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_Toc8260 </w:instrText>
          </w:r>
          <w:r>
            <w:rPr>
              <w:rFonts w:hint="default" w:ascii="Times New Roman" w:hAnsi="Times New Roman" w:cs="Times New Roman"/>
            </w:rPr>
            <w:fldChar w:fldCharType="separate"/>
          </w:r>
          <w:r>
            <w:rPr>
              <w:rFonts w:hint="default" w:ascii="Times New Roman" w:hAnsi="Times New Roman" w:eastAsia="黑体" w:cs="Times New Roman"/>
              <w:i w:val="0"/>
              <w:caps w:val="0"/>
              <w:strike w:val="0"/>
              <w:dstrike w:val="0"/>
              <w:vanish w:val="0"/>
              <w:kern w:val="2"/>
              <w:szCs w:val="30"/>
              <w:vertAlign w:val="baseline"/>
              <w:lang w:val="en-US" w:eastAsia="zh-CN" w:bidi="ar-SA"/>
            </w:rPr>
            <w:t>1.6.</w:t>
          </w:r>
          <w:r>
            <w:rPr>
              <w:rFonts w:hint="default" w:ascii="Times New Roman" w:hAnsi="Times New Roman" w:eastAsia="宋体" w:cs="Times New Roman"/>
            </w:rPr>
            <w:t>工作程序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_Toc8260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rPr>
            <w:fldChar w:fldCharType="end"/>
          </w:r>
        </w:p>
        <w:p w14:paraId="700C68BD">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_Toc10772 </w:instrText>
          </w:r>
          <w:r>
            <w:rPr>
              <w:rFonts w:hint="default" w:ascii="Times New Roman" w:hAnsi="Times New Roman" w:eastAsia="黑体" w:cs="Times New Roman"/>
            </w:rPr>
            <w:fldChar w:fldCharType="separate"/>
          </w:r>
          <w:r>
            <w:rPr>
              <w:rFonts w:hint="default" w:ascii="Times New Roman" w:hAnsi="Times New Roman" w:eastAsia="黑体" w:cs="Times New Roman"/>
            </w:rPr>
            <w:t>第2章 工程分析</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_Toc10772 \h </w:instrText>
          </w:r>
          <w:r>
            <w:rPr>
              <w:rFonts w:hint="default" w:ascii="Times New Roman" w:hAnsi="Times New Roman" w:eastAsia="黑体" w:cs="Times New Roman"/>
            </w:rPr>
            <w:fldChar w:fldCharType="separate"/>
          </w:r>
          <w:r>
            <w:rPr>
              <w:rFonts w:hint="default" w:ascii="Times New Roman" w:hAnsi="Times New Roman" w:eastAsia="黑体" w:cs="Times New Roman"/>
            </w:rPr>
            <w:t>6</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3A3111DD">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_Toc27370 </w:instrText>
          </w:r>
          <w:r>
            <w:rPr>
              <w:rFonts w:hint="default" w:ascii="Times New Roman" w:hAnsi="Times New Roman" w:cs="Times New Roman"/>
            </w:rPr>
            <w:fldChar w:fldCharType="separate"/>
          </w:r>
          <w:r>
            <w:rPr>
              <w:rFonts w:hint="default" w:ascii="Times New Roman" w:hAnsi="Times New Roman" w:cs="Times New Roman"/>
            </w:rPr>
            <w:t>2.1.项目基本情况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_Toc27370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14:paraId="2C8EEA6F">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_Toc19653 </w:instrText>
          </w:r>
          <w:r>
            <w:rPr>
              <w:rFonts w:hint="default" w:ascii="Times New Roman" w:hAnsi="Times New Roman" w:cs="Times New Roman"/>
            </w:rPr>
            <w:fldChar w:fldCharType="separate"/>
          </w:r>
          <w:r>
            <w:rPr>
              <w:rFonts w:hint="default" w:ascii="Times New Roman" w:hAnsi="Times New Roman" w:cs="Times New Roman"/>
            </w:rPr>
            <w:t>2.2.产品方案</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_Toc19653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14:paraId="523A1F74">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_Toc15499 </w:instrText>
          </w:r>
          <w:r>
            <w:rPr>
              <w:rFonts w:hint="default" w:ascii="Times New Roman" w:hAnsi="Times New Roman" w:cs="Times New Roman"/>
            </w:rPr>
            <w:fldChar w:fldCharType="separate"/>
          </w:r>
          <w:r>
            <w:rPr>
              <w:rFonts w:hint="default" w:ascii="Times New Roman" w:hAnsi="Times New Roman" w:cs="Times New Roman"/>
            </w:rPr>
            <w:t>2.3.建设内容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_Toc15499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14:paraId="75DB48FB">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_Toc26085 </w:instrText>
          </w:r>
          <w:r>
            <w:rPr>
              <w:rFonts w:hint="default" w:ascii="Times New Roman" w:hAnsi="Times New Roman" w:cs="Times New Roman"/>
            </w:rPr>
            <w:fldChar w:fldCharType="separate"/>
          </w:r>
          <w:r>
            <w:rPr>
              <w:rFonts w:hint="default" w:ascii="Times New Roman" w:hAnsi="Times New Roman" w:cs="Times New Roman"/>
            </w:rPr>
            <w:t>2.4.工程分析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_Toc26085 \h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cs="Times New Roman"/>
            </w:rPr>
            <w:fldChar w:fldCharType="end"/>
          </w:r>
        </w:p>
        <w:p w14:paraId="37FCCB0F">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_Toc5670 </w:instrText>
          </w:r>
          <w:r>
            <w:rPr>
              <w:rFonts w:hint="default" w:ascii="Times New Roman" w:hAnsi="Times New Roman" w:cs="Times New Roman"/>
            </w:rPr>
            <w:fldChar w:fldCharType="separate"/>
          </w:r>
          <w:r>
            <w:rPr>
              <w:rFonts w:hint="default" w:ascii="Times New Roman" w:hAnsi="Times New Roman" w:cs="Times New Roman"/>
            </w:rPr>
            <w:t>2.5.污染源源强分析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_Toc5670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14:paraId="42F8671C">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_Toc29008 </w:instrText>
          </w:r>
          <w:r>
            <w:rPr>
              <w:rFonts w:hint="default" w:ascii="Times New Roman" w:hAnsi="Times New Roman" w:eastAsia="黑体" w:cs="Times New Roman"/>
            </w:rPr>
            <w:fldChar w:fldCharType="separate"/>
          </w:r>
          <w:r>
            <w:rPr>
              <w:rFonts w:hint="default" w:ascii="Times New Roman" w:hAnsi="Times New Roman" w:eastAsia="黑体" w:cs="Times New Roman"/>
            </w:rPr>
            <w:t>第3章 环境空气质量现状评价</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_Toc29008 \h </w:instrText>
          </w:r>
          <w:r>
            <w:rPr>
              <w:rFonts w:hint="default" w:ascii="Times New Roman" w:hAnsi="Times New Roman" w:eastAsia="黑体" w:cs="Times New Roman"/>
            </w:rPr>
            <w:fldChar w:fldCharType="separate"/>
          </w:r>
          <w:r>
            <w:rPr>
              <w:rFonts w:hint="default" w:ascii="Times New Roman" w:hAnsi="Times New Roman" w:eastAsia="黑体" w:cs="Times New Roman"/>
            </w:rPr>
            <w:t>19</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694E3367">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_Toc27797 </w:instrText>
          </w:r>
          <w:r>
            <w:rPr>
              <w:rFonts w:hint="default" w:ascii="Times New Roman" w:hAnsi="Times New Roman" w:cs="Times New Roman"/>
            </w:rPr>
            <w:fldChar w:fldCharType="separate"/>
          </w:r>
          <w:r>
            <w:rPr>
              <w:rFonts w:hint="default" w:ascii="Times New Roman" w:hAnsi="Times New Roman" w:cs="Times New Roman"/>
            </w:rPr>
            <w:t>3.1.环境空气质量评价标准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_Toc27797 \h </w:instrText>
          </w:r>
          <w:r>
            <w:rPr>
              <w:rFonts w:hint="default" w:ascii="Times New Roman" w:hAnsi="Times New Roman" w:cs="Times New Roman"/>
            </w:rPr>
            <w:fldChar w:fldCharType="separate"/>
          </w:r>
          <w:r>
            <w:rPr>
              <w:rFonts w:hint="default" w:ascii="Times New Roman" w:hAnsi="Times New Roman" w:cs="Times New Roman"/>
            </w:rPr>
            <w:t>19</w:t>
          </w:r>
          <w:r>
            <w:rPr>
              <w:rFonts w:hint="default" w:ascii="Times New Roman" w:hAnsi="Times New Roman" w:cs="Times New Roman"/>
            </w:rPr>
            <w:fldChar w:fldCharType="end"/>
          </w:r>
          <w:r>
            <w:rPr>
              <w:rFonts w:hint="default" w:ascii="Times New Roman" w:hAnsi="Times New Roman" w:cs="Times New Roman"/>
            </w:rPr>
            <w:fldChar w:fldCharType="end"/>
          </w:r>
        </w:p>
        <w:p w14:paraId="22A83AA1">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_Toc29508 </w:instrText>
          </w:r>
          <w:r>
            <w:rPr>
              <w:rFonts w:hint="default" w:ascii="Times New Roman" w:hAnsi="Times New Roman" w:cs="Times New Roman"/>
            </w:rPr>
            <w:fldChar w:fldCharType="separate"/>
          </w:r>
          <w:r>
            <w:rPr>
              <w:rFonts w:hint="default" w:ascii="Times New Roman" w:hAnsi="Times New Roman" w:cs="Times New Roman"/>
            </w:rPr>
            <w:t>3.2.基本污染物环境质量现状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_Toc29508 \h </w:instrText>
          </w:r>
          <w:r>
            <w:rPr>
              <w:rFonts w:hint="default" w:ascii="Times New Roman" w:hAnsi="Times New Roman" w:cs="Times New Roman"/>
            </w:rPr>
            <w:fldChar w:fldCharType="separate"/>
          </w:r>
          <w:r>
            <w:rPr>
              <w:rFonts w:hint="default" w:ascii="Times New Roman" w:hAnsi="Times New Roman" w:cs="Times New Roman"/>
            </w:rPr>
            <w:t>20</w:t>
          </w:r>
          <w:r>
            <w:rPr>
              <w:rFonts w:hint="default" w:ascii="Times New Roman" w:hAnsi="Times New Roman" w:cs="Times New Roman"/>
            </w:rPr>
            <w:fldChar w:fldCharType="end"/>
          </w:r>
          <w:r>
            <w:rPr>
              <w:rFonts w:hint="default" w:ascii="Times New Roman" w:hAnsi="Times New Roman" w:cs="Times New Roman"/>
            </w:rPr>
            <w:fldChar w:fldCharType="end"/>
          </w:r>
        </w:p>
        <w:p w14:paraId="4822382F">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_Toc12717 </w:instrText>
          </w:r>
          <w:r>
            <w:rPr>
              <w:rFonts w:hint="default" w:ascii="Times New Roman" w:hAnsi="Times New Roman" w:cs="Times New Roman"/>
            </w:rPr>
            <w:fldChar w:fldCharType="separate"/>
          </w:r>
          <w:r>
            <w:rPr>
              <w:rFonts w:hint="default" w:ascii="Times New Roman" w:hAnsi="Times New Roman" w:cs="Times New Roman"/>
            </w:rPr>
            <w:t>3.3.特征污染物环境质量现状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_Toc12717 \h </w:instrText>
          </w:r>
          <w:r>
            <w:rPr>
              <w:rFonts w:hint="default" w:ascii="Times New Roman" w:hAnsi="Times New Roman" w:cs="Times New Roman"/>
            </w:rPr>
            <w:fldChar w:fldCharType="separate"/>
          </w:r>
          <w:r>
            <w:rPr>
              <w:rFonts w:hint="default" w:ascii="Times New Roman" w:hAnsi="Times New Roman" w:cs="Times New Roman"/>
            </w:rPr>
            <w:t>20</w:t>
          </w:r>
          <w:r>
            <w:rPr>
              <w:rFonts w:hint="default" w:ascii="Times New Roman" w:hAnsi="Times New Roman" w:cs="Times New Roman"/>
            </w:rPr>
            <w:fldChar w:fldCharType="end"/>
          </w:r>
          <w:r>
            <w:rPr>
              <w:rFonts w:hint="default" w:ascii="Times New Roman" w:hAnsi="Times New Roman" w:cs="Times New Roman"/>
            </w:rPr>
            <w:fldChar w:fldCharType="end"/>
          </w:r>
        </w:p>
        <w:p w14:paraId="7F7CA0E3">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_Toc2881 </w:instrText>
          </w:r>
          <w:r>
            <w:rPr>
              <w:rFonts w:hint="default" w:ascii="Times New Roman" w:hAnsi="Times New Roman" w:cs="Times New Roman"/>
            </w:rPr>
            <w:fldChar w:fldCharType="separate"/>
          </w:r>
          <w:r>
            <w:rPr>
              <w:rFonts w:hint="default" w:ascii="Times New Roman" w:hAnsi="Times New Roman" w:cs="Times New Roman"/>
            </w:rPr>
            <w:t>3.4.环境空气质量现状评价结论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_Toc2881 \h </w:instrText>
          </w:r>
          <w:r>
            <w:rPr>
              <w:rFonts w:hint="default" w:ascii="Times New Roman" w:hAnsi="Times New Roman" w:cs="Times New Roman"/>
            </w:rPr>
            <w:fldChar w:fldCharType="separate"/>
          </w:r>
          <w:r>
            <w:rPr>
              <w:rFonts w:hint="default" w:ascii="Times New Roman" w:hAnsi="Times New Roman" w:cs="Times New Roman"/>
            </w:rPr>
            <w:t>21</w:t>
          </w:r>
          <w:r>
            <w:rPr>
              <w:rFonts w:hint="default" w:ascii="Times New Roman" w:hAnsi="Times New Roman" w:cs="Times New Roman"/>
            </w:rPr>
            <w:fldChar w:fldCharType="end"/>
          </w:r>
          <w:r>
            <w:rPr>
              <w:rFonts w:hint="default" w:ascii="Times New Roman" w:hAnsi="Times New Roman" w:cs="Times New Roman"/>
            </w:rPr>
            <w:fldChar w:fldCharType="end"/>
          </w:r>
        </w:p>
        <w:p w14:paraId="7DCC37CC">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_Toc23429 </w:instrText>
          </w:r>
          <w:r>
            <w:rPr>
              <w:rFonts w:hint="default" w:ascii="Times New Roman" w:hAnsi="Times New Roman" w:eastAsia="黑体" w:cs="Times New Roman"/>
            </w:rPr>
            <w:fldChar w:fldCharType="separate"/>
          </w:r>
          <w:r>
            <w:rPr>
              <w:rFonts w:hint="default" w:ascii="Times New Roman" w:hAnsi="Times New Roman" w:eastAsia="黑体" w:cs="Times New Roman"/>
            </w:rPr>
            <w:t>第4章 大气环境影响评价</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_Toc23429 \h </w:instrText>
          </w:r>
          <w:r>
            <w:rPr>
              <w:rFonts w:hint="default" w:ascii="Times New Roman" w:hAnsi="Times New Roman" w:eastAsia="黑体" w:cs="Times New Roman"/>
            </w:rPr>
            <w:fldChar w:fldCharType="separate"/>
          </w:r>
          <w:r>
            <w:rPr>
              <w:rFonts w:hint="default" w:ascii="Times New Roman" w:hAnsi="Times New Roman" w:eastAsia="黑体" w:cs="Times New Roman"/>
            </w:rPr>
            <w:t>22</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5B2E7D48">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_Toc16747 </w:instrText>
          </w:r>
          <w:r>
            <w:rPr>
              <w:rFonts w:hint="default" w:ascii="Times New Roman" w:hAnsi="Times New Roman" w:cs="Times New Roman"/>
            </w:rPr>
            <w:fldChar w:fldCharType="separate"/>
          </w:r>
          <w:r>
            <w:rPr>
              <w:rFonts w:hint="default" w:ascii="Times New Roman" w:hAnsi="Times New Roman" w:cs="Times New Roman"/>
            </w:rPr>
            <w:t>4.1.评价因子与评价内容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_Toc16747 \h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cs="Times New Roman"/>
            </w:rPr>
            <w:fldChar w:fldCharType="end"/>
          </w:r>
        </w:p>
        <w:p w14:paraId="4E495BE0">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_Toc662 </w:instrText>
          </w:r>
          <w:r>
            <w:rPr>
              <w:rFonts w:hint="default" w:ascii="Times New Roman" w:hAnsi="Times New Roman" w:cs="Times New Roman"/>
            </w:rPr>
            <w:fldChar w:fldCharType="separate"/>
          </w:r>
          <w:r>
            <w:rPr>
              <w:rFonts w:hint="default" w:ascii="Times New Roman" w:hAnsi="Times New Roman" w:cs="Times New Roman"/>
            </w:rPr>
            <w:t>4.2.预测模式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_Toc662 \h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r>
            <w:rPr>
              <w:rFonts w:hint="default" w:ascii="Times New Roman" w:hAnsi="Times New Roman" w:cs="Times New Roman"/>
            </w:rPr>
            <w:fldChar w:fldCharType="end"/>
          </w:r>
        </w:p>
        <w:p w14:paraId="34124570">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_Toc16815 </w:instrText>
          </w:r>
          <w:r>
            <w:rPr>
              <w:rFonts w:hint="default" w:ascii="Times New Roman" w:hAnsi="Times New Roman" w:cs="Times New Roman"/>
            </w:rPr>
            <w:fldChar w:fldCharType="separate"/>
          </w:r>
          <w:r>
            <w:rPr>
              <w:rFonts w:hint="default" w:ascii="Times New Roman" w:hAnsi="Times New Roman" w:cs="Times New Roman"/>
            </w:rPr>
            <w:t>4.3.预测源强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_Toc16815 \h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rPr>
            <w:fldChar w:fldCharType="end"/>
          </w:r>
        </w:p>
        <w:p w14:paraId="4E263676">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_Toc11018 </w:instrText>
          </w:r>
          <w:r>
            <w:rPr>
              <w:rFonts w:hint="default" w:ascii="Times New Roman" w:hAnsi="Times New Roman" w:cs="Times New Roman"/>
            </w:rPr>
            <w:fldChar w:fldCharType="separate"/>
          </w:r>
          <w:r>
            <w:rPr>
              <w:rFonts w:hint="default" w:ascii="Times New Roman" w:hAnsi="Times New Roman" w:cs="Times New Roman"/>
            </w:rPr>
            <w:t>4.4.预测结果与影响评价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_Toc11018 \h </w:instrText>
          </w:r>
          <w:r>
            <w:rPr>
              <w:rFonts w:hint="default" w:ascii="Times New Roman" w:hAnsi="Times New Roman" w:cs="Times New Roman"/>
            </w:rPr>
            <w:fldChar w:fldCharType="separate"/>
          </w:r>
          <w:r>
            <w:rPr>
              <w:rFonts w:hint="default" w:ascii="Times New Roman" w:hAnsi="Times New Roman" w:cs="Times New Roman"/>
            </w:rPr>
            <w:t>24</w:t>
          </w:r>
          <w:r>
            <w:rPr>
              <w:rFonts w:hint="default" w:ascii="Times New Roman" w:hAnsi="Times New Roman" w:cs="Times New Roman"/>
            </w:rPr>
            <w:fldChar w:fldCharType="end"/>
          </w:r>
          <w:r>
            <w:rPr>
              <w:rFonts w:hint="default" w:ascii="Times New Roman" w:hAnsi="Times New Roman" w:cs="Times New Roman"/>
            </w:rPr>
            <w:fldChar w:fldCharType="end"/>
          </w:r>
        </w:p>
        <w:p w14:paraId="48536866">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_Toc18310 </w:instrText>
          </w:r>
          <w:r>
            <w:rPr>
              <w:rFonts w:hint="default" w:ascii="Times New Roman" w:hAnsi="Times New Roman" w:cs="Times New Roman"/>
            </w:rPr>
            <w:fldChar w:fldCharType="separate"/>
          </w:r>
          <w:r>
            <w:rPr>
              <w:rFonts w:hint="default" w:ascii="Times New Roman" w:hAnsi="Times New Roman" w:cs="Times New Roman"/>
            </w:rPr>
            <w:t>4.5.污染物排放量核算</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_Toc18310 \h </w:instrText>
          </w:r>
          <w:r>
            <w:rPr>
              <w:rFonts w:hint="default" w:ascii="Times New Roman" w:hAnsi="Times New Roman" w:cs="Times New Roman"/>
            </w:rPr>
            <w:fldChar w:fldCharType="separate"/>
          </w:r>
          <w:r>
            <w:rPr>
              <w:rFonts w:hint="default" w:ascii="Times New Roman" w:hAnsi="Times New Roman" w:cs="Times New Roman"/>
            </w:rPr>
            <w:t>27</w:t>
          </w:r>
          <w:r>
            <w:rPr>
              <w:rFonts w:hint="default" w:ascii="Times New Roman" w:hAnsi="Times New Roman" w:cs="Times New Roman"/>
            </w:rPr>
            <w:fldChar w:fldCharType="end"/>
          </w:r>
          <w:r>
            <w:rPr>
              <w:rFonts w:hint="default" w:ascii="Times New Roman" w:hAnsi="Times New Roman" w:cs="Times New Roman"/>
            </w:rPr>
            <w:fldChar w:fldCharType="end"/>
          </w:r>
        </w:p>
        <w:p w14:paraId="550F3AD0">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_Toc29993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lang w:val="en-US" w:eastAsia="zh-CN"/>
            </w:rPr>
            <w:t>6</w:t>
          </w:r>
          <w:r>
            <w:rPr>
              <w:rFonts w:hint="default" w:ascii="Times New Roman" w:hAnsi="Times New Roman" w:cs="Times New Roman"/>
            </w:rPr>
            <w:t>.环境影响评价结论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_Toc29993 \h </w:instrText>
          </w:r>
          <w:r>
            <w:rPr>
              <w:rFonts w:hint="default" w:ascii="Times New Roman" w:hAnsi="Times New Roman" w:cs="Times New Roman"/>
            </w:rPr>
            <w:fldChar w:fldCharType="separate"/>
          </w:r>
          <w:r>
            <w:rPr>
              <w:rFonts w:hint="default" w:ascii="Times New Roman" w:hAnsi="Times New Roman" w:cs="Times New Roman"/>
            </w:rPr>
            <w:t>28</w:t>
          </w:r>
          <w:r>
            <w:rPr>
              <w:rFonts w:hint="default" w:ascii="Times New Roman" w:hAnsi="Times New Roman" w:cs="Times New Roman"/>
            </w:rPr>
            <w:fldChar w:fldCharType="end"/>
          </w:r>
          <w:r>
            <w:rPr>
              <w:rFonts w:hint="default" w:ascii="Times New Roman" w:hAnsi="Times New Roman" w:cs="Times New Roman"/>
            </w:rPr>
            <w:fldChar w:fldCharType="end"/>
          </w:r>
        </w:p>
        <w:p w14:paraId="26D26928">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_Toc6060 </w:instrText>
          </w:r>
          <w:r>
            <w:rPr>
              <w:rFonts w:hint="default" w:ascii="Times New Roman" w:hAnsi="Times New Roman" w:eastAsia="黑体" w:cs="Times New Roman"/>
            </w:rPr>
            <w:fldChar w:fldCharType="separate"/>
          </w:r>
          <w:r>
            <w:rPr>
              <w:rFonts w:hint="default" w:ascii="Times New Roman" w:hAnsi="Times New Roman" w:eastAsia="黑体" w:cs="Times New Roman"/>
            </w:rPr>
            <w:t>第5章 环境保护措施及可行性论证</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_Toc6060 \h </w:instrText>
          </w:r>
          <w:r>
            <w:rPr>
              <w:rFonts w:hint="default" w:ascii="Times New Roman" w:hAnsi="Times New Roman" w:eastAsia="黑体" w:cs="Times New Roman"/>
            </w:rPr>
            <w:fldChar w:fldCharType="separate"/>
          </w:r>
          <w:r>
            <w:rPr>
              <w:rFonts w:hint="default" w:ascii="Times New Roman" w:hAnsi="Times New Roman" w:eastAsia="黑体" w:cs="Times New Roman"/>
            </w:rPr>
            <w:t>29</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701A83B1">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_Toc27347 </w:instrText>
          </w:r>
          <w:r>
            <w:rPr>
              <w:rFonts w:hint="default" w:ascii="Times New Roman" w:hAnsi="Times New Roman" w:cs="Times New Roman"/>
            </w:rPr>
            <w:fldChar w:fldCharType="separate"/>
          </w:r>
          <w:r>
            <w:rPr>
              <w:rFonts w:hint="default" w:ascii="Times New Roman" w:hAnsi="Times New Roman" w:cs="Times New Roman"/>
            </w:rPr>
            <w:t>5.1.废气防治措施概述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_Toc27347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cs="Times New Roman"/>
            </w:rPr>
            <w:fldChar w:fldCharType="end"/>
          </w:r>
        </w:p>
        <w:p w14:paraId="23B7380E">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_Toc19067 </w:instrText>
          </w:r>
          <w:r>
            <w:rPr>
              <w:rFonts w:hint="default" w:ascii="Times New Roman" w:hAnsi="Times New Roman" w:cs="Times New Roman"/>
            </w:rPr>
            <w:fldChar w:fldCharType="separate"/>
          </w:r>
          <w:r>
            <w:rPr>
              <w:rFonts w:hint="default" w:ascii="Times New Roman" w:hAnsi="Times New Roman" w:cs="Times New Roman"/>
            </w:rPr>
            <w:t>5.2.有组织废气防治措施可行性及达标分析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_Toc19067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cs="Times New Roman"/>
            </w:rPr>
            <w:fldChar w:fldCharType="end"/>
          </w:r>
        </w:p>
        <w:p w14:paraId="62FB975B">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_Toc23983 </w:instrText>
          </w:r>
          <w:r>
            <w:rPr>
              <w:rFonts w:hint="default" w:ascii="Times New Roman" w:hAnsi="Times New Roman" w:cs="Times New Roman"/>
            </w:rPr>
            <w:fldChar w:fldCharType="separate"/>
          </w:r>
          <w:r>
            <w:rPr>
              <w:rFonts w:hint="default" w:ascii="Times New Roman" w:hAnsi="Times New Roman" w:cs="Times New Roman"/>
            </w:rPr>
            <w:t>5.3.无组织废气防治措施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_Toc23983 \h </w:instrText>
          </w:r>
          <w:r>
            <w:rPr>
              <w:rFonts w:hint="default" w:ascii="Times New Roman" w:hAnsi="Times New Roman" w:cs="Times New Roman"/>
            </w:rPr>
            <w:fldChar w:fldCharType="separate"/>
          </w:r>
          <w:r>
            <w:rPr>
              <w:rFonts w:hint="default" w:ascii="Times New Roman" w:hAnsi="Times New Roman" w:cs="Times New Roman"/>
            </w:rPr>
            <w:t>32</w:t>
          </w:r>
          <w:r>
            <w:rPr>
              <w:rFonts w:hint="default" w:ascii="Times New Roman" w:hAnsi="Times New Roman" w:cs="Times New Roman"/>
            </w:rPr>
            <w:fldChar w:fldCharType="end"/>
          </w:r>
          <w:r>
            <w:rPr>
              <w:rFonts w:hint="default" w:ascii="Times New Roman" w:hAnsi="Times New Roman" w:cs="Times New Roman"/>
            </w:rPr>
            <w:fldChar w:fldCharType="end"/>
          </w:r>
        </w:p>
        <w:p w14:paraId="0BB2C073">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_Toc17417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lang w:val="en-US" w:eastAsia="zh-CN"/>
            </w:rPr>
            <w:t>4</w:t>
          </w:r>
          <w:r>
            <w:rPr>
              <w:rFonts w:hint="default" w:ascii="Times New Roman" w:hAnsi="Times New Roman" w:cs="Times New Roman"/>
            </w:rPr>
            <w:t>.自行监测计划</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_Toc17417 \h </w:instrText>
          </w:r>
          <w:r>
            <w:rPr>
              <w:rFonts w:hint="default" w:ascii="Times New Roman" w:hAnsi="Times New Roman" w:cs="Times New Roman"/>
            </w:rPr>
            <w:fldChar w:fldCharType="separate"/>
          </w:r>
          <w:r>
            <w:rPr>
              <w:rFonts w:hint="default" w:ascii="Times New Roman" w:hAnsi="Times New Roman" w:cs="Times New Roman"/>
            </w:rPr>
            <w:t>32</w:t>
          </w:r>
          <w:r>
            <w:rPr>
              <w:rFonts w:hint="default" w:ascii="Times New Roman" w:hAnsi="Times New Roman" w:cs="Times New Roman"/>
            </w:rPr>
            <w:fldChar w:fldCharType="end"/>
          </w:r>
          <w:r>
            <w:rPr>
              <w:rFonts w:hint="default" w:ascii="Times New Roman" w:hAnsi="Times New Roman" w:cs="Times New Roman"/>
            </w:rPr>
            <w:fldChar w:fldCharType="end"/>
          </w:r>
        </w:p>
        <w:p w14:paraId="650264CC">
          <w:pPr>
            <w:pStyle w:val="20"/>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HYPERLINK \l _Toc25687 </w:instrText>
          </w:r>
          <w:r>
            <w:rPr>
              <w:rFonts w:hint="default" w:ascii="Times New Roman" w:hAnsi="Times New Roman" w:eastAsia="黑体" w:cs="Times New Roman"/>
            </w:rPr>
            <w:fldChar w:fldCharType="separate"/>
          </w:r>
          <w:r>
            <w:rPr>
              <w:rFonts w:hint="default" w:ascii="Times New Roman" w:hAnsi="Times New Roman" w:eastAsia="黑体" w:cs="Times New Roman"/>
            </w:rPr>
            <w:t>第6章 结论</w:t>
          </w:r>
          <w:r>
            <w:rPr>
              <w:rFonts w:hint="default" w:ascii="Times New Roman" w:hAnsi="Times New Roman" w:eastAsia="黑体" w:cs="Times New Roman"/>
            </w:rPr>
            <w:tab/>
          </w:r>
          <w:r>
            <w:rPr>
              <w:rFonts w:hint="default" w:ascii="Times New Roman" w:hAnsi="Times New Roman" w:eastAsia="黑体" w:cs="Times New Roman"/>
            </w:rPr>
            <w:fldChar w:fldCharType="begin"/>
          </w:r>
          <w:r>
            <w:rPr>
              <w:rFonts w:hint="default" w:ascii="Times New Roman" w:hAnsi="Times New Roman" w:eastAsia="黑体" w:cs="Times New Roman"/>
            </w:rPr>
            <w:instrText xml:space="preserve"> PAGEREF _Toc25687 \h </w:instrText>
          </w:r>
          <w:r>
            <w:rPr>
              <w:rFonts w:hint="default" w:ascii="Times New Roman" w:hAnsi="Times New Roman" w:eastAsia="黑体" w:cs="Times New Roman"/>
            </w:rPr>
            <w:fldChar w:fldCharType="separate"/>
          </w:r>
          <w:r>
            <w:rPr>
              <w:rFonts w:hint="default" w:ascii="Times New Roman" w:hAnsi="Times New Roman" w:eastAsia="黑体" w:cs="Times New Roman"/>
            </w:rPr>
            <w:t>34</w:t>
          </w:r>
          <w:r>
            <w:rPr>
              <w:rFonts w:hint="default" w:ascii="Times New Roman" w:hAnsi="Times New Roman" w:eastAsia="黑体" w:cs="Times New Roman"/>
            </w:rPr>
            <w:fldChar w:fldCharType="end"/>
          </w:r>
          <w:r>
            <w:rPr>
              <w:rFonts w:hint="default" w:ascii="Times New Roman" w:hAnsi="Times New Roman" w:eastAsia="黑体" w:cs="Times New Roman"/>
            </w:rPr>
            <w:fldChar w:fldCharType="end"/>
          </w:r>
        </w:p>
        <w:p w14:paraId="4E2E87C9">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HYPERLINK \l _Toc4298 </w:instrText>
          </w:r>
          <w:r>
            <w:rPr>
              <w:rFonts w:hint="default" w:ascii="Times New Roman" w:hAnsi="Times New Roman" w:cs="Times New Roman"/>
            </w:rPr>
            <w:fldChar w:fldCharType="separate"/>
          </w:r>
          <w:r>
            <w:rPr>
              <w:rFonts w:hint="default" w:ascii="Times New Roman" w:hAnsi="Times New Roman" w:cs="Times New Roman"/>
              <w:lang w:val="en-US" w:eastAsia="zh-CN"/>
            </w:rPr>
            <w:t>6.1</w:t>
          </w:r>
          <w:r>
            <w:rPr>
              <w:rFonts w:hint="default" w:ascii="Times New Roman" w:hAnsi="Times New Roman" w:cs="Times New Roman"/>
            </w:rPr>
            <w:t>.大气</w:t>
          </w:r>
          <w:r>
            <w:rPr>
              <w:rFonts w:hint="default" w:ascii="Times New Roman" w:hAnsi="Times New Roman" w:cs="Times New Roman"/>
              <w:lang w:val="en-US" w:eastAsia="zh-CN"/>
            </w:rPr>
            <w:t>环境影响</w:t>
          </w:r>
          <w:r>
            <w:rPr>
              <w:rFonts w:hint="default" w:ascii="Times New Roman" w:hAnsi="Times New Roman" w:cs="Times New Roman"/>
            </w:rPr>
            <w:t>预测</w:t>
          </w:r>
          <w:r>
            <w:rPr>
              <w:rFonts w:hint="default" w:ascii="Times New Roman" w:hAnsi="Times New Roman" w:cs="Times New Roman"/>
              <w:lang w:val="en-US" w:eastAsia="zh-CN"/>
            </w:rPr>
            <w:t>结论与建议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_Toc4298 \h </w:instrText>
          </w:r>
          <w:r>
            <w:rPr>
              <w:rFonts w:hint="default" w:ascii="Times New Roman" w:hAnsi="Times New Roman" w:cs="Times New Roman"/>
            </w:rPr>
            <w:fldChar w:fldCharType="separate"/>
          </w:r>
          <w:r>
            <w:rPr>
              <w:rFonts w:hint="default" w:ascii="Times New Roman" w:hAnsi="Times New Roman" w:cs="Times New Roman"/>
            </w:rPr>
            <w:t>34</w:t>
          </w:r>
          <w:r>
            <w:rPr>
              <w:rFonts w:hint="default" w:ascii="Times New Roman" w:hAnsi="Times New Roman" w:cs="Times New Roman"/>
            </w:rPr>
            <w:fldChar w:fldCharType="end"/>
          </w:r>
          <w:r>
            <w:rPr>
              <w:rFonts w:hint="default" w:ascii="Times New Roman" w:hAnsi="Times New Roman" w:cs="Times New Roman"/>
            </w:rPr>
            <w:fldChar w:fldCharType="end"/>
          </w:r>
        </w:p>
        <w:p w14:paraId="44FD8D11">
          <w:pPr>
            <w:pStyle w:val="24"/>
            <w:keepNext w:val="0"/>
            <w:keepLines w:val="0"/>
            <w:pageBreakBefore w:val="0"/>
            <w:widowControl w:val="0"/>
            <w:tabs>
              <w:tab w:val="right" w:leader="dot" w:pos="9026"/>
            </w:tabs>
            <w:kinsoku/>
            <w:wordWrap/>
            <w:overflowPunct/>
            <w:topLinePunct w:val="0"/>
            <w:autoSpaceDE/>
            <w:autoSpaceDN/>
            <w:bidi w:val="0"/>
            <w:adjustRightInd/>
            <w:snapToGrid/>
            <w:ind w:firstLine="0" w:firstLineChars="0"/>
            <w:textAlignment w:val="auto"/>
          </w:pPr>
          <w:r>
            <w:rPr>
              <w:rFonts w:hint="default" w:ascii="Times New Roman" w:hAnsi="Times New Roman" w:cs="Times New Roman"/>
            </w:rPr>
            <w:fldChar w:fldCharType="begin"/>
          </w:r>
          <w:r>
            <w:rPr>
              <w:rFonts w:hint="default" w:ascii="Times New Roman" w:hAnsi="Times New Roman" w:cs="Times New Roman"/>
            </w:rPr>
            <w:instrText xml:space="preserve"> HYPERLINK \l _Toc3333 </w:instrText>
          </w:r>
          <w:r>
            <w:rPr>
              <w:rFonts w:hint="default" w:ascii="Times New Roman" w:hAnsi="Times New Roman" w:cs="Times New Roman"/>
            </w:rPr>
            <w:fldChar w:fldCharType="separate"/>
          </w:r>
          <w:r>
            <w:rPr>
              <w:rFonts w:hint="default" w:ascii="Times New Roman" w:hAnsi="Times New Roman" w:cs="Times New Roman"/>
              <w:lang w:val="en-US" w:eastAsia="zh-CN"/>
            </w:rPr>
            <w:t>6.2</w:t>
          </w:r>
          <w:r>
            <w:rPr>
              <w:rFonts w:hint="default" w:ascii="Times New Roman" w:hAnsi="Times New Roman" w:cs="Times New Roman"/>
            </w:rPr>
            <w:t>.大气</w:t>
          </w:r>
          <w:r>
            <w:rPr>
              <w:rFonts w:hint="default" w:ascii="Times New Roman" w:hAnsi="Times New Roman" w:cs="Times New Roman"/>
              <w:lang w:val="en-US" w:eastAsia="zh-CN"/>
            </w:rPr>
            <w:t>环境影响评价</w:t>
          </w:r>
          <w:r>
            <w:rPr>
              <w:rFonts w:hint="default" w:ascii="Times New Roman" w:hAnsi="Times New Roman" w:cs="Times New Roman"/>
            </w:rPr>
            <w:t>自查表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_Toc3333 \h </w:instrText>
          </w:r>
          <w:r>
            <w:rPr>
              <w:rFonts w:hint="default" w:ascii="Times New Roman" w:hAnsi="Times New Roman" w:cs="Times New Roman"/>
            </w:rPr>
            <w:fldChar w:fldCharType="separate"/>
          </w:r>
          <w:r>
            <w:rPr>
              <w:rFonts w:hint="default" w:ascii="Times New Roman" w:hAnsi="Times New Roman" w:cs="Times New Roman"/>
            </w:rPr>
            <w:t>34</w:t>
          </w:r>
          <w:r>
            <w:rPr>
              <w:rFonts w:hint="default" w:ascii="Times New Roman" w:hAnsi="Times New Roman" w:cs="Times New Roman"/>
            </w:rPr>
            <w:fldChar w:fldCharType="end"/>
          </w:r>
          <w:r>
            <w:rPr>
              <w:rFonts w:hint="default" w:ascii="Times New Roman" w:hAnsi="Times New Roman" w:cs="Times New Roman"/>
            </w:rPr>
            <w:fldChar w:fldCharType="end"/>
          </w:r>
        </w:p>
        <w:p w14:paraId="74A2A11D">
          <w:pPr>
            <w:ind w:left="0" w:leftChars="0" w:firstLine="0" w:firstLineChars="0"/>
            <w:jc w:val="both"/>
            <w:rPr>
              <w:rFonts w:ascii="Times New Roman" w:hAnsi="Times New Roman" w:eastAsia="宋体" w:cs="Times New Roman"/>
              <w:kern w:val="2"/>
              <w:sz w:val="24"/>
              <w:szCs w:val="24"/>
              <w:lang w:val="en-US" w:eastAsia="zh-CN" w:bidi="ar-SA"/>
            </w:rPr>
          </w:pPr>
          <w:r>
            <w:fldChar w:fldCharType="end"/>
          </w:r>
        </w:p>
      </w:sdtContent>
    </w:sdt>
    <w:p w14:paraId="5EA8D375">
      <w:pPr>
        <w:ind w:left="0" w:leftChars="0" w:firstLine="0" w:firstLineChars="0"/>
        <w:jc w:val="both"/>
        <w:rPr>
          <w:rFonts w:ascii="Times New Roman" w:hAnsi="Times New Roman" w:eastAsia="宋体" w:cs="Times New Roman"/>
          <w:kern w:val="2"/>
          <w:sz w:val="24"/>
          <w:szCs w:val="24"/>
          <w:lang w:val="en-US" w:eastAsia="zh-CN" w:bidi="ar-SA"/>
        </w:rPr>
        <w:sectPr>
          <w:pgSz w:w="11906" w:h="16838"/>
          <w:pgMar w:top="1440" w:right="1440" w:bottom="1440" w:left="1440" w:header="851" w:footer="992" w:gutter="0"/>
          <w:cols w:space="0" w:num="1"/>
          <w:rtlGutter w:val="0"/>
          <w:docGrid w:type="lines" w:linePitch="312" w:charSpace="0"/>
        </w:sectPr>
      </w:pPr>
    </w:p>
    <w:p w14:paraId="046596E5">
      <w:pPr>
        <w:pStyle w:val="2"/>
        <w:keepNext/>
        <w:keepLines/>
        <w:pageBreakBefore/>
        <w:widowControl w:val="0"/>
        <w:numPr>
          <w:ilvl w:val="0"/>
          <w:numId w:val="0"/>
        </w:numPr>
        <w:kinsoku/>
        <w:wordWrap/>
        <w:overflowPunct/>
        <w:topLinePunct w:val="0"/>
        <w:autoSpaceDE w:val="0"/>
        <w:autoSpaceDN w:val="0"/>
        <w:bidi w:val="0"/>
        <w:adjustRightInd w:val="0"/>
        <w:snapToGrid/>
        <w:spacing w:before="300" w:beforeLines="0" w:after="300" w:line="240" w:lineRule="auto"/>
        <w:ind w:left="0" w:leftChars="0" w:firstLine="0" w:firstLineChars="0"/>
        <w:jc w:val="center"/>
        <w:textAlignment w:val="baseline"/>
        <w:rPr>
          <w:rFonts w:hint="default" w:ascii="Times New Roman" w:hAnsi="Times New Roman" w:eastAsia="宋体" w:cs="Times New Roman"/>
          <w:b/>
          <w:sz w:val="36"/>
          <w:szCs w:val="36"/>
        </w:rPr>
      </w:pPr>
      <w:bookmarkStart w:id="74" w:name="_Toc161600288"/>
      <w:bookmarkStart w:id="75" w:name="_Toc1545"/>
      <w:bookmarkStart w:id="76" w:name="_Toc12226"/>
      <w:bookmarkStart w:id="77" w:name="_Toc5115"/>
      <w:r>
        <w:rPr>
          <w:rFonts w:hint="default" w:ascii="Times New Roman" w:hAnsi="Times New Roman" w:eastAsia="宋体" w:cs="Times New Roman"/>
          <w:b/>
          <w:i w:val="0"/>
          <w:kern w:val="44"/>
          <w:sz w:val="36"/>
          <w:szCs w:val="36"/>
          <w:lang w:val="en-US" w:eastAsia="zh-CN" w:bidi="ar-SA"/>
        </w:rPr>
        <w:t xml:space="preserve">第1章 </w:t>
      </w:r>
      <w:r>
        <w:rPr>
          <w:rFonts w:hint="default" w:ascii="Times New Roman" w:hAnsi="Times New Roman" w:eastAsia="宋体" w:cs="Times New Roman"/>
          <w:b/>
          <w:sz w:val="36"/>
          <w:szCs w:val="36"/>
        </w:rPr>
        <w:t>总则</w:t>
      </w:r>
      <w:bookmarkEnd w:id="74"/>
      <w:bookmarkEnd w:id="75"/>
      <w:bookmarkEnd w:id="76"/>
      <w:bookmarkEnd w:id="77"/>
    </w:p>
    <w:p w14:paraId="180571F0">
      <w:pPr>
        <w:pStyle w:val="3"/>
        <w:bidi w:val="0"/>
        <w:rPr>
          <w:rFonts w:hint="default" w:ascii="Times New Roman" w:hAnsi="Times New Roman" w:cs="Times New Roman"/>
        </w:rPr>
      </w:pPr>
      <w:bookmarkStart w:id="78" w:name="_Toc161600289"/>
      <w:bookmarkStart w:id="79" w:name="_Toc31304"/>
      <w:bookmarkStart w:id="80" w:name="_Toc8601"/>
      <w:r>
        <w:rPr>
          <w:rFonts w:hint="default" w:ascii="Times New Roman" w:hAnsi="Times New Roman" w:cs="Times New Roman"/>
          <w:lang w:val="en-US" w:eastAsia="zh-CN"/>
        </w:rPr>
        <w:t>1.1.</w:t>
      </w:r>
      <w:r>
        <w:rPr>
          <w:rFonts w:hint="default" w:ascii="Times New Roman" w:hAnsi="Times New Roman" w:cs="Times New Roman"/>
        </w:rPr>
        <w:t>大气环境影响专项评价设置由来</w:t>
      </w:r>
      <w:bookmarkEnd w:id="78"/>
      <w:bookmarkEnd w:id="79"/>
      <w:bookmarkEnd w:id="80"/>
    </w:p>
    <w:p w14:paraId="41C30071">
      <w:pPr>
        <w:bidi w:val="0"/>
      </w:pPr>
      <w:r>
        <w:rPr>
          <w:rFonts w:hint="eastAsia"/>
          <w:color w:val="000000" w:themeColor="text1"/>
          <w:szCs w:val="24"/>
          <w:lang w:val="en-US" w:eastAsia="zh-CN"/>
          <w14:textFill>
            <w14:solidFill>
              <w14:schemeClr w14:val="tx1"/>
            </w14:solidFill>
          </w14:textFill>
        </w:rPr>
        <w:t>南阳恒卓机械制造有限公司</w:t>
      </w:r>
      <w:r>
        <w:rPr>
          <w:color w:val="000000"/>
          <w:sz w:val="24"/>
          <w:highlight w:val="none"/>
        </w:rPr>
        <w:t>拟投资</w:t>
      </w:r>
      <w:r>
        <w:rPr>
          <w:rFonts w:hint="eastAsia"/>
          <w:color w:val="000000"/>
          <w:sz w:val="24"/>
          <w:highlight w:val="none"/>
          <w:lang w:val="en-US" w:eastAsia="zh-CN"/>
        </w:rPr>
        <w:t>53</w:t>
      </w:r>
      <w:r>
        <w:rPr>
          <w:color w:val="000000"/>
          <w:sz w:val="24"/>
          <w:highlight w:val="none"/>
        </w:rPr>
        <w:t>00万元于</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r>
        <w:t>建设的</w:t>
      </w:r>
      <w:r>
        <w:rPr>
          <w:rFonts w:hint="eastAsia"/>
          <w:lang w:eastAsia="zh-CN"/>
        </w:rPr>
        <w:t>“</w:t>
      </w:r>
      <w:r>
        <w:rPr>
          <w:rFonts w:hint="eastAsia"/>
          <w:lang w:val="en-US" w:eastAsia="zh-CN"/>
        </w:rPr>
        <w:t>南阳恒卓机械制造有限公司机械制造设备生产项目</w:t>
      </w:r>
      <w:r>
        <w:rPr>
          <w:rFonts w:hint="eastAsia"/>
          <w:lang w:eastAsia="zh-CN"/>
        </w:rPr>
        <w:t>”</w:t>
      </w:r>
      <w:r>
        <w:t>于202</w:t>
      </w:r>
      <w:r>
        <w:rPr>
          <w:rFonts w:hint="eastAsia"/>
        </w:rPr>
        <w:t>5</w:t>
      </w:r>
      <w:r>
        <w:t>年</w:t>
      </w:r>
      <w:r>
        <w:rPr>
          <w:rFonts w:hint="eastAsia"/>
          <w:lang w:val="en-US" w:eastAsia="zh-CN"/>
        </w:rPr>
        <w:t>12</w:t>
      </w:r>
      <w:r>
        <w:t>月</w:t>
      </w:r>
      <w:r>
        <w:rPr>
          <w:rFonts w:hint="eastAsia"/>
          <w:lang w:val="en-US" w:eastAsia="zh-CN"/>
        </w:rPr>
        <w:t>26</w:t>
      </w:r>
      <w:r>
        <w:t>日取</w:t>
      </w:r>
      <w:r>
        <w:rPr>
          <w:rFonts w:hint="default"/>
        </w:rPr>
        <w:t>得镇平县发展和改革委员会出具的备案证明（项目代码：</w:t>
      </w:r>
      <w:r>
        <w:rPr>
          <w:rFonts w:hint="default" w:eastAsiaTheme="minorEastAsia"/>
          <w:color w:val="000000" w:themeColor="text1"/>
          <w:szCs w:val="24"/>
          <w:lang w:val="en-US" w:eastAsia="zh-CN"/>
          <w14:textFill>
            <w14:solidFill>
              <w14:schemeClr w14:val="tx1"/>
            </w14:solidFill>
          </w14:textFill>
        </w:rPr>
        <w:t>2512-411324-04-01-514977</w:t>
      </w:r>
      <w:r>
        <w:rPr>
          <w:rFonts w:hint="default"/>
        </w:rPr>
        <w:t>）</w:t>
      </w:r>
      <w:r>
        <w:t>。</w:t>
      </w:r>
    </w:p>
    <w:p w14:paraId="6136555C">
      <w:pPr>
        <w:bidi w:val="0"/>
      </w:pPr>
      <w:r>
        <w:t>据《建设项目环境影响评价分类管理名录》（2021年版）</w:t>
      </w:r>
      <w:r>
        <w:rPr>
          <w:rFonts w:hint="eastAsia"/>
          <w:lang w:eastAsia="zh-CN"/>
        </w:rPr>
        <w:t>“</w:t>
      </w:r>
      <w:r>
        <w:t>30-068铸造及其他金属制品制造339</w:t>
      </w:r>
      <w:r>
        <w:rPr>
          <w:rFonts w:hint="eastAsia"/>
          <w:lang w:eastAsia="zh-CN"/>
        </w:rPr>
        <w:t>”</w:t>
      </w:r>
      <w:r>
        <w:t>要求，项目应编制环境影响报告表。对照《建设项目环境影响报告表编制技术指南（污染影响类）》（试行）中专项评价设置原则，项目排放废气含有毒有害污染物（甲醛）且厂界外500m范围内有环境空气保护目标，应设置大气环境影响专项评价。</w:t>
      </w:r>
    </w:p>
    <w:p w14:paraId="56495D70">
      <w:pPr>
        <w:pStyle w:val="3"/>
        <w:bidi w:val="0"/>
        <w:rPr>
          <w:rFonts w:hint="default"/>
        </w:rPr>
      </w:pPr>
      <w:bookmarkStart w:id="81" w:name="_Toc70251621"/>
      <w:bookmarkStart w:id="82" w:name="_Toc16845"/>
      <w:bookmarkStart w:id="83" w:name="_Toc20876"/>
      <w:bookmarkStart w:id="84" w:name="_Toc15482"/>
      <w:bookmarkStart w:id="85" w:name="_Toc11932"/>
      <w:bookmarkStart w:id="86" w:name="_Toc24092"/>
      <w:bookmarkStart w:id="87" w:name="_Toc28132"/>
      <w:bookmarkStart w:id="88" w:name="_Toc21408"/>
      <w:bookmarkStart w:id="89" w:name="_Toc161600290"/>
      <w:r>
        <w:rPr>
          <w:rFonts w:hint="default"/>
          <w:lang w:val="en-US" w:eastAsia="zh-CN"/>
        </w:rPr>
        <w:t>1.2.</w:t>
      </w:r>
      <w:r>
        <w:rPr>
          <w:rFonts w:hint="default"/>
        </w:rPr>
        <w:t>评价目的</w:t>
      </w:r>
      <w:bookmarkEnd w:id="81"/>
      <w:bookmarkEnd w:id="82"/>
      <w:bookmarkEnd w:id="83"/>
      <w:bookmarkEnd w:id="84"/>
      <w:bookmarkEnd w:id="85"/>
      <w:bookmarkEnd w:id="86"/>
      <w:bookmarkEnd w:id="87"/>
      <w:bookmarkEnd w:id="88"/>
      <w:bookmarkEnd w:id="89"/>
    </w:p>
    <w:p w14:paraId="24E0B2C5">
      <w:pPr>
        <w:snapToGrid w:val="0"/>
        <w:spacing w:line="440" w:lineRule="exact"/>
        <w:ind w:firstLine="480" w:firstLineChars="200"/>
        <w:jc w:val="left"/>
        <w:rPr>
          <w:sz w:val="24"/>
        </w:rPr>
      </w:pPr>
      <w:r>
        <w:rPr>
          <w:sz w:val="24"/>
        </w:rPr>
        <w:t>编制本大气环境影响评价专题的目的是在大气环境现状调查和监测的基础上，摸清项目选址区域大气环境质量现状，确定项目主要环境保护目标；通过项目的工程分析，核实项目排污环节、排污种类和数量；针对本工程的废气污染物的排放特点，预测和分析建设项目完成后各类污染物对周围大气环境影响程度及影响范围，结合国家有关标准和总量控制指标，提出控制污染的措施和建议，为环境管理部门的决策提供科学依据。</w:t>
      </w:r>
    </w:p>
    <w:p w14:paraId="0520C3BD">
      <w:pPr>
        <w:pStyle w:val="3"/>
        <w:bidi w:val="0"/>
        <w:rPr>
          <w:rFonts w:hint="default"/>
        </w:rPr>
      </w:pPr>
      <w:bookmarkStart w:id="90" w:name="_Toc161600291"/>
      <w:bookmarkStart w:id="91" w:name="_Toc20245"/>
      <w:bookmarkStart w:id="92" w:name="_Toc32137"/>
      <w:r>
        <w:rPr>
          <w:rFonts w:hint="default"/>
          <w:lang w:val="en-US" w:eastAsia="zh-CN"/>
        </w:rPr>
        <w:t>1.3.</w:t>
      </w:r>
      <w:r>
        <w:rPr>
          <w:rFonts w:hint="default"/>
        </w:rPr>
        <w:t>评价依据</w:t>
      </w:r>
      <w:bookmarkEnd w:id="90"/>
      <w:bookmarkEnd w:id="91"/>
      <w:bookmarkEnd w:id="92"/>
    </w:p>
    <w:p w14:paraId="5610913E">
      <w:pPr>
        <w:numPr>
          <w:ilvl w:val="0"/>
          <w:numId w:val="0"/>
        </w:numPr>
        <w:adjustRightInd w:val="0"/>
        <w:snapToGrid w:val="0"/>
        <w:spacing w:line="440" w:lineRule="exact"/>
        <w:ind w:left="522" w:leftChars="0"/>
        <w:jc w:val="left"/>
        <w:rPr>
          <w:snapToGrid w:val="0"/>
          <w:kern w:val="0"/>
          <w:sz w:val="24"/>
        </w:rPr>
      </w:pPr>
      <w:bookmarkStart w:id="93" w:name="_bookmark4"/>
      <w:bookmarkEnd w:id="93"/>
      <w:r>
        <w:rPr>
          <w:rFonts w:hint="eastAsia"/>
          <w:snapToGrid w:val="0"/>
          <w:kern w:val="0"/>
          <w:sz w:val="24"/>
          <w:lang w:eastAsia="zh-CN"/>
        </w:rPr>
        <w:t>（</w:t>
      </w:r>
      <w:r>
        <w:rPr>
          <w:rFonts w:hint="eastAsia"/>
          <w:snapToGrid w:val="0"/>
          <w:kern w:val="0"/>
          <w:sz w:val="24"/>
          <w:lang w:val="en-US" w:eastAsia="zh-CN"/>
        </w:rPr>
        <w:t>1</w:t>
      </w:r>
      <w:r>
        <w:rPr>
          <w:rFonts w:hint="eastAsia"/>
          <w:snapToGrid w:val="0"/>
          <w:kern w:val="0"/>
          <w:sz w:val="24"/>
          <w:lang w:eastAsia="zh-CN"/>
        </w:rPr>
        <w:t>）</w:t>
      </w:r>
      <w:r>
        <w:rPr>
          <w:snapToGrid w:val="0"/>
          <w:kern w:val="0"/>
          <w:sz w:val="24"/>
        </w:rPr>
        <w:t>《中华人民共和国环境保护法》（国家主席令第9号，2015年1月1日施行）；</w:t>
      </w:r>
    </w:p>
    <w:p w14:paraId="1412CBEB">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2</w:t>
      </w:r>
      <w:r>
        <w:rPr>
          <w:rFonts w:hint="eastAsia"/>
          <w:snapToGrid w:val="0"/>
          <w:kern w:val="0"/>
          <w:sz w:val="24"/>
          <w:lang w:eastAsia="zh-CN"/>
        </w:rPr>
        <w:t>）</w:t>
      </w:r>
      <w:r>
        <w:rPr>
          <w:snapToGrid w:val="0"/>
          <w:kern w:val="0"/>
          <w:sz w:val="24"/>
        </w:rPr>
        <w:t>《中华人民共和国环境影响评价法》（2018年12月29日修改）；</w:t>
      </w:r>
    </w:p>
    <w:p w14:paraId="04FCC7E8">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3</w:t>
      </w:r>
      <w:r>
        <w:rPr>
          <w:rFonts w:hint="eastAsia"/>
          <w:snapToGrid w:val="0"/>
          <w:kern w:val="0"/>
          <w:sz w:val="24"/>
          <w:lang w:eastAsia="zh-CN"/>
        </w:rPr>
        <w:t>）</w:t>
      </w:r>
      <w:r>
        <w:rPr>
          <w:snapToGrid w:val="0"/>
          <w:kern w:val="0"/>
          <w:sz w:val="24"/>
        </w:rPr>
        <w:t>《建设项目环境影响评价技术导则 总纲》（HJ2.1-2016）；</w:t>
      </w:r>
    </w:p>
    <w:p w14:paraId="70DCAC6C">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4</w:t>
      </w:r>
      <w:r>
        <w:rPr>
          <w:rFonts w:hint="eastAsia"/>
          <w:snapToGrid w:val="0"/>
          <w:kern w:val="0"/>
          <w:sz w:val="24"/>
          <w:lang w:eastAsia="zh-CN"/>
        </w:rPr>
        <w:t>）</w:t>
      </w:r>
      <w:r>
        <w:rPr>
          <w:snapToGrid w:val="0"/>
          <w:kern w:val="0"/>
          <w:sz w:val="24"/>
        </w:rPr>
        <w:t>《环境影响评价技术导则 大气环境》（HJ2.2-2018）；</w:t>
      </w:r>
    </w:p>
    <w:p w14:paraId="70302E76">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5</w:t>
      </w:r>
      <w:r>
        <w:rPr>
          <w:rFonts w:hint="eastAsia"/>
          <w:snapToGrid w:val="0"/>
          <w:kern w:val="0"/>
          <w:sz w:val="24"/>
          <w:lang w:eastAsia="zh-CN"/>
        </w:rPr>
        <w:t>）</w:t>
      </w:r>
      <w:r>
        <w:rPr>
          <w:snapToGrid w:val="0"/>
          <w:kern w:val="0"/>
          <w:sz w:val="24"/>
        </w:rPr>
        <w:t>《中华人民共和国大气污染防治法》（2018年10月26日修改）；</w:t>
      </w:r>
    </w:p>
    <w:p w14:paraId="3360298F">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6</w:t>
      </w:r>
      <w:r>
        <w:rPr>
          <w:rFonts w:hint="eastAsia"/>
          <w:snapToGrid w:val="0"/>
          <w:kern w:val="0"/>
          <w:sz w:val="24"/>
          <w:lang w:eastAsia="zh-CN"/>
        </w:rPr>
        <w:t>）</w:t>
      </w:r>
      <w:r>
        <w:rPr>
          <w:snapToGrid w:val="0"/>
          <w:kern w:val="0"/>
          <w:sz w:val="24"/>
        </w:rPr>
        <w:t>《建设项目环境保护管理条例》(国令第682号，2017年10月1日施行)；</w:t>
      </w:r>
    </w:p>
    <w:p w14:paraId="45CA17EF">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7</w:t>
      </w:r>
      <w:r>
        <w:rPr>
          <w:rFonts w:hint="eastAsia"/>
          <w:snapToGrid w:val="0"/>
          <w:kern w:val="0"/>
          <w:sz w:val="24"/>
          <w:lang w:eastAsia="zh-CN"/>
        </w:rPr>
        <w:t>）</w:t>
      </w:r>
      <w:r>
        <w:rPr>
          <w:snapToGrid w:val="0"/>
          <w:kern w:val="0"/>
          <w:sz w:val="24"/>
        </w:rPr>
        <w:t>《环境空气质量标准》(GB3095-2012)；</w:t>
      </w:r>
    </w:p>
    <w:p w14:paraId="41EFB0DE">
      <w:pPr>
        <w:numPr>
          <w:ilvl w:val="0"/>
          <w:numId w:val="0"/>
        </w:numPr>
        <w:adjustRightInd w:val="0"/>
        <w:snapToGrid w:val="0"/>
        <w:spacing w:line="440" w:lineRule="exact"/>
        <w:ind w:left="522" w:leftChars="0"/>
        <w:jc w:val="left"/>
        <w:rPr>
          <w:snapToGrid w:val="0"/>
          <w:kern w:val="0"/>
          <w:sz w:val="24"/>
        </w:rPr>
      </w:pPr>
      <w:r>
        <w:rPr>
          <w:rFonts w:hint="eastAsia"/>
          <w:sz w:val="24"/>
          <w:lang w:eastAsia="zh-CN"/>
        </w:rPr>
        <w:t>（</w:t>
      </w:r>
      <w:r>
        <w:rPr>
          <w:rFonts w:hint="eastAsia"/>
          <w:sz w:val="24"/>
          <w:lang w:val="en-US" w:eastAsia="zh-CN"/>
        </w:rPr>
        <w:t>8</w:t>
      </w:r>
      <w:r>
        <w:rPr>
          <w:rFonts w:hint="eastAsia"/>
          <w:sz w:val="24"/>
          <w:lang w:eastAsia="zh-CN"/>
        </w:rPr>
        <w:t>）</w:t>
      </w:r>
      <w:r>
        <w:rPr>
          <w:sz w:val="24"/>
        </w:rPr>
        <w:t>《重点行业挥发性有机物综合治理方案》（环大气[2019]53号）；</w:t>
      </w:r>
    </w:p>
    <w:p w14:paraId="63DFA152">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9</w:t>
      </w:r>
      <w:r>
        <w:rPr>
          <w:rFonts w:hint="eastAsia"/>
          <w:snapToGrid w:val="0"/>
          <w:kern w:val="0"/>
          <w:sz w:val="24"/>
          <w:lang w:eastAsia="zh-CN"/>
        </w:rPr>
        <w:t>）</w:t>
      </w:r>
      <w:r>
        <w:rPr>
          <w:snapToGrid w:val="0"/>
          <w:kern w:val="0"/>
          <w:sz w:val="24"/>
        </w:rPr>
        <w:t>《铸造企业规范条件》(T/CFA0310021-2023)；</w:t>
      </w:r>
    </w:p>
    <w:p w14:paraId="50751EF1">
      <w:pPr>
        <w:numPr>
          <w:ilvl w:val="0"/>
          <w:numId w:val="0"/>
        </w:numPr>
        <w:adjustRightInd w:val="0"/>
        <w:snapToGrid w:val="0"/>
        <w:spacing w:line="440" w:lineRule="exact"/>
        <w:ind w:left="522" w:leftChars="0"/>
        <w:jc w:val="left"/>
        <w:rPr>
          <w:snapToGrid w:val="0"/>
          <w:kern w:val="0"/>
          <w:sz w:val="24"/>
        </w:rPr>
      </w:pPr>
      <w:r>
        <w:rPr>
          <w:rFonts w:hint="eastAsia"/>
          <w:snapToGrid w:val="0"/>
          <w:kern w:val="0"/>
          <w:sz w:val="24"/>
          <w:lang w:eastAsia="zh-CN"/>
        </w:rPr>
        <w:t>（</w:t>
      </w:r>
      <w:r>
        <w:rPr>
          <w:rFonts w:hint="eastAsia"/>
          <w:snapToGrid w:val="0"/>
          <w:kern w:val="0"/>
          <w:sz w:val="24"/>
          <w:lang w:val="en-US" w:eastAsia="zh-CN"/>
        </w:rPr>
        <w:t>10</w:t>
      </w:r>
      <w:r>
        <w:rPr>
          <w:rFonts w:hint="eastAsia"/>
          <w:snapToGrid w:val="0"/>
          <w:kern w:val="0"/>
          <w:sz w:val="24"/>
          <w:lang w:eastAsia="zh-CN"/>
        </w:rPr>
        <w:t>）</w:t>
      </w:r>
      <w:r>
        <w:rPr>
          <w:snapToGrid w:val="0"/>
          <w:kern w:val="0"/>
          <w:sz w:val="24"/>
        </w:rPr>
        <w:t>《2020年挥发性有机物治理攻坚方案》（环大气[2020]33号）；</w:t>
      </w:r>
    </w:p>
    <w:p w14:paraId="285085FA">
      <w:pPr>
        <w:numPr>
          <w:ilvl w:val="0"/>
          <w:numId w:val="0"/>
        </w:numPr>
        <w:adjustRightInd w:val="0"/>
        <w:snapToGrid w:val="0"/>
        <w:spacing w:line="440" w:lineRule="exact"/>
        <w:ind w:left="522" w:leftChars="0"/>
        <w:jc w:val="left"/>
        <w:rPr>
          <w:snapToGrid w:val="0"/>
          <w:kern w:val="0"/>
          <w:sz w:val="24"/>
        </w:rPr>
      </w:pPr>
      <w:bookmarkStart w:id="94" w:name="OLE_LINK139"/>
      <w:bookmarkStart w:id="95" w:name="OLE_LINK140"/>
      <w:r>
        <w:rPr>
          <w:rFonts w:hint="eastAsia"/>
          <w:snapToGrid w:val="0"/>
          <w:kern w:val="0"/>
          <w:sz w:val="24"/>
          <w:lang w:eastAsia="zh-CN"/>
        </w:rPr>
        <w:t>（</w:t>
      </w:r>
      <w:r>
        <w:rPr>
          <w:rFonts w:hint="eastAsia"/>
          <w:snapToGrid w:val="0"/>
          <w:kern w:val="0"/>
          <w:sz w:val="24"/>
          <w:lang w:val="en-US" w:eastAsia="zh-CN"/>
        </w:rPr>
        <w:t>11</w:t>
      </w:r>
      <w:r>
        <w:rPr>
          <w:rFonts w:hint="eastAsia"/>
          <w:snapToGrid w:val="0"/>
          <w:kern w:val="0"/>
          <w:sz w:val="24"/>
          <w:lang w:eastAsia="zh-CN"/>
        </w:rPr>
        <w:t>）</w:t>
      </w:r>
      <w:r>
        <w:rPr>
          <w:snapToGrid w:val="0"/>
          <w:kern w:val="0"/>
          <w:sz w:val="24"/>
        </w:rPr>
        <w:t>《</w:t>
      </w:r>
      <w:bookmarkStart w:id="96" w:name="OLE_LINK102"/>
      <w:bookmarkStart w:id="97" w:name="OLE_LINK103"/>
      <w:r>
        <w:rPr>
          <w:snapToGrid w:val="0"/>
          <w:kern w:val="0"/>
          <w:sz w:val="24"/>
        </w:rPr>
        <w:t>铸造工业大气污染防治可行技术指南</w:t>
      </w:r>
      <w:bookmarkEnd w:id="96"/>
      <w:bookmarkEnd w:id="97"/>
      <w:r>
        <w:rPr>
          <w:snapToGrid w:val="0"/>
          <w:kern w:val="0"/>
          <w:sz w:val="24"/>
        </w:rPr>
        <w:t>》</w:t>
      </w:r>
      <w:bookmarkEnd w:id="94"/>
      <w:bookmarkEnd w:id="95"/>
      <w:r>
        <w:rPr>
          <w:snapToGrid w:val="0"/>
          <w:kern w:val="0"/>
          <w:sz w:val="24"/>
        </w:rPr>
        <w:t>(HJ1292-2023)；</w:t>
      </w:r>
    </w:p>
    <w:p w14:paraId="74B928D9">
      <w:pPr>
        <w:numPr>
          <w:ilvl w:val="0"/>
          <w:numId w:val="0"/>
        </w:numPr>
        <w:snapToGrid w:val="0"/>
        <w:spacing w:line="440" w:lineRule="exact"/>
        <w:ind w:left="480" w:leftChars="0"/>
        <w:jc w:val="left"/>
        <w:rPr>
          <w:sz w:val="24"/>
        </w:rPr>
      </w:pPr>
      <w:r>
        <w:rPr>
          <w:rFonts w:hint="eastAsia"/>
          <w:sz w:val="24"/>
          <w:lang w:eastAsia="zh-CN"/>
        </w:rPr>
        <w:t>（</w:t>
      </w:r>
      <w:r>
        <w:rPr>
          <w:rFonts w:hint="eastAsia"/>
          <w:sz w:val="24"/>
          <w:lang w:val="en-US" w:eastAsia="zh-CN"/>
        </w:rPr>
        <w:t>12</w:t>
      </w:r>
      <w:r>
        <w:rPr>
          <w:rFonts w:hint="eastAsia"/>
          <w:sz w:val="24"/>
          <w:lang w:eastAsia="zh-CN"/>
        </w:rPr>
        <w:t>）</w:t>
      </w:r>
      <w:r>
        <w:rPr>
          <w:sz w:val="24"/>
        </w:rPr>
        <w:t>《挥发性有机物无组织排放控制标准》（GB37822-2019）；</w:t>
      </w:r>
    </w:p>
    <w:p w14:paraId="7BDCBABB">
      <w:pPr>
        <w:numPr>
          <w:ilvl w:val="0"/>
          <w:numId w:val="0"/>
        </w:numPr>
        <w:snapToGrid w:val="0"/>
        <w:spacing w:line="440" w:lineRule="exact"/>
        <w:ind w:left="480" w:leftChars="0"/>
        <w:jc w:val="left"/>
        <w:rPr>
          <w:sz w:val="24"/>
        </w:rPr>
      </w:pPr>
      <w:r>
        <w:rPr>
          <w:rFonts w:hint="eastAsia"/>
          <w:sz w:val="24"/>
          <w:lang w:eastAsia="zh-CN"/>
        </w:rPr>
        <w:t>（</w:t>
      </w:r>
      <w:r>
        <w:rPr>
          <w:rFonts w:hint="eastAsia"/>
          <w:sz w:val="24"/>
          <w:lang w:val="en-US" w:eastAsia="zh-CN"/>
        </w:rPr>
        <w:t>13</w:t>
      </w:r>
      <w:r>
        <w:rPr>
          <w:rFonts w:hint="eastAsia"/>
          <w:sz w:val="24"/>
          <w:lang w:eastAsia="zh-CN"/>
        </w:rPr>
        <w:t>）</w:t>
      </w:r>
      <w:r>
        <w:rPr>
          <w:sz w:val="24"/>
        </w:rPr>
        <w:t>《铸造工业大气污染物排放标准》（GB39726-2020）；</w:t>
      </w:r>
    </w:p>
    <w:p w14:paraId="66AA99F3">
      <w:pPr>
        <w:numPr>
          <w:ilvl w:val="0"/>
          <w:numId w:val="0"/>
        </w:numPr>
        <w:snapToGrid w:val="0"/>
        <w:spacing w:line="440" w:lineRule="exact"/>
        <w:ind w:left="480" w:leftChars="0"/>
        <w:jc w:val="left"/>
        <w:rPr>
          <w:sz w:val="24"/>
        </w:rPr>
      </w:pPr>
      <w:r>
        <w:rPr>
          <w:rFonts w:hint="eastAsia"/>
          <w:sz w:val="24"/>
          <w:lang w:eastAsia="zh-CN"/>
        </w:rPr>
        <w:t>（</w:t>
      </w:r>
      <w:r>
        <w:rPr>
          <w:rFonts w:hint="eastAsia"/>
          <w:sz w:val="24"/>
          <w:lang w:val="en-US" w:eastAsia="zh-CN"/>
        </w:rPr>
        <w:t>14</w:t>
      </w:r>
      <w:r>
        <w:rPr>
          <w:rFonts w:hint="eastAsia"/>
          <w:sz w:val="24"/>
          <w:lang w:eastAsia="zh-CN"/>
        </w:rPr>
        <w:t>）《大气污染物综合排放标准》（GB16297-1996）</w:t>
      </w:r>
      <w:r>
        <w:rPr>
          <w:sz w:val="24"/>
        </w:rPr>
        <w:t>；</w:t>
      </w:r>
    </w:p>
    <w:p w14:paraId="0D03AEED">
      <w:pPr>
        <w:pStyle w:val="3"/>
        <w:bidi w:val="0"/>
        <w:rPr>
          <w:rFonts w:hint="default"/>
        </w:rPr>
      </w:pPr>
      <w:bookmarkStart w:id="98" w:name="_Toc398"/>
      <w:bookmarkStart w:id="99" w:name="_Toc161600292"/>
      <w:bookmarkStart w:id="100" w:name="_Toc13853"/>
      <w:r>
        <w:rPr>
          <w:rFonts w:hint="default"/>
          <w:lang w:val="en-US" w:eastAsia="zh-CN"/>
        </w:rPr>
        <w:t>1.4.</w:t>
      </w:r>
      <w:r>
        <w:rPr>
          <w:rFonts w:hint="default"/>
        </w:rPr>
        <w:t>评价等级、评价范围与评价时段</w:t>
      </w:r>
      <w:bookmarkEnd w:id="98"/>
      <w:bookmarkEnd w:id="99"/>
      <w:bookmarkEnd w:id="100"/>
    </w:p>
    <w:p w14:paraId="344CD2BE">
      <w:pPr>
        <w:pStyle w:val="4"/>
        <w:bidi w:val="0"/>
        <w:rPr>
          <w:rFonts w:hint="default"/>
        </w:rPr>
      </w:pPr>
      <w:bookmarkStart w:id="101" w:name="_Toc161600293"/>
      <w:bookmarkStart w:id="102" w:name="_Toc12102"/>
      <w:bookmarkStart w:id="103" w:name="_Toc8461"/>
      <w:r>
        <w:rPr>
          <w:rFonts w:hint="default"/>
          <w:lang w:val="en-US" w:eastAsia="zh-CN"/>
        </w:rPr>
        <w:t>1.4.1.</w:t>
      </w:r>
      <w:r>
        <w:rPr>
          <w:rFonts w:hint="default"/>
        </w:rPr>
        <w:t>环境影响识别与评价因子筛选</w:t>
      </w:r>
      <w:bookmarkEnd w:id="101"/>
      <w:bookmarkEnd w:id="102"/>
      <w:bookmarkEnd w:id="103"/>
    </w:p>
    <w:p w14:paraId="2874B7CB">
      <w:pPr>
        <w:snapToGrid w:val="0"/>
        <w:spacing w:line="440" w:lineRule="exact"/>
        <w:ind w:firstLine="480" w:firstLineChars="200"/>
        <w:jc w:val="left"/>
        <w:rPr>
          <w:snapToGrid w:val="0"/>
          <w:kern w:val="0"/>
          <w:sz w:val="24"/>
        </w:rPr>
      </w:pPr>
      <w:r>
        <w:rPr>
          <w:snapToGrid w:val="0"/>
          <w:kern w:val="0"/>
          <w:sz w:val="24"/>
        </w:rPr>
        <w:t>（1）环境影响识别</w:t>
      </w:r>
    </w:p>
    <w:p w14:paraId="79DB1AD4">
      <w:pPr>
        <w:snapToGrid w:val="0"/>
        <w:spacing w:line="440" w:lineRule="exact"/>
        <w:ind w:firstLine="480" w:firstLineChars="200"/>
        <w:jc w:val="left"/>
        <w:rPr>
          <w:snapToGrid w:val="0"/>
          <w:kern w:val="0"/>
          <w:sz w:val="24"/>
        </w:rPr>
      </w:pPr>
      <w:r>
        <w:rPr>
          <w:snapToGrid w:val="0"/>
          <w:kern w:val="0"/>
          <w:sz w:val="24"/>
        </w:rPr>
        <w:t>据《建设项目环境影响评价技术导则 总纲》（HJ2.1-2016），项目环境影响矩阵识别表见表1.4-1。</w:t>
      </w:r>
    </w:p>
    <w:p w14:paraId="357A27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表1.4-1</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 xml:space="preserve"> 建设项目环境影响因素程度识别表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55"/>
        <w:gridCol w:w="1224"/>
        <w:gridCol w:w="1393"/>
        <w:gridCol w:w="1128"/>
        <w:gridCol w:w="1171"/>
        <w:gridCol w:w="1119"/>
        <w:gridCol w:w="2005"/>
      </w:tblGrid>
      <w:tr w14:paraId="6173D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1521" w:type="pct"/>
            <w:gridSpan w:val="2"/>
            <w:vMerge w:val="restart"/>
            <w:tcBorders>
              <w:tl2br w:val="single" w:color="auto" w:sz="4" w:space="0"/>
            </w:tcBorders>
            <w:noWrap w:val="0"/>
            <w:tcMar>
              <w:top w:w="28" w:type="dxa"/>
              <w:left w:w="28" w:type="dxa"/>
              <w:bottom w:w="28" w:type="dxa"/>
              <w:right w:w="28" w:type="dxa"/>
            </w:tcMar>
            <w:vAlign w:val="center"/>
          </w:tcPr>
          <w:p w14:paraId="7FC7B465">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            </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rPr>
              <w:t>影响受体</w:t>
            </w:r>
          </w:p>
          <w:p w14:paraId="4C03F759">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jc w:val="both"/>
              <w:textAlignment w:val="baseline"/>
              <w:rPr>
                <w:rFonts w:hint="default" w:ascii="Times New Roman" w:hAnsi="Times New Roman" w:cs="Times New Roman"/>
                <w:sz w:val="21"/>
                <w:szCs w:val="21"/>
              </w:rPr>
            </w:pPr>
            <w:r>
              <w:rPr>
                <w:rFonts w:hint="default" w:ascii="Times New Roman" w:hAnsi="Times New Roman" w:cs="Times New Roman"/>
                <w:sz w:val="21"/>
                <w:szCs w:val="21"/>
              </w:rPr>
              <w:t>影响因素</w:t>
            </w:r>
          </w:p>
        </w:tc>
        <w:tc>
          <w:tcPr>
            <w:tcW w:w="711" w:type="pct"/>
            <w:noWrap w:val="0"/>
            <w:tcMar>
              <w:top w:w="28" w:type="dxa"/>
              <w:left w:w="28" w:type="dxa"/>
              <w:bottom w:w="28" w:type="dxa"/>
              <w:right w:w="28" w:type="dxa"/>
            </w:tcMar>
            <w:vAlign w:val="center"/>
          </w:tcPr>
          <w:p w14:paraId="15FB64E1">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自然环境</w:t>
            </w:r>
          </w:p>
        </w:tc>
        <w:tc>
          <w:tcPr>
            <w:tcW w:w="2768" w:type="pct"/>
            <w:gridSpan w:val="4"/>
            <w:noWrap w:val="0"/>
            <w:tcMar>
              <w:top w:w="28" w:type="dxa"/>
              <w:left w:w="28" w:type="dxa"/>
              <w:bottom w:w="28" w:type="dxa"/>
              <w:right w:w="28" w:type="dxa"/>
            </w:tcMar>
            <w:vAlign w:val="center"/>
          </w:tcPr>
          <w:p w14:paraId="2D0A0853">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生态环境</w:t>
            </w:r>
          </w:p>
        </w:tc>
      </w:tr>
      <w:tr w14:paraId="09BD4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1521" w:type="pct"/>
            <w:gridSpan w:val="2"/>
            <w:vMerge w:val="continue"/>
            <w:noWrap w:val="0"/>
            <w:tcMar>
              <w:top w:w="28" w:type="dxa"/>
              <w:left w:w="28" w:type="dxa"/>
              <w:bottom w:w="28" w:type="dxa"/>
              <w:right w:w="28" w:type="dxa"/>
            </w:tcMar>
            <w:vAlign w:val="center"/>
          </w:tcPr>
          <w:p w14:paraId="2AB8E719">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p>
        </w:tc>
        <w:tc>
          <w:tcPr>
            <w:tcW w:w="711" w:type="pct"/>
            <w:noWrap w:val="0"/>
            <w:tcMar>
              <w:top w:w="28" w:type="dxa"/>
              <w:left w:w="0" w:type="dxa"/>
              <w:bottom w:w="28" w:type="dxa"/>
              <w:right w:w="0" w:type="dxa"/>
            </w:tcMar>
            <w:vAlign w:val="center"/>
          </w:tcPr>
          <w:p w14:paraId="7DA93680">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环境空气</w:t>
            </w:r>
          </w:p>
        </w:tc>
        <w:tc>
          <w:tcPr>
            <w:tcW w:w="576" w:type="pct"/>
            <w:noWrap w:val="0"/>
            <w:tcMar>
              <w:top w:w="28" w:type="dxa"/>
              <w:left w:w="0" w:type="dxa"/>
              <w:bottom w:w="28" w:type="dxa"/>
              <w:right w:w="0" w:type="dxa"/>
            </w:tcMar>
            <w:vAlign w:val="center"/>
          </w:tcPr>
          <w:p w14:paraId="7AB8111B">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陆域环境</w:t>
            </w:r>
          </w:p>
        </w:tc>
        <w:tc>
          <w:tcPr>
            <w:tcW w:w="598" w:type="pct"/>
            <w:noWrap w:val="0"/>
            <w:tcMar>
              <w:top w:w="28" w:type="dxa"/>
              <w:left w:w="0" w:type="dxa"/>
              <w:bottom w:w="28" w:type="dxa"/>
              <w:right w:w="0" w:type="dxa"/>
            </w:tcMar>
            <w:vAlign w:val="center"/>
          </w:tcPr>
          <w:p w14:paraId="1DB01F99">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水生生物</w:t>
            </w:r>
          </w:p>
        </w:tc>
        <w:tc>
          <w:tcPr>
            <w:tcW w:w="571" w:type="pct"/>
            <w:noWrap w:val="0"/>
            <w:tcMar>
              <w:top w:w="28" w:type="dxa"/>
              <w:left w:w="0" w:type="dxa"/>
              <w:bottom w:w="28" w:type="dxa"/>
              <w:right w:w="0" w:type="dxa"/>
            </w:tcMar>
            <w:vAlign w:val="center"/>
          </w:tcPr>
          <w:p w14:paraId="2EC3E9E4">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渔业资源</w:t>
            </w:r>
          </w:p>
        </w:tc>
        <w:tc>
          <w:tcPr>
            <w:tcW w:w="1023" w:type="pct"/>
            <w:noWrap w:val="0"/>
            <w:tcMar>
              <w:top w:w="28" w:type="dxa"/>
              <w:left w:w="0" w:type="dxa"/>
              <w:bottom w:w="28" w:type="dxa"/>
              <w:right w:w="0" w:type="dxa"/>
            </w:tcMar>
            <w:vAlign w:val="center"/>
          </w:tcPr>
          <w:p w14:paraId="44B10BF6">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主要生态保护区域</w:t>
            </w:r>
          </w:p>
        </w:tc>
      </w:tr>
      <w:tr w14:paraId="0B2EF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6" w:type="pct"/>
            <w:noWrap w:val="0"/>
            <w:tcMar>
              <w:top w:w="28" w:type="dxa"/>
              <w:left w:w="28" w:type="dxa"/>
              <w:bottom w:w="28" w:type="dxa"/>
              <w:right w:w="28" w:type="dxa"/>
            </w:tcMar>
            <w:vAlign w:val="center"/>
          </w:tcPr>
          <w:p w14:paraId="7E031F91">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施工期</w:t>
            </w:r>
          </w:p>
        </w:tc>
        <w:tc>
          <w:tcPr>
            <w:tcW w:w="625" w:type="pct"/>
            <w:noWrap w:val="0"/>
            <w:tcMar>
              <w:top w:w="28" w:type="dxa"/>
              <w:left w:w="28" w:type="dxa"/>
              <w:bottom w:w="28" w:type="dxa"/>
              <w:right w:w="28" w:type="dxa"/>
            </w:tcMar>
            <w:vAlign w:val="center"/>
          </w:tcPr>
          <w:p w14:paraId="68A935A5">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废气排放</w:t>
            </w:r>
          </w:p>
        </w:tc>
        <w:tc>
          <w:tcPr>
            <w:tcW w:w="711" w:type="pct"/>
            <w:noWrap w:val="0"/>
            <w:tcMar>
              <w:top w:w="28" w:type="dxa"/>
              <w:left w:w="28" w:type="dxa"/>
              <w:bottom w:w="28" w:type="dxa"/>
              <w:right w:w="28" w:type="dxa"/>
            </w:tcMar>
            <w:vAlign w:val="center"/>
          </w:tcPr>
          <w:p w14:paraId="4F5B9EA7">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-1S.R.D.NC</w:t>
            </w:r>
          </w:p>
        </w:tc>
        <w:tc>
          <w:tcPr>
            <w:tcW w:w="576" w:type="pct"/>
            <w:noWrap w:val="0"/>
            <w:tcMar>
              <w:top w:w="28" w:type="dxa"/>
              <w:left w:w="28" w:type="dxa"/>
              <w:bottom w:w="28" w:type="dxa"/>
              <w:right w:w="28" w:type="dxa"/>
            </w:tcMar>
            <w:vAlign w:val="center"/>
          </w:tcPr>
          <w:p w14:paraId="25E4D6DC">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98" w:type="pct"/>
            <w:noWrap w:val="0"/>
            <w:tcMar>
              <w:top w:w="28" w:type="dxa"/>
              <w:left w:w="28" w:type="dxa"/>
              <w:bottom w:w="28" w:type="dxa"/>
              <w:right w:w="28" w:type="dxa"/>
            </w:tcMar>
            <w:vAlign w:val="center"/>
          </w:tcPr>
          <w:p w14:paraId="1F60C2A2">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71" w:type="pct"/>
            <w:noWrap w:val="0"/>
            <w:tcMar>
              <w:top w:w="28" w:type="dxa"/>
              <w:left w:w="28" w:type="dxa"/>
              <w:bottom w:w="28" w:type="dxa"/>
              <w:right w:w="28" w:type="dxa"/>
            </w:tcMar>
            <w:vAlign w:val="center"/>
          </w:tcPr>
          <w:p w14:paraId="13593C58">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23" w:type="pct"/>
            <w:noWrap w:val="0"/>
            <w:tcMar>
              <w:top w:w="28" w:type="dxa"/>
              <w:left w:w="28" w:type="dxa"/>
              <w:bottom w:w="28" w:type="dxa"/>
              <w:right w:w="28" w:type="dxa"/>
            </w:tcMar>
            <w:vAlign w:val="center"/>
          </w:tcPr>
          <w:p w14:paraId="0303992A">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r>
      <w:tr w14:paraId="27136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6" w:type="pct"/>
            <w:noWrap w:val="0"/>
            <w:tcMar>
              <w:top w:w="28" w:type="dxa"/>
              <w:left w:w="28" w:type="dxa"/>
              <w:bottom w:w="28" w:type="dxa"/>
              <w:right w:w="28" w:type="dxa"/>
            </w:tcMar>
            <w:vAlign w:val="center"/>
          </w:tcPr>
          <w:p w14:paraId="4A1E81F4">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运行期</w:t>
            </w:r>
          </w:p>
        </w:tc>
        <w:tc>
          <w:tcPr>
            <w:tcW w:w="625" w:type="pct"/>
            <w:noWrap w:val="0"/>
            <w:tcMar>
              <w:top w:w="28" w:type="dxa"/>
              <w:left w:w="28" w:type="dxa"/>
              <w:bottom w:w="28" w:type="dxa"/>
              <w:right w:w="28" w:type="dxa"/>
            </w:tcMar>
            <w:vAlign w:val="center"/>
          </w:tcPr>
          <w:p w14:paraId="55691076">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废气排放</w:t>
            </w:r>
          </w:p>
        </w:tc>
        <w:tc>
          <w:tcPr>
            <w:tcW w:w="711" w:type="pct"/>
            <w:noWrap w:val="0"/>
            <w:tcMar>
              <w:top w:w="28" w:type="dxa"/>
              <w:left w:w="28" w:type="dxa"/>
              <w:bottom w:w="28" w:type="dxa"/>
              <w:right w:w="28" w:type="dxa"/>
            </w:tcMar>
            <w:vAlign w:val="center"/>
          </w:tcPr>
          <w:p w14:paraId="6629422B">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-1S.R.D.NC</w:t>
            </w:r>
          </w:p>
        </w:tc>
        <w:tc>
          <w:tcPr>
            <w:tcW w:w="576" w:type="pct"/>
            <w:noWrap w:val="0"/>
            <w:tcMar>
              <w:top w:w="28" w:type="dxa"/>
              <w:left w:w="28" w:type="dxa"/>
              <w:bottom w:w="28" w:type="dxa"/>
              <w:right w:w="28" w:type="dxa"/>
            </w:tcMar>
            <w:vAlign w:val="center"/>
          </w:tcPr>
          <w:p w14:paraId="3BB097C0">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98" w:type="pct"/>
            <w:noWrap w:val="0"/>
            <w:tcMar>
              <w:top w:w="28" w:type="dxa"/>
              <w:left w:w="28" w:type="dxa"/>
              <w:bottom w:w="28" w:type="dxa"/>
              <w:right w:w="28" w:type="dxa"/>
            </w:tcMar>
            <w:vAlign w:val="center"/>
          </w:tcPr>
          <w:p w14:paraId="373AF3EF">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71" w:type="pct"/>
            <w:noWrap w:val="0"/>
            <w:tcMar>
              <w:top w:w="28" w:type="dxa"/>
              <w:left w:w="28" w:type="dxa"/>
              <w:bottom w:w="28" w:type="dxa"/>
              <w:right w:w="28" w:type="dxa"/>
            </w:tcMar>
            <w:vAlign w:val="center"/>
          </w:tcPr>
          <w:p w14:paraId="58B98C73">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23" w:type="pct"/>
            <w:noWrap w:val="0"/>
            <w:tcMar>
              <w:top w:w="28" w:type="dxa"/>
              <w:left w:w="28" w:type="dxa"/>
              <w:bottom w:w="28" w:type="dxa"/>
              <w:right w:w="28" w:type="dxa"/>
            </w:tcMar>
            <w:vAlign w:val="center"/>
          </w:tcPr>
          <w:p w14:paraId="428A5945">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r>
      <w:tr w14:paraId="1F16E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6" w:type="pct"/>
            <w:noWrap w:val="0"/>
            <w:tcMar>
              <w:top w:w="28" w:type="dxa"/>
              <w:left w:w="28" w:type="dxa"/>
              <w:bottom w:w="28" w:type="dxa"/>
              <w:right w:w="28" w:type="dxa"/>
            </w:tcMar>
            <w:vAlign w:val="center"/>
          </w:tcPr>
          <w:p w14:paraId="69F758AD">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服务期满后</w:t>
            </w:r>
          </w:p>
        </w:tc>
        <w:tc>
          <w:tcPr>
            <w:tcW w:w="625" w:type="pct"/>
            <w:noWrap w:val="0"/>
            <w:tcMar>
              <w:top w:w="28" w:type="dxa"/>
              <w:left w:w="28" w:type="dxa"/>
              <w:bottom w:w="28" w:type="dxa"/>
              <w:right w:w="28" w:type="dxa"/>
            </w:tcMar>
            <w:vAlign w:val="center"/>
          </w:tcPr>
          <w:p w14:paraId="45DFED02">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废气排放</w:t>
            </w:r>
          </w:p>
        </w:tc>
        <w:tc>
          <w:tcPr>
            <w:tcW w:w="711" w:type="pct"/>
            <w:noWrap w:val="0"/>
            <w:tcMar>
              <w:top w:w="28" w:type="dxa"/>
              <w:left w:w="28" w:type="dxa"/>
              <w:bottom w:w="28" w:type="dxa"/>
              <w:right w:w="28" w:type="dxa"/>
            </w:tcMar>
            <w:vAlign w:val="center"/>
          </w:tcPr>
          <w:p w14:paraId="398BD3F3">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-1S.R.D.NC</w:t>
            </w:r>
          </w:p>
        </w:tc>
        <w:tc>
          <w:tcPr>
            <w:tcW w:w="576" w:type="pct"/>
            <w:noWrap w:val="0"/>
            <w:tcMar>
              <w:top w:w="28" w:type="dxa"/>
              <w:left w:w="28" w:type="dxa"/>
              <w:bottom w:w="28" w:type="dxa"/>
              <w:right w:w="28" w:type="dxa"/>
            </w:tcMar>
            <w:vAlign w:val="center"/>
          </w:tcPr>
          <w:p w14:paraId="2CFAE39A">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98" w:type="pct"/>
            <w:noWrap w:val="0"/>
            <w:tcMar>
              <w:top w:w="28" w:type="dxa"/>
              <w:left w:w="28" w:type="dxa"/>
              <w:bottom w:w="28" w:type="dxa"/>
              <w:right w:w="28" w:type="dxa"/>
            </w:tcMar>
            <w:vAlign w:val="center"/>
          </w:tcPr>
          <w:p w14:paraId="4F8895F0">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571" w:type="pct"/>
            <w:noWrap w:val="0"/>
            <w:tcMar>
              <w:top w:w="28" w:type="dxa"/>
              <w:left w:w="28" w:type="dxa"/>
              <w:bottom w:w="28" w:type="dxa"/>
              <w:right w:w="28" w:type="dxa"/>
            </w:tcMar>
            <w:vAlign w:val="center"/>
          </w:tcPr>
          <w:p w14:paraId="28FA4516">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23" w:type="pct"/>
            <w:noWrap w:val="0"/>
            <w:tcMar>
              <w:top w:w="28" w:type="dxa"/>
              <w:left w:w="28" w:type="dxa"/>
              <w:bottom w:w="28" w:type="dxa"/>
              <w:right w:w="28" w:type="dxa"/>
            </w:tcMar>
            <w:vAlign w:val="center"/>
          </w:tcPr>
          <w:p w14:paraId="092CED9E">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1DF6A6E4">
      <w:pPr>
        <w:jc w:val="left"/>
        <w:rPr>
          <w:kern w:val="0"/>
          <w:szCs w:val="18"/>
          <w:lang w:bidi="ar"/>
        </w:rPr>
      </w:pPr>
      <w:r>
        <w:rPr>
          <w:b/>
          <w:kern w:val="0"/>
          <w:szCs w:val="18"/>
          <w:lang w:bidi="ar"/>
        </w:rPr>
        <w:t>注：</w:t>
      </w:r>
      <w:r>
        <w:rPr>
          <w:rFonts w:hint="eastAsia" w:ascii="宋体" w:hAnsi="宋体" w:cs="宋体"/>
          <w:kern w:val="0"/>
          <w:szCs w:val="18"/>
          <w:lang w:bidi="ar"/>
        </w:rPr>
        <w:t>①</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表示有利、不利影响；</w:t>
      </w:r>
      <w:r>
        <w:rPr>
          <w:rFonts w:hint="eastAsia"/>
          <w:kern w:val="0"/>
          <w:szCs w:val="18"/>
          <w:lang w:eastAsia="zh-CN" w:bidi="ar"/>
        </w:rPr>
        <w:t>“</w:t>
      </w:r>
      <w:r>
        <w:rPr>
          <w:kern w:val="0"/>
          <w:szCs w:val="18"/>
          <w:lang w:bidi="ar"/>
        </w:rPr>
        <w:t>0</w:t>
      </w:r>
      <w:r>
        <w:rPr>
          <w:rFonts w:hint="eastAsia"/>
          <w:kern w:val="0"/>
          <w:szCs w:val="18"/>
          <w:lang w:eastAsia="zh-CN" w:bidi="ar"/>
        </w:rPr>
        <w:t>”</w:t>
      </w:r>
      <w:r>
        <w:rPr>
          <w:kern w:val="0"/>
          <w:szCs w:val="18"/>
          <w:lang w:bidi="ar"/>
        </w:rPr>
        <w:t>、</w:t>
      </w:r>
      <w:r>
        <w:rPr>
          <w:rFonts w:hint="eastAsia"/>
          <w:kern w:val="0"/>
          <w:szCs w:val="18"/>
          <w:lang w:eastAsia="zh-CN" w:bidi="ar"/>
        </w:rPr>
        <w:t>“</w:t>
      </w:r>
      <w:r>
        <w:rPr>
          <w:rFonts w:hint="eastAsia"/>
          <w:kern w:val="0"/>
          <w:szCs w:val="18"/>
          <w:lang w:val="en-US" w:eastAsia="zh-CN" w:bidi="ar"/>
        </w:rPr>
        <w:t>1</w:t>
      </w:r>
      <w:r>
        <w:rPr>
          <w:rFonts w:hint="eastAsia"/>
          <w:kern w:val="0"/>
          <w:szCs w:val="18"/>
          <w:lang w:eastAsia="zh-CN" w:bidi="ar"/>
        </w:rPr>
        <w:t>”</w:t>
      </w:r>
      <w:r>
        <w:rPr>
          <w:kern w:val="0"/>
          <w:szCs w:val="18"/>
          <w:lang w:bidi="ar"/>
        </w:rPr>
        <w:t>、</w:t>
      </w:r>
      <w:r>
        <w:rPr>
          <w:rFonts w:hint="eastAsia"/>
          <w:kern w:val="0"/>
          <w:szCs w:val="18"/>
          <w:lang w:eastAsia="zh-CN" w:bidi="ar"/>
        </w:rPr>
        <w:t>“</w:t>
      </w:r>
      <w:r>
        <w:rPr>
          <w:rFonts w:hint="eastAsia"/>
          <w:kern w:val="0"/>
          <w:szCs w:val="18"/>
          <w:lang w:val="en-US" w:eastAsia="zh-CN" w:bidi="ar"/>
        </w:rPr>
        <w:t>2</w:t>
      </w:r>
      <w:r>
        <w:rPr>
          <w:rFonts w:hint="eastAsia"/>
          <w:kern w:val="0"/>
          <w:szCs w:val="18"/>
          <w:lang w:eastAsia="zh-CN" w:bidi="ar"/>
        </w:rPr>
        <w:t>”</w:t>
      </w:r>
      <w:r>
        <w:rPr>
          <w:kern w:val="0"/>
          <w:szCs w:val="18"/>
          <w:lang w:bidi="ar"/>
        </w:rPr>
        <w:t>、</w:t>
      </w:r>
      <w:r>
        <w:rPr>
          <w:rFonts w:hint="eastAsia"/>
          <w:kern w:val="0"/>
          <w:szCs w:val="18"/>
          <w:lang w:eastAsia="zh-CN" w:bidi="ar"/>
        </w:rPr>
        <w:t>“</w:t>
      </w:r>
      <w:r>
        <w:rPr>
          <w:rFonts w:hint="eastAsia"/>
          <w:kern w:val="0"/>
          <w:szCs w:val="18"/>
          <w:lang w:val="en-US" w:eastAsia="zh-CN" w:bidi="ar"/>
        </w:rPr>
        <w:t>3</w:t>
      </w:r>
      <w:r>
        <w:rPr>
          <w:rFonts w:hint="eastAsia"/>
          <w:kern w:val="0"/>
          <w:szCs w:val="18"/>
          <w:lang w:eastAsia="zh-CN" w:bidi="ar"/>
        </w:rPr>
        <w:t>”</w:t>
      </w:r>
      <w:r>
        <w:rPr>
          <w:kern w:val="0"/>
          <w:szCs w:val="18"/>
          <w:lang w:bidi="ar"/>
        </w:rPr>
        <w:t>数值分别表示无影响、轻微影响、中等影响和重大影响；</w:t>
      </w:r>
      <w:r>
        <w:rPr>
          <w:rFonts w:hint="eastAsia"/>
          <w:kern w:val="0"/>
          <w:szCs w:val="18"/>
          <w:lang w:eastAsia="zh-CN" w:bidi="ar"/>
        </w:rPr>
        <w:t>“</w:t>
      </w:r>
      <w:r>
        <w:rPr>
          <w:kern w:val="0"/>
          <w:szCs w:val="18"/>
          <w:lang w:bidi="ar"/>
        </w:rPr>
        <w:t>L</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S</w:t>
      </w:r>
      <w:r>
        <w:rPr>
          <w:rFonts w:hint="eastAsia"/>
          <w:kern w:val="0"/>
          <w:szCs w:val="18"/>
          <w:lang w:eastAsia="zh-CN" w:bidi="ar"/>
        </w:rPr>
        <w:t>”</w:t>
      </w:r>
      <w:r>
        <w:rPr>
          <w:kern w:val="0"/>
          <w:szCs w:val="18"/>
          <w:lang w:bidi="ar"/>
        </w:rPr>
        <w:t>分别表示长期、短期影响；</w:t>
      </w:r>
      <w:r>
        <w:rPr>
          <w:rFonts w:hint="eastAsia"/>
          <w:kern w:val="0"/>
          <w:szCs w:val="18"/>
          <w:lang w:eastAsia="zh-CN" w:bidi="ar"/>
        </w:rPr>
        <w:t>“</w:t>
      </w:r>
      <w:r>
        <w:rPr>
          <w:kern w:val="0"/>
          <w:szCs w:val="18"/>
          <w:lang w:bidi="ar"/>
        </w:rPr>
        <w:t>R</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IR</w:t>
      </w:r>
      <w:r>
        <w:rPr>
          <w:rFonts w:hint="eastAsia"/>
          <w:kern w:val="0"/>
          <w:szCs w:val="18"/>
          <w:lang w:eastAsia="zh-CN" w:bidi="ar"/>
        </w:rPr>
        <w:t>”</w:t>
      </w:r>
      <w:r>
        <w:rPr>
          <w:kern w:val="0"/>
          <w:szCs w:val="18"/>
          <w:lang w:bidi="ar"/>
        </w:rPr>
        <w:t>分别表示可逆、不可逆影响；用</w:t>
      </w:r>
      <w:r>
        <w:rPr>
          <w:rFonts w:hint="eastAsia"/>
          <w:kern w:val="0"/>
          <w:szCs w:val="18"/>
          <w:lang w:eastAsia="zh-CN" w:bidi="ar"/>
        </w:rPr>
        <w:t>“</w:t>
      </w:r>
      <w:r>
        <w:rPr>
          <w:kern w:val="0"/>
          <w:szCs w:val="18"/>
          <w:lang w:bidi="ar"/>
        </w:rPr>
        <w:t>D</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ID</w:t>
      </w:r>
      <w:r>
        <w:rPr>
          <w:rFonts w:hint="eastAsia"/>
          <w:kern w:val="0"/>
          <w:szCs w:val="18"/>
          <w:lang w:eastAsia="zh-CN" w:bidi="ar"/>
        </w:rPr>
        <w:t>”</w:t>
      </w:r>
      <w:r>
        <w:rPr>
          <w:kern w:val="0"/>
          <w:szCs w:val="18"/>
          <w:lang w:bidi="ar"/>
        </w:rPr>
        <w:t>表示直接、间接影响；</w:t>
      </w:r>
      <w:r>
        <w:rPr>
          <w:rFonts w:hint="eastAsia"/>
          <w:kern w:val="0"/>
          <w:szCs w:val="18"/>
          <w:lang w:eastAsia="zh-CN" w:bidi="ar"/>
        </w:rPr>
        <w:t>“</w:t>
      </w:r>
      <w:r>
        <w:rPr>
          <w:kern w:val="0"/>
          <w:szCs w:val="18"/>
          <w:lang w:bidi="ar"/>
        </w:rPr>
        <w:t>C</w:t>
      </w:r>
      <w:r>
        <w:rPr>
          <w:rFonts w:hint="eastAsia"/>
          <w:kern w:val="0"/>
          <w:szCs w:val="18"/>
          <w:lang w:eastAsia="zh-CN" w:bidi="ar"/>
        </w:rPr>
        <w:t>”</w:t>
      </w:r>
      <w:r>
        <w:rPr>
          <w:kern w:val="0"/>
          <w:szCs w:val="18"/>
          <w:lang w:bidi="ar"/>
        </w:rPr>
        <w:t>、</w:t>
      </w:r>
      <w:r>
        <w:rPr>
          <w:rFonts w:hint="eastAsia"/>
          <w:kern w:val="0"/>
          <w:szCs w:val="18"/>
          <w:lang w:eastAsia="zh-CN" w:bidi="ar"/>
        </w:rPr>
        <w:t>“</w:t>
      </w:r>
      <w:r>
        <w:rPr>
          <w:kern w:val="0"/>
          <w:szCs w:val="18"/>
          <w:lang w:bidi="ar"/>
        </w:rPr>
        <w:t>NC</w:t>
      </w:r>
      <w:r>
        <w:rPr>
          <w:rFonts w:hint="eastAsia"/>
          <w:kern w:val="0"/>
          <w:szCs w:val="18"/>
          <w:lang w:eastAsia="zh-CN" w:bidi="ar"/>
        </w:rPr>
        <w:t>”</w:t>
      </w:r>
      <w:r>
        <w:rPr>
          <w:kern w:val="0"/>
          <w:szCs w:val="18"/>
          <w:lang w:bidi="ar"/>
        </w:rPr>
        <w:t>分别表示累积与非累积影响。</w:t>
      </w:r>
    </w:p>
    <w:p w14:paraId="59D4D691">
      <w:pPr>
        <w:bidi w:val="0"/>
      </w:pPr>
      <w:r>
        <w:rPr>
          <w:rFonts w:hint="eastAsia"/>
        </w:rPr>
        <w:t>②</w:t>
      </w:r>
      <w:r>
        <w:t>项目租赁现有厂房建设，基本无土建施工，故表中未列出施工期环境影响。</w:t>
      </w:r>
    </w:p>
    <w:p w14:paraId="04B248F5">
      <w:pPr>
        <w:bidi w:val="0"/>
      </w:pPr>
      <w:r>
        <w:t>（2）评价因子筛选</w:t>
      </w:r>
    </w:p>
    <w:p w14:paraId="29EFFD05">
      <w:pPr>
        <w:bidi w:val="0"/>
        <w:rPr>
          <w:snapToGrid w:val="0"/>
          <w:kern w:val="0"/>
        </w:rPr>
      </w:pPr>
      <w:r>
        <w:t>结合项目污染源分析，本次评价识别出了环境影响因子、项目所在地的区域环境特征，对照国家和地方有关环保标准、规定中相关控制指标，筛选出了本次评价的评价因子，见表1.4-2。</w:t>
      </w:r>
    </w:p>
    <w:p w14:paraId="4204BC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pacing w:val="0"/>
          <w:szCs w:val="24"/>
        </w:rPr>
      </w:pPr>
      <w:r>
        <w:rPr>
          <w:rFonts w:hint="default" w:ascii="Times New Roman" w:hAnsi="Times New Roman" w:eastAsia="黑体" w:cs="Times New Roman"/>
        </w:rPr>
        <w:t xml:space="preserve">表1.4-2 </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建设项目评价因子一览表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1096"/>
        <w:gridCol w:w="3347"/>
        <w:gridCol w:w="2578"/>
        <w:gridCol w:w="2775"/>
      </w:tblGrid>
      <w:tr w14:paraId="7159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454" w:hRule="atLeast"/>
          <w:tblHeader/>
          <w:jc w:val="center"/>
        </w:trPr>
        <w:tc>
          <w:tcPr>
            <w:tcW w:w="1096" w:type="dxa"/>
            <w:noWrap w:val="0"/>
            <w:tcMar>
              <w:top w:w="28" w:type="dxa"/>
              <w:bottom w:w="28" w:type="dxa"/>
            </w:tcMar>
            <w:vAlign w:val="center"/>
          </w:tcPr>
          <w:p w14:paraId="04E977B5">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环境要素</w:t>
            </w:r>
          </w:p>
        </w:tc>
        <w:tc>
          <w:tcPr>
            <w:tcW w:w="3347" w:type="dxa"/>
            <w:noWrap w:val="0"/>
            <w:tcMar>
              <w:top w:w="28" w:type="dxa"/>
              <w:bottom w:w="28" w:type="dxa"/>
            </w:tcMar>
            <w:vAlign w:val="center"/>
          </w:tcPr>
          <w:p w14:paraId="49E56A90">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现状评价因子</w:t>
            </w:r>
          </w:p>
        </w:tc>
        <w:tc>
          <w:tcPr>
            <w:tcW w:w="2578" w:type="dxa"/>
            <w:noWrap w:val="0"/>
            <w:tcMar>
              <w:top w:w="28" w:type="dxa"/>
              <w:bottom w:w="28" w:type="dxa"/>
            </w:tcMar>
            <w:vAlign w:val="center"/>
          </w:tcPr>
          <w:p w14:paraId="4BD1432B">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影响评价因子</w:t>
            </w:r>
          </w:p>
        </w:tc>
        <w:tc>
          <w:tcPr>
            <w:tcW w:w="2775" w:type="dxa"/>
            <w:noWrap w:val="0"/>
            <w:tcMar>
              <w:top w:w="28" w:type="dxa"/>
              <w:bottom w:w="28" w:type="dxa"/>
            </w:tcMar>
            <w:vAlign w:val="center"/>
          </w:tcPr>
          <w:p w14:paraId="1F9B9530">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总量控制（考核）因子</w:t>
            </w:r>
          </w:p>
        </w:tc>
      </w:tr>
      <w:tr w14:paraId="7531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454" w:hRule="atLeast"/>
          <w:jc w:val="center"/>
        </w:trPr>
        <w:tc>
          <w:tcPr>
            <w:tcW w:w="1096" w:type="dxa"/>
            <w:noWrap w:val="0"/>
            <w:tcMar>
              <w:top w:w="28" w:type="dxa"/>
              <w:bottom w:w="28" w:type="dxa"/>
            </w:tcMar>
            <w:vAlign w:val="center"/>
          </w:tcPr>
          <w:p w14:paraId="79D5380D">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大气</w:t>
            </w:r>
          </w:p>
        </w:tc>
        <w:tc>
          <w:tcPr>
            <w:tcW w:w="3347" w:type="dxa"/>
            <w:noWrap w:val="0"/>
            <w:tcMar>
              <w:top w:w="28" w:type="dxa"/>
              <w:bottom w:w="28" w:type="dxa"/>
            </w:tcMar>
            <w:vAlign w:val="center"/>
          </w:tcPr>
          <w:p w14:paraId="5AA2280B">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SO</w:t>
            </w:r>
            <w:r>
              <w:rPr>
                <w:rFonts w:hint="default" w:ascii="Times New Roman" w:hAnsi="Times New Roman" w:cs="Times New Roman"/>
                <w:sz w:val="21"/>
                <w:szCs w:val="21"/>
                <w:vertAlign w:val="subscript"/>
              </w:rPr>
              <w:t>2</w:t>
            </w:r>
            <w:r>
              <w:rPr>
                <w:rFonts w:hint="default" w:ascii="Times New Roman" w:hAnsi="Times New Roman" w:cs="Times New Roman"/>
                <w:sz w:val="21"/>
                <w:szCs w:val="21"/>
              </w:rPr>
              <w:t>、NO</w:t>
            </w:r>
            <w:r>
              <w:rPr>
                <w:rFonts w:hint="default" w:ascii="Times New Roman" w:hAnsi="Times New Roman" w:cs="Times New Roman"/>
                <w:sz w:val="21"/>
                <w:szCs w:val="21"/>
                <w:vertAlign w:val="subscript"/>
              </w:rPr>
              <w:t>2</w:t>
            </w: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2.5</w:t>
            </w:r>
            <w:r>
              <w:rPr>
                <w:rFonts w:hint="default" w:ascii="Times New Roman" w:hAnsi="Times New Roman" w:cs="Times New Roman"/>
                <w:sz w:val="21"/>
                <w:szCs w:val="21"/>
              </w:rPr>
              <w:t>、CO、O</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、TSP、NMHC、甲醛</w:t>
            </w:r>
          </w:p>
        </w:tc>
        <w:tc>
          <w:tcPr>
            <w:tcW w:w="2578" w:type="dxa"/>
            <w:noWrap w:val="0"/>
            <w:tcMar>
              <w:top w:w="28" w:type="dxa"/>
              <w:bottom w:w="28" w:type="dxa"/>
            </w:tcMar>
            <w:vAlign w:val="center"/>
          </w:tcPr>
          <w:p w14:paraId="3911C253">
            <w:pPr>
              <w:pStyle w:val="33"/>
              <w:keepNext w:val="0"/>
              <w:keepLines w:val="0"/>
              <w:pageBreakBefore w:val="0"/>
              <w:widowControl w:val="0"/>
              <w:kinsoku/>
              <w:wordWrap/>
              <w:overflowPunct/>
              <w:topLinePunct w:val="0"/>
              <w:autoSpaceDE w:val="0"/>
              <w:autoSpaceDN w:val="0"/>
              <w:bidi w:val="0"/>
              <w:adjustRightInd w:val="0"/>
              <w:snapToGrid w:val="0"/>
              <w:spacing w:beforeLines="0" w:afterLines="0" w:line="240" w:lineRule="auto"/>
              <w:ind w:firstLine="0" w:firstLineChars="0"/>
              <w:textAlignment w:val="baseline"/>
              <w:rPr>
                <w:rFonts w:hint="default" w:ascii="Times New Roman" w:hAnsi="Times New Roman" w:cs="Times New Roman"/>
                <w:sz w:val="21"/>
                <w:szCs w:val="21"/>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r>
              <w:rPr>
                <w:rFonts w:hint="default" w:ascii="Times New Roman" w:hAnsi="Times New Roman" w:cs="Times New Roman"/>
                <w:sz w:val="21"/>
                <w:szCs w:val="21"/>
              </w:rPr>
              <w:t>、TSP、NMHC、甲醛</w:t>
            </w:r>
          </w:p>
        </w:tc>
        <w:tc>
          <w:tcPr>
            <w:tcW w:w="2775" w:type="dxa"/>
            <w:shd w:val="clear" w:color="auto" w:fill="auto"/>
            <w:noWrap w:val="0"/>
            <w:tcMar>
              <w:top w:w="28" w:type="dxa"/>
              <w:bottom w:w="28" w:type="dxa"/>
            </w:tcMar>
            <w:vAlign w:val="center"/>
          </w:tcPr>
          <w:p w14:paraId="0E9156E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color w:val="000000"/>
                <w:szCs w:val="21"/>
              </w:rPr>
            </w:pPr>
            <w:r>
              <w:rPr>
                <w:color w:val="000000"/>
                <w:szCs w:val="21"/>
              </w:rPr>
              <w:t>总量控制：颗粒物、</w:t>
            </w:r>
            <w:r>
              <w:rPr>
                <w:rFonts w:hint="eastAsia"/>
                <w:color w:val="000000"/>
                <w:szCs w:val="21"/>
              </w:rPr>
              <w:t>VOCs</w:t>
            </w:r>
          </w:p>
          <w:p w14:paraId="74B8E7D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000000"/>
                <w:kern w:val="0"/>
                <w:sz w:val="21"/>
                <w:szCs w:val="21"/>
                <w:lang w:val="en-US" w:eastAsia="zh-CN" w:bidi="ar-SA"/>
              </w:rPr>
            </w:pPr>
            <w:r>
              <w:rPr>
                <w:color w:val="000000"/>
                <w:szCs w:val="21"/>
              </w:rPr>
              <w:t>总量考核：甲醛</w:t>
            </w:r>
          </w:p>
        </w:tc>
      </w:tr>
    </w:tbl>
    <w:p w14:paraId="08D26CFD">
      <w:pPr>
        <w:bidi w:val="0"/>
        <w:ind w:left="0" w:leftChars="0" w:firstLine="0" w:firstLineChars="0"/>
        <w:rPr>
          <w:rFonts w:hint="default"/>
          <w:lang w:val="en-US" w:eastAsia="zh-CN"/>
        </w:rPr>
        <w:sectPr>
          <w:footerReference r:id="rId10" w:type="default"/>
          <w:pgSz w:w="11905" w:h="16838"/>
          <w:pgMar w:top="1440" w:right="1083" w:bottom="1440" w:left="1083" w:header="850" w:footer="992" w:gutter="0"/>
          <w:pgNumType w:fmt="decimal" w:start="1"/>
          <w:cols w:space="0" w:num="1"/>
          <w:titlePg/>
          <w:rtlGutter w:val="0"/>
          <w:docGrid w:type="lines" w:linePitch="318" w:charSpace="0"/>
        </w:sectPr>
      </w:pPr>
      <w:bookmarkStart w:id="104" w:name="_Toc19046"/>
      <w:bookmarkStart w:id="105" w:name="_Toc137930093"/>
      <w:bookmarkStart w:id="106" w:name="_Toc1811"/>
      <w:bookmarkStart w:id="107" w:name="_Toc20148"/>
      <w:bookmarkStart w:id="108" w:name="_Toc23146"/>
      <w:bookmarkStart w:id="109" w:name="_Toc8680"/>
      <w:bookmarkStart w:id="110" w:name="_Toc161600294"/>
      <w:bookmarkStart w:id="111" w:name="_Toc138239276"/>
      <w:bookmarkStart w:id="112" w:name="_Toc19241"/>
    </w:p>
    <w:p w14:paraId="306C6122">
      <w:pPr>
        <w:pStyle w:val="4"/>
        <w:bidi w:val="0"/>
        <w:rPr>
          <w:rFonts w:hint="default"/>
        </w:rPr>
      </w:pPr>
      <w:bookmarkStart w:id="113" w:name="_Toc31650"/>
      <w:r>
        <w:rPr>
          <w:rFonts w:hint="default"/>
          <w:lang w:val="en-US" w:eastAsia="zh-CN"/>
        </w:rPr>
        <w:t>1.4.2.</w:t>
      </w:r>
      <w:r>
        <w:rPr>
          <w:rFonts w:hint="default"/>
        </w:rPr>
        <w:t>评价工作等级</w:t>
      </w:r>
      <w:bookmarkEnd w:id="104"/>
      <w:bookmarkEnd w:id="105"/>
      <w:bookmarkEnd w:id="106"/>
      <w:bookmarkEnd w:id="107"/>
      <w:bookmarkEnd w:id="108"/>
      <w:bookmarkEnd w:id="109"/>
      <w:bookmarkEnd w:id="110"/>
      <w:bookmarkEnd w:id="111"/>
      <w:bookmarkEnd w:id="112"/>
      <w:bookmarkEnd w:id="113"/>
    </w:p>
    <w:p w14:paraId="54E145B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snapToGrid w:val="0"/>
          <w:kern w:val="0"/>
          <w:sz w:val="24"/>
        </w:rPr>
      </w:pPr>
      <w:r>
        <w:rPr>
          <w:rFonts w:hint="default" w:ascii="Times New Roman" w:hAnsi="Times New Roman" w:eastAsia="宋体" w:cs="Times New Roman"/>
        </w:rPr>
        <w:drawing>
          <wp:anchor distT="0" distB="0" distL="114300" distR="114300" simplePos="0" relativeHeight="251681792" behindDoc="0" locked="0" layoutInCell="1" allowOverlap="1">
            <wp:simplePos x="0" y="0"/>
            <wp:positionH relativeFrom="column">
              <wp:posOffset>2672080</wp:posOffset>
            </wp:positionH>
            <wp:positionV relativeFrom="paragraph">
              <wp:posOffset>790575</wp:posOffset>
            </wp:positionV>
            <wp:extent cx="1098550" cy="421640"/>
            <wp:effectExtent l="0" t="0" r="6350" b="1651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2"/>
                    <a:stretch>
                      <a:fillRect/>
                    </a:stretch>
                  </pic:blipFill>
                  <pic:spPr>
                    <a:xfrm>
                      <a:off x="0" y="0"/>
                      <a:ext cx="1098550" cy="421640"/>
                    </a:xfrm>
                    <a:prstGeom prst="rect">
                      <a:avLst/>
                    </a:prstGeom>
                    <a:noFill/>
                    <a:ln>
                      <a:noFill/>
                    </a:ln>
                  </pic:spPr>
                </pic:pic>
              </a:graphicData>
            </a:graphic>
          </wp:anchor>
        </w:drawing>
      </w:r>
      <w:r>
        <w:rPr>
          <w:rFonts w:hint="default" w:ascii="Times New Roman" w:hAnsi="Times New Roman" w:eastAsia="宋体" w:cs="Times New Roman"/>
          <w:snapToGrid w:val="0"/>
          <w:kern w:val="0"/>
          <w:sz w:val="24"/>
        </w:rPr>
        <w:t>大气评价等级根据《大气环境影响评价技术导则 大气环境》（HJ2.2-2018）确定。据工程分析的初步结果，采用导则中推荐的估算模式，分别计算各污染物的地面最大浓度占标率Pi（第i个污染物），及第i个污染物的地面浓度达标准值10%时所对应的最远距离D10%。</w:t>
      </w:r>
    </w:p>
    <w:p w14:paraId="190EC96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8"/>
          <w:szCs w:val="28"/>
        </w:rPr>
      </w:pPr>
      <w:r>
        <w:rPr>
          <w:rFonts w:hint="default" w:ascii="Times New Roman" w:hAnsi="Times New Roman" w:eastAsia="宋体" w:cs="Times New Roman"/>
          <w:snapToGrid w:val="0"/>
          <w:kern w:val="0"/>
          <w:sz w:val="24"/>
        </w:rPr>
        <w:t>其中Pi定义为：</w:t>
      </w:r>
    </w:p>
    <w:p w14:paraId="2A56B36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式中：P</w:t>
      </w:r>
      <w:r>
        <w:rPr>
          <w:rFonts w:hint="default" w:ascii="Times New Roman" w:hAnsi="Times New Roman" w:eastAsia="宋体" w:cs="Times New Roman"/>
          <w:kern w:val="0"/>
          <w:sz w:val="24"/>
          <w:vertAlign w:val="subscript"/>
        </w:rPr>
        <w:t>i</w:t>
      </w:r>
      <w:r>
        <w:rPr>
          <w:rFonts w:hint="default" w:ascii="Times New Roman" w:hAnsi="Times New Roman" w:eastAsia="宋体" w:cs="Times New Roman"/>
          <w:kern w:val="0"/>
          <w:sz w:val="24"/>
        </w:rPr>
        <w:t>：第i个污染物地面最大浓度占标率，%；</w:t>
      </w:r>
    </w:p>
    <w:p w14:paraId="37952725">
      <w:pPr>
        <w:keepNext w:val="0"/>
        <w:keepLines w:val="0"/>
        <w:pageBreakBefore w:val="0"/>
        <w:widowControl w:val="0"/>
        <w:kinsoku/>
        <w:wordWrap/>
        <w:overflowPunct/>
        <w:topLinePunct w:val="0"/>
        <w:autoSpaceDE/>
        <w:autoSpaceDN/>
        <w:bidi w:val="0"/>
        <w:adjustRightInd/>
        <w:snapToGrid w:val="0"/>
        <w:spacing w:line="360" w:lineRule="auto"/>
        <w:ind w:firstLine="1200" w:firstLineChars="5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C</w:t>
      </w:r>
      <w:r>
        <w:rPr>
          <w:rFonts w:hint="default" w:ascii="Times New Roman" w:hAnsi="Times New Roman" w:eastAsia="宋体" w:cs="Times New Roman"/>
          <w:kern w:val="0"/>
          <w:sz w:val="24"/>
          <w:vertAlign w:val="subscript"/>
        </w:rPr>
        <w:t>i</w:t>
      </w:r>
      <w:r>
        <w:rPr>
          <w:rFonts w:hint="default" w:ascii="Times New Roman" w:hAnsi="Times New Roman" w:eastAsia="宋体" w:cs="Times New Roman"/>
          <w:kern w:val="0"/>
          <w:sz w:val="24"/>
        </w:rPr>
        <w:t>：采用估算模式</w:t>
      </w:r>
      <w:r>
        <w:rPr>
          <w:rFonts w:hint="default" w:ascii="Times New Roman" w:hAnsi="Times New Roman" w:eastAsia="宋体" w:cs="Times New Roman"/>
          <w:snapToGrid w:val="0"/>
          <w:kern w:val="0"/>
          <w:sz w:val="24"/>
        </w:rPr>
        <w:t>计算</w:t>
      </w:r>
      <w:r>
        <w:rPr>
          <w:rFonts w:hint="default" w:ascii="Times New Roman" w:hAnsi="Times New Roman" w:eastAsia="宋体" w:cs="Times New Roman"/>
          <w:kern w:val="0"/>
          <w:sz w:val="24"/>
        </w:rPr>
        <w:t>出第i个污染物的最大地面浓度，mg/m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w:t>
      </w:r>
    </w:p>
    <w:p w14:paraId="5D32AB6C">
      <w:pPr>
        <w:keepNext w:val="0"/>
        <w:keepLines w:val="0"/>
        <w:pageBreakBefore w:val="0"/>
        <w:widowControl w:val="0"/>
        <w:kinsoku/>
        <w:wordWrap/>
        <w:overflowPunct/>
        <w:topLinePunct w:val="0"/>
        <w:autoSpaceDE/>
        <w:autoSpaceDN/>
        <w:bidi w:val="0"/>
        <w:adjustRightInd/>
        <w:snapToGrid w:val="0"/>
        <w:spacing w:line="360" w:lineRule="auto"/>
        <w:ind w:firstLine="960" w:firstLineChars="4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Co</w:t>
      </w:r>
      <w:r>
        <w:rPr>
          <w:rFonts w:hint="default" w:ascii="Times New Roman" w:hAnsi="Times New Roman" w:eastAsia="宋体" w:cs="Times New Roman"/>
          <w:kern w:val="0"/>
          <w:sz w:val="24"/>
          <w:vertAlign w:val="subscript"/>
        </w:rPr>
        <w:t>i</w:t>
      </w:r>
      <w:r>
        <w:rPr>
          <w:rFonts w:hint="default" w:ascii="Times New Roman" w:hAnsi="Times New Roman" w:eastAsia="宋体" w:cs="Times New Roman"/>
          <w:kern w:val="0"/>
          <w:sz w:val="24"/>
        </w:rPr>
        <w:t>：第i个污染物的</w:t>
      </w:r>
      <w:r>
        <w:rPr>
          <w:rFonts w:hint="default" w:ascii="Times New Roman" w:hAnsi="Times New Roman" w:eastAsia="宋体" w:cs="Times New Roman"/>
          <w:snapToGrid w:val="0"/>
          <w:kern w:val="0"/>
          <w:sz w:val="24"/>
        </w:rPr>
        <w:t>环境空气质量标准</w:t>
      </w:r>
      <w:r>
        <w:rPr>
          <w:rFonts w:hint="default" w:ascii="Times New Roman" w:hAnsi="Times New Roman" w:eastAsia="宋体" w:cs="Times New Roman"/>
          <w:kern w:val="0"/>
          <w:sz w:val="24"/>
        </w:rPr>
        <w:t>，mg/m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一般取《环境空气质量标准》（GB3095-2012）1小时平均取样时间的二级标准的浓度限值，对于仅有8小时平均浓度限值、日平均质量浓度或年平均质量浓度限值的，可分别按照2倍、3倍、6倍折算为1小时平均质量浓度限值。</w:t>
      </w:r>
    </w:p>
    <w:p w14:paraId="2300AD8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最大地面空气质量浓度占标率P</w:t>
      </w:r>
      <w:r>
        <w:rPr>
          <w:rFonts w:hint="default" w:ascii="Times New Roman" w:hAnsi="Times New Roman" w:eastAsia="宋体" w:cs="Times New Roman"/>
          <w:kern w:val="0"/>
          <w:sz w:val="24"/>
          <w:vertAlign w:val="subscript"/>
        </w:rPr>
        <w:t>i</w:t>
      </w:r>
      <w:r>
        <w:rPr>
          <w:rFonts w:hint="default" w:ascii="Times New Roman" w:hAnsi="Times New Roman" w:eastAsia="宋体" w:cs="Times New Roman"/>
          <w:kern w:val="0"/>
          <w:sz w:val="24"/>
        </w:rPr>
        <w:t>按上式计算。如污染物系数i大于1，取P值中最大者（P</w:t>
      </w:r>
      <w:r>
        <w:rPr>
          <w:rFonts w:hint="default" w:ascii="Times New Roman" w:hAnsi="Times New Roman" w:eastAsia="宋体" w:cs="Times New Roman"/>
          <w:kern w:val="0"/>
          <w:sz w:val="24"/>
          <w:vertAlign w:val="subscript"/>
        </w:rPr>
        <w:t>max</w:t>
      </w:r>
      <w:r>
        <w:rPr>
          <w:rFonts w:hint="default" w:ascii="Times New Roman" w:hAnsi="Times New Roman" w:eastAsia="宋体" w:cs="Times New Roman"/>
          <w:kern w:val="0"/>
          <w:sz w:val="24"/>
        </w:rPr>
        <w:t>）。</w:t>
      </w:r>
    </w:p>
    <w:p w14:paraId="44DFEE4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snapToGrid w:val="0"/>
          <w:kern w:val="0"/>
          <w:sz w:val="24"/>
        </w:rPr>
      </w:pPr>
      <w:r>
        <w:rPr>
          <w:rFonts w:hint="default" w:ascii="Times New Roman" w:hAnsi="Times New Roman" w:eastAsia="宋体" w:cs="Times New Roman"/>
          <w:snapToGrid w:val="0"/>
          <w:kern w:val="0"/>
          <w:sz w:val="24"/>
        </w:rPr>
        <w:t>大气评价工作等级判定表如表1.4-3所示。</w:t>
      </w:r>
    </w:p>
    <w:p w14:paraId="1B24BC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表1.4-3 大气评价工作等级判别表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7"/>
        <w:gridCol w:w="4898"/>
      </w:tblGrid>
      <w:tr w14:paraId="1231E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noWrap w:val="0"/>
            <w:tcMar>
              <w:top w:w="28" w:type="dxa"/>
              <w:left w:w="28" w:type="dxa"/>
              <w:bottom w:w="28" w:type="dxa"/>
              <w:right w:w="28" w:type="dxa"/>
            </w:tcMar>
            <w:vAlign w:val="center"/>
          </w:tcPr>
          <w:p w14:paraId="6CD93FEB">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评价工作等级</w:t>
            </w:r>
          </w:p>
        </w:tc>
        <w:tc>
          <w:tcPr>
            <w:tcW w:w="2500" w:type="pct"/>
            <w:noWrap w:val="0"/>
            <w:tcMar>
              <w:top w:w="28" w:type="dxa"/>
              <w:left w:w="28" w:type="dxa"/>
              <w:bottom w:w="28" w:type="dxa"/>
              <w:right w:w="28" w:type="dxa"/>
            </w:tcMar>
            <w:vAlign w:val="center"/>
          </w:tcPr>
          <w:p w14:paraId="3592C84A">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评价工作分级判据</w:t>
            </w:r>
          </w:p>
        </w:tc>
      </w:tr>
      <w:tr w14:paraId="2ACCE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noWrap w:val="0"/>
            <w:tcMar>
              <w:top w:w="28" w:type="dxa"/>
              <w:left w:w="28" w:type="dxa"/>
              <w:bottom w:w="28" w:type="dxa"/>
              <w:right w:w="28" w:type="dxa"/>
            </w:tcMar>
            <w:vAlign w:val="center"/>
          </w:tcPr>
          <w:p w14:paraId="095B015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一级</w:t>
            </w:r>
          </w:p>
        </w:tc>
        <w:tc>
          <w:tcPr>
            <w:tcW w:w="2500" w:type="pct"/>
            <w:noWrap w:val="0"/>
            <w:tcMar>
              <w:top w:w="28" w:type="dxa"/>
              <w:left w:w="28" w:type="dxa"/>
              <w:bottom w:w="28" w:type="dxa"/>
              <w:right w:w="28" w:type="dxa"/>
            </w:tcMar>
            <w:vAlign w:val="center"/>
          </w:tcPr>
          <w:p w14:paraId="0592526A">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Pmax≥10%</w:t>
            </w:r>
          </w:p>
        </w:tc>
      </w:tr>
      <w:tr w14:paraId="6C583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noWrap w:val="0"/>
            <w:tcMar>
              <w:top w:w="28" w:type="dxa"/>
              <w:left w:w="28" w:type="dxa"/>
              <w:bottom w:w="28" w:type="dxa"/>
              <w:right w:w="28" w:type="dxa"/>
            </w:tcMar>
            <w:vAlign w:val="center"/>
          </w:tcPr>
          <w:p w14:paraId="7367D84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二级</w:t>
            </w:r>
          </w:p>
        </w:tc>
        <w:tc>
          <w:tcPr>
            <w:tcW w:w="2500" w:type="pct"/>
            <w:noWrap w:val="0"/>
            <w:tcMar>
              <w:top w:w="28" w:type="dxa"/>
              <w:left w:w="28" w:type="dxa"/>
              <w:bottom w:w="28" w:type="dxa"/>
              <w:right w:w="28" w:type="dxa"/>
            </w:tcMar>
            <w:vAlign w:val="center"/>
          </w:tcPr>
          <w:p w14:paraId="41B31BB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1%≤Pmax＜10%</w:t>
            </w:r>
          </w:p>
        </w:tc>
      </w:tr>
      <w:tr w14:paraId="025C9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noWrap w:val="0"/>
            <w:tcMar>
              <w:top w:w="28" w:type="dxa"/>
              <w:left w:w="28" w:type="dxa"/>
              <w:bottom w:w="28" w:type="dxa"/>
              <w:right w:w="28" w:type="dxa"/>
            </w:tcMar>
            <w:vAlign w:val="center"/>
          </w:tcPr>
          <w:p w14:paraId="08BE34B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三级</w:t>
            </w:r>
          </w:p>
        </w:tc>
        <w:tc>
          <w:tcPr>
            <w:tcW w:w="2500" w:type="pct"/>
            <w:noWrap w:val="0"/>
            <w:tcMar>
              <w:top w:w="28" w:type="dxa"/>
              <w:left w:w="28" w:type="dxa"/>
              <w:bottom w:w="28" w:type="dxa"/>
              <w:right w:w="28" w:type="dxa"/>
            </w:tcMar>
            <w:vAlign w:val="center"/>
          </w:tcPr>
          <w:p w14:paraId="54C826E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Pmax＜1%</w:t>
            </w:r>
          </w:p>
        </w:tc>
      </w:tr>
    </w:tbl>
    <w:p w14:paraId="6A1A97C7">
      <w:pPr>
        <w:bidi w:val="0"/>
        <w:rPr>
          <w:rFonts w:hint="default"/>
        </w:rPr>
      </w:pPr>
      <w:r>
        <w:rPr>
          <w:rFonts w:hint="default"/>
        </w:rPr>
        <w:t>项目废气污染物下风向预测最大地面浓度、占标率及D10%预测结果见表1.4-4。</w:t>
      </w:r>
    </w:p>
    <w:p w14:paraId="2FB05C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lang w:val="en-US" w:eastAsia="zh-CN"/>
        </w:rPr>
      </w:pPr>
      <w:r>
        <w:rPr>
          <w:rFonts w:hint="default" w:ascii="Times New Roman" w:hAnsi="Times New Roman" w:eastAsia="黑体" w:cs="Times New Roman"/>
        </w:rPr>
        <w:t>表1.4-4 废气污染物下风向预测最大地面浓度、占标率及D10</w:t>
      </w:r>
      <w:r>
        <w:rPr>
          <w:rFonts w:hint="default" w:ascii="Times New Roman" w:hAnsi="Times New Roman" w:eastAsia="黑体" w:cs="Times New Roman"/>
          <w:lang w:val="en-US" w:eastAsia="zh-CN"/>
        </w:rPr>
        <w:t>%</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679"/>
        <w:gridCol w:w="1679"/>
        <w:gridCol w:w="1680"/>
        <w:gridCol w:w="1679"/>
        <w:gridCol w:w="1680"/>
      </w:tblGrid>
      <w:tr w14:paraId="2D505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noWrap w:val="0"/>
            <w:tcMar>
              <w:top w:w="28" w:type="dxa"/>
              <w:left w:w="28" w:type="dxa"/>
              <w:bottom w:w="28" w:type="dxa"/>
              <w:right w:w="28" w:type="dxa"/>
            </w:tcMar>
            <w:vAlign w:val="center"/>
          </w:tcPr>
          <w:p w14:paraId="5974A9D4">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污染源名称</w:t>
            </w:r>
          </w:p>
        </w:tc>
        <w:tc>
          <w:tcPr>
            <w:tcW w:w="1679" w:type="dxa"/>
            <w:noWrap w:val="0"/>
            <w:tcMar>
              <w:top w:w="28" w:type="dxa"/>
              <w:left w:w="28" w:type="dxa"/>
              <w:bottom w:w="28" w:type="dxa"/>
              <w:right w:w="28" w:type="dxa"/>
            </w:tcMar>
            <w:vAlign w:val="center"/>
          </w:tcPr>
          <w:p w14:paraId="34BB4097">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评价因子</w:t>
            </w:r>
          </w:p>
        </w:tc>
        <w:tc>
          <w:tcPr>
            <w:tcW w:w="1679" w:type="dxa"/>
            <w:noWrap w:val="0"/>
            <w:tcMar>
              <w:top w:w="28" w:type="dxa"/>
              <w:left w:w="28" w:type="dxa"/>
              <w:bottom w:w="28" w:type="dxa"/>
              <w:right w:w="28" w:type="dxa"/>
            </w:tcMar>
            <w:vAlign w:val="center"/>
          </w:tcPr>
          <w:p w14:paraId="5611CAD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评价标准(ug/m</w:t>
            </w:r>
            <w:r>
              <w:rPr>
                <w:rFonts w:hint="default" w:ascii="Times New Roman" w:hAnsi="Times New Roman" w:cs="Times New Roman"/>
                <w:sz w:val="21"/>
                <w:szCs w:val="21"/>
                <w:highlight w:val="none"/>
                <w:vertAlign w:val="superscript"/>
              </w:rPr>
              <w:t>3</w:t>
            </w:r>
            <w:r>
              <w:rPr>
                <w:rFonts w:hint="default" w:ascii="Times New Roman" w:hAnsi="Times New Roman" w:cs="Times New Roman"/>
                <w:sz w:val="21"/>
                <w:szCs w:val="21"/>
                <w:highlight w:val="none"/>
              </w:rPr>
              <w:t>)</w:t>
            </w:r>
          </w:p>
        </w:tc>
        <w:tc>
          <w:tcPr>
            <w:tcW w:w="1680" w:type="dxa"/>
            <w:noWrap w:val="0"/>
            <w:tcMar>
              <w:top w:w="28" w:type="dxa"/>
              <w:left w:w="28" w:type="dxa"/>
              <w:bottom w:w="28" w:type="dxa"/>
              <w:right w:w="28" w:type="dxa"/>
            </w:tcMar>
            <w:vAlign w:val="center"/>
          </w:tcPr>
          <w:p w14:paraId="2296CE92">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Cmax(ug/m</w:t>
            </w:r>
            <w:r>
              <w:rPr>
                <w:rFonts w:hint="default" w:ascii="Times New Roman" w:hAnsi="Times New Roman" w:cs="Times New Roman"/>
                <w:sz w:val="21"/>
                <w:szCs w:val="21"/>
                <w:highlight w:val="none"/>
                <w:vertAlign w:val="superscript"/>
              </w:rPr>
              <w:t>3</w:t>
            </w:r>
            <w:r>
              <w:rPr>
                <w:rFonts w:hint="default" w:ascii="Times New Roman" w:hAnsi="Times New Roman" w:cs="Times New Roman"/>
                <w:sz w:val="21"/>
                <w:szCs w:val="21"/>
                <w:highlight w:val="none"/>
              </w:rPr>
              <w:t>)</w:t>
            </w:r>
          </w:p>
        </w:tc>
        <w:tc>
          <w:tcPr>
            <w:tcW w:w="1679" w:type="dxa"/>
            <w:noWrap w:val="0"/>
            <w:tcMar>
              <w:top w:w="28" w:type="dxa"/>
              <w:left w:w="28" w:type="dxa"/>
              <w:bottom w:w="28" w:type="dxa"/>
              <w:right w:w="28" w:type="dxa"/>
            </w:tcMar>
            <w:vAlign w:val="center"/>
          </w:tcPr>
          <w:p w14:paraId="382AF705">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Pmax(%)</w:t>
            </w:r>
          </w:p>
        </w:tc>
        <w:tc>
          <w:tcPr>
            <w:tcW w:w="1680" w:type="dxa"/>
            <w:noWrap w:val="0"/>
            <w:tcMar>
              <w:top w:w="28" w:type="dxa"/>
              <w:left w:w="28" w:type="dxa"/>
              <w:bottom w:w="28" w:type="dxa"/>
              <w:right w:w="28" w:type="dxa"/>
            </w:tcMar>
            <w:vAlign w:val="center"/>
          </w:tcPr>
          <w:p w14:paraId="1999025B">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D10%(m)</w:t>
            </w:r>
          </w:p>
        </w:tc>
      </w:tr>
      <w:tr w14:paraId="79F80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noWrap w:val="0"/>
            <w:tcMar>
              <w:top w:w="28" w:type="dxa"/>
              <w:left w:w="28" w:type="dxa"/>
              <w:bottom w:w="28" w:type="dxa"/>
              <w:right w:w="28" w:type="dxa"/>
            </w:tcMar>
            <w:vAlign w:val="center"/>
          </w:tcPr>
          <w:p w14:paraId="71A9BB57">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DA001</w:t>
            </w:r>
          </w:p>
        </w:tc>
        <w:tc>
          <w:tcPr>
            <w:tcW w:w="1679" w:type="dxa"/>
            <w:noWrap w:val="0"/>
            <w:tcMar>
              <w:top w:w="28" w:type="dxa"/>
              <w:left w:w="28" w:type="dxa"/>
              <w:bottom w:w="28" w:type="dxa"/>
              <w:right w:w="28" w:type="dxa"/>
            </w:tcMar>
            <w:vAlign w:val="center"/>
          </w:tcPr>
          <w:p w14:paraId="7A528BDF">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p>
        </w:tc>
        <w:tc>
          <w:tcPr>
            <w:tcW w:w="1679" w:type="dxa"/>
            <w:noWrap w:val="0"/>
            <w:tcMar>
              <w:top w:w="28" w:type="dxa"/>
              <w:left w:w="28" w:type="dxa"/>
              <w:bottom w:w="28" w:type="dxa"/>
              <w:right w:w="28" w:type="dxa"/>
            </w:tcMar>
            <w:vAlign w:val="center"/>
          </w:tcPr>
          <w:p w14:paraId="644FC7BD">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eastAsia" w:cs="Times New Roman"/>
                <w:color w:val="000000"/>
                <w:kern w:val="2"/>
                <w:sz w:val="21"/>
                <w:szCs w:val="21"/>
                <w:lang w:val="en-US" w:eastAsia="zh-CN" w:bidi="ar"/>
              </w:rPr>
              <w:t>36</w:t>
            </w:r>
            <w:r>
              <w:rPr>
                <w:rFonts w:hint="default" w:ascii="Times New Roman" w:hAnsi="Times New Roman" w:cs="Times New Roman"/>
                <w:color w:val="000000"/>
                <w:kern w:val="2"/>
                <w:sz w:val="21"/>
                <w:szCs w:val="21"/>
                <w:lang w:bidi="ar"/>
              </w:rPr>
              <w:t>0.0</w:t>
            </w:r>
          </w:p>
        </w:tc>
        <w:tc>
          <w:tcPr>
            <w:tcW w:w="1680" w:type="dxa"/>
            <w:shd w:val="clear" w:color="auto" w:fill="auto"/>
            <w:noWrap w:val="0"/>
            <w:tcMar>
              <w:top w:w="28" w:type="dxa"/>
              <w:left w:w="28" w:type="dxa"/>
              <w:bottom w:w="28" w:type="dxa"/>
              <w:right w:w="28" w:type="dxa"/>
            </w:tcMar>
            <w:vAlign w:val="center"/>
          </w:tcPr>
          <w:p w14:paraId="7F3B6F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b w:val="0"/>
                <w:sz w:val="21"/>
                <w:szCs w:val="21"/>
              </w:rPr>
              <w:t>0.0039</w:t>
            </w:r>
          </w:p>
        </w:tc>
        <w:tc>
          <w:tcPr>
            <w:tcW w:w="1679" w:type="dxa"/>
            <w:shd w:val="clear" w:color="auto" w:fill="auto"/>
            <w:noWrap w:val="0"/>
            <w:tcMar>
              <w:top w:w="28" w:type="dxa"/>
              <w:left w:w="28" w:type="dxa"/>
              <w:bottom w:w="28" w:type="dxa"/>
              <w:right w:w="28" w:type="dxa"/>
            </w:tcMar>
            <w:vAlign w:val="center"/>
          </w:tcPr>
          <w:p w14:paraId="026FE1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b w:val="0"/>
                <w:sz w:val="21"/>
                <w:szCs w:val="21"/>
              </w:rPr>
              <w:t>0.0009</w:t>
            </w:r>
          </w:p>
        </w:tc>
        <w:tc>
          <w:tcPr>
            <w:tcW w:w="1680" w:type="dxa"/>
            <w:shd w:val="clear" w:color="auto" w:fill="auto"/>
            <w:noWrap w:val="0"/>
            <w:tcMar>
              <w:top w:w="28" w:type="dxa"/>
              <w:left w:w="28" w:type="dxa"/>
              <w:bottom w:w="28" w:type="dxa"/>
              <w:right w:w="28" w:type="dxa"/>
            </w:tcMar>
            <w:vAlign w:val="center"/>
          </w:tcPr>
          <w:p w14:paraId="2B932CA9">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w:t>
            </w:r>
          </w:p>
        </w:tc>
      </w:tr>
      <w:tr w14:paraId="56D1F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restart"/>
            <w:noWrap w:val="0"/>
            <w:tcMar>
              <w:top w:w="28" w:type="dxa"/>
              <w:left w:w="28" w:type="dxa"/>
              <w:bottom w:w="28" w:type="dxa"/>
              <w:right w:w="28" w:type="dxa"/>
            </w:tcMar>
            <w:vAlign w:val="center"/>
          </w:tcPr>
          <w:p w14:paraId="203A1FFA">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DA002</w:t>
            </w:r>
          </w:p>
        </w:tc>
        <w:tc>
          <w:tcPr>
            <w:tcW w:w="1679" w:type="dxa"/>
            <w:shd w:val="clear" w:color="auto" w:fill="auto"/>
            <w:noWrap w:val="0"/>
            <w:tcMar>
              <w:top w:w="28" w:type="dxa"/>
              <w:left w:w="28" w:type="dxa"/>
              <w:bottom w:w="28" w:type="dxa"/>
              <w:right w:w="28" w:type="dxa"/>
            </w:tcMar>
            <w:vAlign w:val="center"/>
          </w:tcPr>
          <w:p w14:paraId="507B9E99">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p>
        </w:tc>
        <w:tc>
          <w:tcPr>
            <w:tcW w:w="1679" w:type="dxa"/>
            <w:noWrap w:val="0"/>
            <w:tcMar>
              <w:top w:w="28" w:type="dxa"/>
              <w:left w:w="28" w:type="dxa"/>
              <w:bottom w:w="28" w:type="dxa"/>
              <w:right w:w="28" w:type="dxa"/>
            </w:tcMar>
            <w:vAlign w:val="center"/>
          </w:tcPr>
          <w:p w14:paraId="37D5EDA9">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sz w:val="21"/>
                <w:szCs w:val="21"/>
                <w:highlight w:val="none"/>
              </w:rPr>
            </w:pPr>
            <w:r>
              <w:rPr>
                <w:rFonts w:hint="eastAsia" w:cs="Times New Roman"/>
                <w:color w:val="000000"/>
                <w:kern w:val="2"/>
                <w:sz w:val="21"/>
                <w:szCs w:val="21"/>
                <w:lang w:val="en-US" w:eastAsia="zh-CN" w:bidi="ar"/>
              </w:rPr>
              <w:t>36</w:t>
            </w:r>
            <w:r>
              <w:rPr>
                <w:rFonts w:hint="default" w:ascii="Times New Roman" w:hAnsi="Times New Roman" w:cs="Times New Roman"/>
                <w:color w:val="000000"/>
                <w:kern w:val="2"/>
                <w:sz w:val="21"/>
                <w:szCs w:val="21"/>
                <w:lang w:bidi="ar"/>
              </w:rPr>
              <w:t>0.0</w:t>
            </w:r>
          </w:p>
        </w:tc>
        <w:tc>
          <w:tcPr>
            <w:tcW w:w="1680" w:type="dxa"/>
            <w:noWrap w:val="0"/>
            <w:tcMar>
              <w:top w:w="28" w:type="dxa"/>
              <w:left w:w="28" w:type="dxa"/>
              <w:bottom w:w="28" w:type="dxa"/>
              <w:right w:w="28" w:type="dxa"/>
            </w:tcMar>
            <w:vAlign w:val="center"/>
          </w:tcPr>
          <w:p w14:paraId="598E39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0.0156</w:t>
            </w:r>
          </w:p>
        </w:tc>
        <w:tc>
          <w:tcPr>
            <w:tcW w:w="1679" w:type="dxa"/>
            <w:noWrap w:val="0"/>
            <w:tcMar>
              <w:top w:w="28" w:type="dxa"/>
              <w:left w:w="28" w:type="dxa"/>
              <w:bottom w:w="28" w:type="dxa"/>
              <w:right w:w="28" w:type="dxa"/>
            </w:tcMar>
            <w:vAlign w:val="center"/>
          </w:tcPr>
          <w:p w14:paraId="31C506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0.0035</w:t>
            </w:r>
          </w:p>
        </w:tc>
        <w:tc>
          <w:tcPr>
            <w:tcW w:w="1680" w:type="dxa"/>
            <w:noWrap w:val="0"/>
            <w:tcMar>
              <w:top w:w="28" w:type="dxa"/>
              <w:left w:w="28" w:type="dxa"/>
              <w:bottom w:w="28" w:type="dxa"/>
              <w:right w:w="28" w:type="dxa"/>
            </w:tcMar>
            <w:vAlign w:val="center"/>
          </w:tcPr>
          <w:p w14:paraId="73850F4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5875D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continue"/>
            <w:noWrap w:val="0"/>
            <w:tcMar>
              <w:top w:w="28" w:type="dxa"/>
              <w:left w:w="28" w:type="dxa"/>
              <w:bottom w:w="28" w:type="dxa"/>
              <w:right w:w="28" w:type="dxa"/>
            </w:tcMar>
            <w:vAlign w:val="center"/>
          </w:tcPr>
          <w:p w14:paraId="72433D3A">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p>
        </w:tc>
        <w:tc>
          <w:tcPr>
            <w:tcW w:w="1679" w:type="dxa"/>
            <w:shd w:val="clear" w:color="auto" w:fill="auto"/>
            <w:noWrap w:val="0"/>
            <w:tcMar>
              <w:top w:w="28" w:type="dxa"/>
              <w:left w:w="28" w:type="dxa"/>
              <w:bottom w:w="28" w:type="dxa"/>
              <w:right w:w="28" w:type="dxa"/>
            </w:tcMar>
            <w:vAlign w:val="center"/>
          </w:tcPr>
          <w:p w14:paraId="0E61EE1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NMHC</w:t>
            </w:r>
          </w:p>
        </w:tc>
        <w:tc>
          <w:tcPr>
            <w:tcW w:w="1679" w:type="dxa"/>
            <w:noWrap w:val="0"/>
            <w:tcMar>
              <w:top w:w="28" w:type="dxa"/>
              <w:left w:w="28" w:type="dxa"/>
              <w:bottom w:w="28" w:type="dxa"/>
              <w:right w:w="28" w:type="dxa"/>
            </w:tcMar>
            <w:vAlign w:val="center"/>
          </w:tcPr>
          <w:p w14:paraId="24115399">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rPr>
              <w:t>2000.0</w:t>
            </w:r>
          </w:p>
        </w:tc>
        <w:tc>
          <w:tcPr>
            <w:tcW w:w="1680" w:type="dxa"/>
            <w:noWrap w:val="0"/>
            <w:tcMar>
              <w:top w:w="28" w:type="dxa"/>
              <w:left w:w="28" w:type="dxa"/>
              <w:bottom w:w="28" w:type="dxa"/>
              <w:right w:w="28" w:type="dxa"/>
            </w:tcMar>
            <w:vAlign w:val="center"/>
          </w:tcPr>
          <w:p w14:paraId="64A6D5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0.0188</w:t>
            </w:r>
          </w:p>
        </w:tc>
        <w:tc>
          <w:tcPr>
            <w:tcW w:w="1679" w:type="dxa"/>
            <w:noWrap w:val="0"/>
            <w:tcMar>
              <w:top w:w="28" w:type="dxa"/>
              <w:left w:w="28" w:type="dxa"/>
              <w:bottom w:w="28" w:type="dxa"/>
              <w:right w:w="28" w:type="dxa"/>
            </w:tcMar>
            <w:vAlign w:val="center"/>
          </w:tcPr>
          <w:p w14:paraId="5F2DB5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0.0009</w:t>
            </w:r>
          </w:p>
        </w:tc>
        <w:tc>
          <w:tcPr>
            <w:tcW w:w="1680" w:type="dxa"/>
            <w:noWrap w:val="0"/>
            <w:tcMar>
              <w:top w:w="28" w:type="dxa"/>
              <w:left w:w="28" w:type="dxa"/>
              <w:bottom w:w="28" w:type="dxa"/>
              <w:right w:w="28" w:type="dxa"/>
            </w:tcMar>
            <w:vAlign w:val="center"/>
          </w:tcPr>
          <w:p w14:paraId="57E9E3A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66229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continue"/>
            <w:noWrap w:val="0"/>
            <w:tcMar>
              <w:top w:w="28" w:type="dxa"/>
              <w:left w:w="28" w:type="dxa"/>
              <w:bottom w:w="28" w:type="dxa"/>
              <w:right w:w="28" w:type="dxa"/>
            </w:tcMar>
            <w:vAlign w:val="center"/>
          </w:tcPr>
          <w:p w14:paraId="15BD6A3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p>
        </w:tc>
        <w:tc>
          <w:tcPr>
            <w:tcW w:w="1679" w:type="dxa"/>
            <w:shd w:val="clear" w:color="auto" w:fill="auto"/>
            <w:noWrap w:val="0"/>
            <w:tcMar>
              <w:top w:w="28" w:type="dxa"/>
              <w:left w:w="28" w:type="dxa"/>
              <w:bottom w:w="28" w:type="dxa"/>
              <w:right w:w="28" w:type="dxa"/>
            </w:tcMar>
            <w:vAlign w:val="center"/>
          </w:tcPr>
          <w:p w14:paraId="5C44917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甲醛</w:t>
            </w:r>
          </w:p>
        </w:tc>
        <w:tc>
          <w:tcPr>
            <w:tcW w:w="1679" w:type="dxa"/>
            <w:noWrap w:val="0"/>
            <w:tcMar>
              <w:top w:w="28" w:type="dxa"/>
              <w:left w:w="28" w:type="dxa"/>
              <w:bottom w:w="28" w:type="dxa"/>
              <w:right w:w="28" w:type="dxa"/>
            </w:tcMar>
            <w:vAlign w:val="center"/>
          </w:tcPr>
          <w:p w14:paraId="0DFE17D9">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color w:val="000000"/>
                <w:sz w:val="21"/>
                <w:szCs w:val="21"/>
              </w:rPr>
              <w:t>50.0</w:t>
            </w:r>
          </w:p>
        </w:tc>
        <w:tc>
          <w:tcPr>
            <w:tcW w:w="1680" w:type="dxa"/>
            <w:noWrap w:val="0"/>
            <w:tcMar>
              <w:top w:w="28" w:type="dxa"/>
              <w:left w:w="28" w:type="dxa"/>
              <w:bottom w:w="28" w:type="dxa"/>
              <w:right w:w="28" w:type="dxa"/>
            </w:tcMar>
            <w:vAlign w:val="center"/>
          </w:tcPr>
          <w:p w14:paraId="3FE5AA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0.0012</w:t>
            </w:r>
          </w:p>
        </w:tc>
        <w:tc>
          <w:tcPr>
            <w:tcW w:w="1679" w:type="dxa"/>
            <w:noWrap w:val="0"/>
            <w:tcMar>
              <w:top w:w="28" w:type="dxa"/>
              <w:left w:w="28" w:type="dxa"/>
              <w:bottom w:w="28" w:type="dxa"/>
              <w:right w:w="28" w:type="dxa"/>
            </w:tcMar>
            <w:vAlign w:val="center"/>
          </w:tcPr>
          <w:p w14:paraId="3EFC85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0.0023</w:t>
            </w:r>
          </w:p>
        </w:tc>
        <w:tc>
          <w:tcPr>
            <w:tcW w:w="1680" w:type="dxa"/>
            <w:noWrap w:val="0"/>
            <w:tcMar>
              <w:top w:w="28" w:type="dxa"/>
              <w:left w:w="28" w:type="dxa"/>
              <w:bottom w:w="28" w:type="dxa"/>
              <w:right w:w="28" w:type="dxa"/>
            </w:tcMar>
            <w:vAlign w:val="center"/>
          </w:tcPr>
          <w:p w14:paraId="36277FF8">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127B7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noWrap w:val="0"/>
            <w:tcMar>
              <w:top w:w="28" w:type="dxa"/>
              <w:left w:w="28" w:type="dxa"/>
              <w:bottom w:w="28" w:type="dxa"/>
              <w:right w:w="28" w:type="dxa"/>
            </w:tcMar>
            <w:vAlign w:val="center"/>
          </w:tcPr>
          <w:p w14:paraId="23864F93">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DA00</w:t>
            </w:r>
            <w:r>
              <w:rPr>
                <w:rFonts w:hint="default" w:ascii="Times New Roman" w:hAnsi="Times New Roman" w:cs="Times New Roman"/>
                <w:sz w:val="21"/>
                <w:szCs w:val="21"/>
                <w:highlight w:val="none"/>
                <w:lang w:val="en-US" w:eastAsia="zh-CN"/>
              </w:rPr>
              <w:t>3</w:t>
            </w:r>
          </w:p>
        </w:tc>
        <w:tc>
          <w:tcPr>
            <w:tcW w:w="1679" w:type="dxa"/>
            <w:shd w:val="clear" w:color="auto" w:fill="auto"/>
            <w:noWrap w:val="0"/>
            <w:tcMar>
              <w:top w:w="28" w:type="dxa"/>
              <w:left w:w="28" w:type="dxa"/>
              <w:bottom w:w="28" w:type="dxa"/>
              <w:right w:w="28" w:type="dxa"/>
            </w:tcMar>
            <w:vAlign w:val="center"/>
          </w:tcPr>
          <w:p w14:paraId="59B4726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p>
        </w:tc>
        <w:tc>
          <w:tcPr>
            <w:tcW w:w="1679" w:type="dxa"/>
            <w:shd w:val="clear" w:color="auto" w:fill="auto"/>
            <w:noWrap w:val="0"/>
            <w:tcMar>
              <w:top w:w="28" w:type="dxa"/>
              <w:left w:w="28" w:type="dxa"/>
              <w:bottom w:w="28" w:type="dxa"/>
              <w:right w:w="28" w:type="dxa"/>
            </w:tcMar>
            <w:vAlign w:val="center"/>
          </w:tcPr>
          <w:p w14:paraId="5C21A184">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eastAsia" w:cs="Times New Roman"/>
                <w:color w:val="000000"/>
                <w:kern w:val="2"/>
                <w:sz w:val="21"/>
                <w:szCs w:val="21"/>
                <w:lang w:val="en-US" w:eastAsia="zh-CN" w:bidi="ar"/>
              </w:rPr>
              <w:t>36</w:t>
            </w:r>
            <w:r>
              <w:rPr>
                <w:rFonts w:hint="default" w:ascii="Times New Roman" w:hAnsi="Times New Roman" w:cs="Times New Roman"/>
                <w:color w:val="000000"/>
                <w:kern w:val="2"/>
                <w:sz w:val="21"/>
                <w:szCs w:val="21"/>
                <w:lang w:bidi="ar"/>
              </w:rPr>
              <w:t>0.0</w:t>
            </w:r>
          </w:p>
        </w:tc>
        <w:tc>
          <w:tcPr>
            <w:tcW w:w="1680" w:type="dxa"/>
            <w:shd w:val="clear" w:color="auto" w:fill="auto"/>
            <w:noWrap w:val="0"/>
            <w:tcMar>
              <w:top w:w="28" w:type="dxa"/>
              <w:left w:w="28" w:type="dxa"/>
              <w:bottom w:w="28" w:type="dxa"/>
              <w:right w:w="28" w:type="dxa"/>
            </w:tcMar>
            <w:vAlign w:val="center"/>
          </w:tcPr>
          <w:p w14:paraId="4D541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b w:val="0"/>
                <w:sz w:val="21"/>
                <w:szCs w:val="21"/>
              </w:rPr>
              <w:t>0.0356</w:t>
            </w:r>
          </w:p>
        </w:tc>
        <w:tc>
          <w:tcPr>
            <w:tcW w:w="1679" w:type="dxa"/>
            <w:shd w:val="clear" w:color="auto" w:fill="auto"/>
            <w:noWrap w:val="0"/>
            <w:tcMar>
              <w:top w:w="28" w:type="dxa"/>
              <w:left w:w="28" w:type="dxa"/>
              <w:bottom w:w="28" w:type="dxa"/>
              <w:right w:w="28" w:type="dxa"/>
            </w:tcMar>
            <w:vAlign w:val="center"/>
          </w:tcPr>
          <w:p w14:paraId="4C145F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b w:val="0"/>
                <w:sz w:val="21"/>
                <w:szCs w:val="21"/>
              </w:rPr>
              <w:t>0.0079</w:t>
            </w:r>
          </w:p>
        </w:tc>
        <w:tc>
          <w:tcPr>
            <w:tcW w:w="1680" w:type="dxa"/>
            <w:shd w:val="clear" w:color="auto" w:fill="auto"/>
            <w:noWrap w:val="0"/>
            <w:tcMar>
              <w:top w:w="28" w:type="dxa"/>
              <w:left w:w="28" w:type="dxa"/>
              <w:bottom w:w="28" w:type="dxa"/>
              <w:right w:w="28" w:type="dxa"/>
            </w:tcMar>
            <w:vAlign w:val="center"/>
          </w:tcPr>
          <w:p w14:paraId="542B635E">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w:t>
            </w:r>
          </w:p>
        </w:tc>
      </w:tr>
      <w:tr w14:paraId="2BCB2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shd w:val="clear" w:color="auto" w:fill="auto"/>
            <w:noWrap w:val="0"/>
            <w:tcMar>
              <w:top w:w="28" w:type="dxa"/>
              <w:left w:w="28" w:type="dxa"/>
              <w:bottom w:w="28" w:type="dxa"/>
              <w:right w:w="28" w:type="dxa"/>
            </w:tcMar>
            <w:vAlign w:val="center"/>
          </w:tcPr>
          <w:p w14:paraId="598C7B1B">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sz w:val="21"/>
                <w:szCs w:val="21"/>
                <w:highlight w:val="none"/>
              </w:rPr>
              <w:t>DA00</w:t>
            </w:r>
            <w:r>
              <w:rPr>
                <w:rFonts w:hint="default" w:ascii="Times New Roman" w:hAnsi="Times New Roman" w:cs="Times New Roman"/>
                <w:sz w:val="21"/>
                <w:szCs w:val="21"/>
                <w:highlight w:val="none"/>
                <w:lang w:val="en-US" w:eastAsia="zh-CN"/>
              </w:rPr>
              <w:t>4</w:t>
            </w:r>
          </w:p>
        </w:tc>
        <w:tc>
          <w:tcPr>
            <w:tcW w:w="1679" w:type="dxa"/>
            <w:shd w:val="clear" w:color="auto" w:fill="auto"/>
            <w:noWrap w:val="0"/>
            <w:tcMar>
              <w:top w:w="28" w:type="dxa"/>
              <w:left w:w="28" w:type="dxa"/>
              <w:bottom w:w="28" w:type="dxa"/>
              <w:right w:w="28" w:type="dxa"/>
            </w:tcMar>
            <w:vAlign w:val="center"/>
          </w:tcPr>
          <w:p w14:paraId="5859D94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p>
        </w:tc>
        <w:tc>
          <w:tcPr>
            <w:tcW w:w="1679" w:type="dxa"/>
            <w:shd w:val="clear" w:color="auto" w:fill="auto"/>
            <w:noWrap w:val="0"/>
            <w:tcMar>
              <w:top w:w="28" w:type="dxa"/>
              <w:left w:w="28" w:type="dxa"/>
              <w:bottom w:w="28" w:type="dxa"/>
              <w:right w:w="28" w:type="dxa"/>
            </w:tcMar>
            <w:vAlign w:val="center"/>
          </w:tcPr>
          <w:p w14:paraId="5ACBC5F4">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eastAsia" w:cs="Times New Roman"/>
                <w:color w:val="000000"/>
                <w:kern w:val="2"/>
                <w:sz w:val="21"/>
                <w:szCs w:val="21"/>
                <w:lang w:val="en-US" w:eastAsia="zh-CN" w:bidi="ar"/>
              </w:rPr>
              <w:t>36</w:t>
            </w:r>
            <w:r>
              <w:rPr>
                <w:rFonts w:hint="default" w:ascii="Times New Roman" w:hAnsi="Times New Roman" w:cs="Times New Roman"/>
                <w:color w:val="000000"/>
                <w:kern w:val="2"/>
                <w:sz w:val="21"/>
                <w:szCs w:val="21"/>
                <w:lang w:bidi="ar"/>
              </w:rPr>
              <w:t>0.0</w:t>
            </w:r>
          </w:p>
        </w:tc>
        <w:tc>
          <w:tcPr>
            <w:tcW w:w="1680" w:type="dxa"/>
            <w:shd w:val="clear" w:color="auto" w:fill="auto"/>
            <w:noWrap w:val="0"/>
            <w:tcMar>
              <w:top w:w="28" w:type="dxa"/>
              <w:left w:w="28" w:type="dxa"/>
              <w:bottom w:w="28" w:type="dxa"/>
              <w:right w:w="28" w:type="dxa"/>
            </w:tcMar>
            <w:vAlign w:val="center"/>
          </w:tcPr>
          <w:p w14:paraId="68F7A3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0.0203</w:t>
            </w:r>
          </w:p>
        </w:tc>
        <w:tc>
          <w:tcPr>
            <w:tcW w:w="1679" w:type="dxa"/>
            <w:shd w:val="clear" w:color="auto" w:fill="auto"/>
            <w:noWrap w:val="0"/>
            <w:tcMar>
              <w:top w:w="28" w:type="dxa"/>
              <w:left w:w="28" w:type="dxa"/>
              <w:bottom w:w="28" w:type="dxa"/>
              <w:right w:w="28" w:type="dxa"/>
            </w:tcMar>
            <w:vAlign w:val="center"/>
          </w:tcPr>
          <w:p w14:paraId="1B65CA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0.0045</w:t>
            </w:r>
          </w:p>
        </w:tc>
        <w:tc>
          <w:tcPr>
            <w:tcW w:w="1680" w:type="dxa"/>
            <w:shd w:val="clear" w:color="auto" w:fill="auto"/>
            <w:noWrap w:val="0"/>
            <w:tcMar>
              <w:top w:w="28" w:type="dxa"/>
              <w:left w:w="28" w:type="dxa"/>
              <w:bottom w:w="28" w:type="dxa"/>
              <w:right w:w="28" w:type="dxa"/>
            </w:tcMar>
            <w:vAlign w:val="center"/>
          </w:tcPr>
          <w:p w14:paraId="7936CDF0">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2C1ED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restart"/>
            <w:shd w:val="clear" w:color="auto" w:fill="auto"/>
            <w:noWrap w:val="0"/>
            <w:tcMar>
              <w:top w:w="28" w:type="dxa"/>
              <w:left w:w="28" w:type="dxa"/>
              <w:bottom w:w="28" w:type="dxa"/>
              <w:right w:w="28" w:type="dxa"/>
            </w:tcMar>
            <w:vAlign w:val="center"/>
          </w:tcPr>
          <w:p w14:paraId="1618B2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b w:val="0"/>
                <w:bCs/>
                <w:color w:val="000000"/>
                <w:spacing w:val="-4"/>
                <w:sz w:val="21"/>
                <w:szCs w:val="21"/>
                <w:u w:val="none"/>
                <w:lang w:val="en-US" w:eastAsia="zh-CN"/>
              </w:rPr>
              <w:t>生产车间（M1）</w:t>
            </w:r>
          </w:p>
        </w:tc>
        <w:tc>
          <w:tcPr>
            <w:tcW w:w="1679" w:type="dxa"/>
            <w:shd w:val="clear" w:color="auto" w:fill="auto"/>
            <w:noWrap w:val="0"/>
            <w:tcMar>
              <w:top w:w="28" w:type="dxa"/>
              <w:left w:w="28" w:type="dxa"/>
              <w:bottom w:w="28" w:type="dxa"/>
              <w:right w:w="28" w:type="dxa"/>
            </w:tcMar>
            <w:vAlign w:val="center"/>
          </w:tcPr>
          <w:p w14:paraId="00DB11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TSP</w:t>
            </w:r>
          </w:p>
        </w:tc>
        <w:tc>
          <w:tcPr>
            <w:tcW w:w="1679" w:type="dxa"/>
            <w:shd w:val="clear" w:color="auto" w:fill="auto"/>
            <w:noWrap w:val="0"/>
            <w:tcMar>
              <w:top w:w="28" w:type="dxa"/>
              <w:left w:w="28" w:type="dxa"/>
              <w:bottom w:w="28" w:type="dxa"/>
              <w:right w:w="28" w:type="dxa"/>
            </w:tcMar>
            <w:vAlign w:val="center"/>
          </w:tcPr>
          <w:p w14:paraId="0E4976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kern w:val="2"/>
                <w:sz w:val="21"/>
                <w:szCs w:val="21"/>
                <w:lang w:bidi="ar"/>
              </w:rPr>
            </w:pPr>
            <w:r>
              <w:rPr>
                <w:rFonts w:hint="default" w:ascii="Times New Roman" w:hAnsi="Times New Roman" w:cs="Times New Roman"/>
                <w:color w:val="000000"/>
                <w:sz w:val="21"/>
                <w:szCs w:val="21"/>
              </w:rPr>
              <w:t>900.0</w:t>
            </w:r>
          </w:p>
        </w:tc>
        <w:tc>
          <w:tcPr>
            <w:tcW w:w="1680" w:type="dxa"/>
            <w:shd w:val="clear" w:color="auto" w:fill="auto"/>
            <w:noWrap w:val="0"/>
            <w:tcMar>
              <w:top w:w="28" w:type="dxa"/>
              <w:left w:w="28" w:type="dxa"/>
              <w:bottom w:w="28" w:type="dxa"/>
              <w:right w:w="28" w:type="dxa"/>
            </w:tcMar>
            <w:vAlign w:val="center"/>
          </w:tcPr>
          <w:p w14:paraId="0E23FF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70.5150</w:t>
            </w:r>
          </w:p>
        </w:tc>
        <w:tc>
          <w:tcPr>
            <w:tcW w:w="1679" w:type="dxa"/>
            <w:shd w:val="clear" w:color="auto" w:fill="auto"/>
            <w:noWrap w:val="0"/>
            <w:tcMar>
              <w:top w:w="28" w:type="dxa"/>
              <w:left w:w="28" w:type="dxa"/>
              <w:bottom w:w="28" w:type="dxa"/>
              <w:right w:w="28" w:type="dxa"/>
            </w:tcMar>
            <w:vAlign w:val="center"/>
          </w:tcPr>
          <w:p w14:paraId="45C637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7.8350</w:t>
            </w:r>
          </w:p>
        </w:tc>
        <w:tc>
          <w:tcPr>
            <w:tcW w:w="1680" w:type="dxa"/>
            <w:shd w:val="clear" w:color="auto" w:fill="auto"/>
            <w:noWrap w:val="0"/>
            <w:tcMar>
              <w:top w:w="28" w:type="dxa"/>
              <w:left w:w="28" w:type="dxa"/>
              <w:bottom w:w="28" w:type="dxa"/>
              <w:right w:w="28" w:type="dxa"/>
            </w:tcMar>
            <w:vAlign w:val="center"/>
          </w:tcPr>
          <w:p w14:paraId="38D74C0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252ED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continue"/>
            <w:shd w:val="clear" w:color="auto" w:fill="auto"/>
            <w:noWrap w:val="0"/>
            <w:tcMar>
              <w:top w:w="28" w:type="dxa"/>
              <w:left w:w="28" w:type="dxa"/>
              <w:bottom w:w="28" w:type="dxa"/>
              <w:right w:w="28" w:type="dxa"/>
            </w:tcMar>
            <w:vAlign w:val="center"/>
          </w:tcPr>
          <w:p w14:paraId="6DEA65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p>
        </w:tc>
        <w:tc>
          <w:tcPr>
            <w:tcW w:w="1679" w:type="dxa"/>
            <w:shd w:val="clear" w:color="auto" w:fill="auto"/>
            <w:noWrap w:val="0"/>
            <w:tcMar>
              <w:top w:w="28" w:type="dxa"/>
              <w:left w:w="28" w:type="dxa"/>
              <w:bottom w:w="28" w:type="dxa"/>
              <w:right w:w="28" w:type="dxa"/>
            </w:tcMar>
            <w:vAlign w:val="center"/>
          </w:tcPr>
          <w:p w14:paraId="2262DA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NMHC</w:t>
            </w:r>
          </w:p>
        </w:tc>
        <w:tc>
          <w:tcPr>
            <w:tcW w:w="1679" w:type="dxa"/>
            <w:shd w:val="clear" w:color="auto" w:fill="auto"/>
            <w:noWrap w:val="0"/>
            <w:tcMar>
              <w:top w:w="28" w:type="dxa"/>
              <w:left w:w="28" w:type="dxa"/>
              <w:bottom w:w="28" w:type="dxa"/>
              <w:right w:w="28" w:type="dxa"/>
            </w:tcMar>
            <w:vAlign w:val="center"/>
          </w:tcPr>
          <w:p w14:paraId="7AB181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kern w:val="2"/>
                <w:sz w:val="21"/>
                <w:szCs w:val="21"/>
                <w:lang w:bidi="ar"/>
              </w:rPr>
            </w:pPr>
            <w:r>
              <w:rPr>
                <w:rFonts w:hint="default" w:ascii="Times New Roman" w:hAnsi="Times New Roman" w:eastAsia="宋体" w:cs="Times New Roman"/>
                <w:b w:val="0"/>
                <w:sz w:val="21"/>
                <w:szCs w:val="21"/>
              </w:rPr>
              <w:t>2000.0</w:t>
            </w:r>
          </w:p>
        </w:tc>
        <w:tc>
          <w:tcPr>
            <w:tcW w:w="1680" w:type="dxa"/>
            <w:shd w:val="clear" w:color="auto" w:fill="auto"/>
            <w:noWrap w:val="0"/>
            <w:tcMar>
              <w:top w:w="28" w:type="dxa"/>
              <w:left w:w="28" w:type="dxa"/>
              <w:bottom w:w="28" w:type="dxa"/>
              <w:right w:w="28" w:type="dxa"/>
            </w:tcMar>
            <w:vAlign w:val="center"/>
          </w:tcPr>
          <w:p w14:paraId="679D4E6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54.9602</w:t>
            </w:r>
          </w:p>
        </w:tc>
        <w:tc>
          <w:tcPr>
            <w:tcW w:w="1679" w:type="dxa"/>
            <w:shd w:val="clear" w:color="auto" w:fill="auto"/>
            <w:noWrap w:val="0"/>
            <w:tcMar>
              <w:top w:w="28" w:type="dxa"/>
              <w:left w:w="28" w:type="dxa"/>
              <w:bottom w:w="28" w:type="dxa"/>
              <w:right w:w="28" w:type="dxa"/>
            </w:tcMar>
            <w:vAlign w:val="center"/>
          </w:tcPr>
          <w:p w14:paraId="34B38E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2.7480</w:t>
            </w:r>
          </w:p>
        </w:tc>
        <w:tc>
          <w:tcPr>
            <w:tcW w:w="1680" w:type="dxa"/>
            <w:shd w:val="clear" w:color="auto" w:fill="auto"/>
            <w:noWrap w:val="0"/>
            <w:tcMar>
              <w:top w:w="28" w:type="dxa"/>
              <w:left w:w="28" w:type="dxa"/>
              <w:bottom w:w="28" w:type="dxa"/>
              <w:right w:w="28" w:type="dxa"/>
            </w:tcMar>
            <w:vAlign w:val="center"/>
          </w:tcPr>
          <w:p w14:paraId="7111D199">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4A75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98" w:type="dxa"/>
            <w:vMerge w:val="continue"/>
            <w:shd w:val="clear" w:color="auto" w:fill="auto"/>
            <w:noWrap w:val="0"/>
            <w:tcMar>
              <w:top w:w="28" w:type="dxa"/>
              <w:left w:w="28" w:type="dxa"/>
              <w:bottom w:w="28" w:type="dxa"/>
              <w:right w:w="28" w:type="dxa"/>
            </w:tcMar>
            <w:vAlign w:val="center"/>
          </w:tcPr>
          <w:p w14:paraId="410B83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rPr>
            </w:pPr>
          </w:p>
        </w:tc>
        <w:tc>
          <w:tcPr>
            <w:tcW w:w="1679" w:type="dxa"/>
            <w:shd w:val="clear" w:color="auto" w:fill="auto"/>
            <w:noWrap w:val="0"/>
            <w:tcMar>
              <w:top w:w="28" w:type="dxa"/>
              <w:left w:w="28" w:type="dxa"/>
              <w:bottom w:w="28" w:type="dxa"/>
              <w:right w:w="28" w:type="dxa"/>
            </w:tcMar>
            <w:vAlign w:val="center"/>
          </w:tcPr>
          <w:p w14:paraId="35A1E3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甲醛</w:t>
            </w:r>
          </w:p>
        </w:tc>
        <w:tc>
          <w:tcPr>
            <w:tcW w:w="1679" w:type="dxa"/>
            <w:shd w:val="clear" w:color="auto" w:fill="auto"/>
            <w:noWrap w:val="0"/>
            <w:tcMar>
              <w:top w:w="28" w:type="dxa"/>
              <w:left w:w="28" w:type="dxa"/>
              <w:bottom w:w="28" w:type="dxa"/>
              <w:right w:w="28" w:type="dxa"/>
            </w:tcMar>
            <w:vAlign w:val="center"/>
          </w:tcPr>
          <w:p w14:paraId="6A4FBF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kern w:val="2"/>
                <w:sz w:val="21"/>
                <w:szCs w:val="21"/>
                <w:lang w:bidi="ar"/>
              </w:rPr>
            </w:pPr>
            <w:r>
              <w:rPr>
                <w:rFonts w:hint="default" w:ascii="Times New Roman" w:hAnsi="Times New Roman" w:eastAsia="宋体" w:cs="Times New Roman"/>
                <w:b w:val="0"/>
                <w:sz w:val="21"/>
                <w:szCs w:val="21"/>
              </w:rPr>
              <w:t>50.0</w:t>
            </w:r>
          </w:p>
        </w:tc>
        <w:tc>
          <w:tcPr>
            <w:tcW w:w="1680" w:type="dxa"/>
            <w:shd w:val="clear" w:color="auto" w:fill="auto"/>
            <w:noWrap w:val="0"/>
            <w:tcMar>
              <w:top w:w="28" w:type="dxa"/>
              <w:left w:w="28" w:type="dxa"/>
              <w:bottom w:w="28" w:type="dxa"/>
              <w:right w:w="28" w:type="dxa"/>
            </w:tcMar>
            <w:vAlign w:val="center"/>
          </w:tcPr>
          <w:p w14:paraId="745940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3.6294</w:t>
            </w:r>
          </w:p>
        </w:tc>
        <w:tc>
          <w:tcPr>
            <w:tcW w:w="1679" w:type="dxa"/>
            <w:shd w:val="clear" w:color="auto" w:fill="auto"/>
            <w:noWrap w:val="0"/>
            <w:tcMar>
              <w:top w:w="28" w:type="dxa"/>
              <w:left w:w="28" w:type="dxa"/>
              <w:bottom w:w="28" w:type="dxa"/>
              <w:right w:w="28" w:type="dxa"/>
            </w:tcMar>
            <w:vAlign w:val="center"/>
          </w:tcPr>
          <w:p w14:paraId="22F7F3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rPr>
              <w:t>7.2589</w:t>
            </w:r>
          </w:p>
        </w:tc>
        <w:tc>
          <w:tcPr>
            <w:tcW w:w="1680" w:type="dxa"/>
            <w:shd w:val="clear" w:color="auto" w:fill="auto"/>
            <w:noWrap w:val="0"/>
            <w:tcMar>
              <w:top w:w="28" w:type="dxa"/>
              <w:left w:w="28" w:type="dxa"/>
              <w:bottom w:w="28" w:type="dxa"/>
              <w:right w:w="28" w:type="dxa"/>
            </w:tcMar>
            <w:vAlign w:val="center"/>
          </w:tcPr>
          <w:p w14:paraId="32635B96">
            <w:pPr>
              <w:pStyle w:val="33"/>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bl>
    <w:p w14:paraId="7E6546ED">
      <w:pPr>
        <w:snapToGrid w:val="0"/>
        <w:spacing w:line="440" w:lineRule="exact"/>
        <w:ind w:firstLine="480" w:firstLineChars="200"/>
        <w:jc w:val="left"/>
        <w:rPr>
          <w:snapToGrid w:val="0"/>
          <w:kern w:val="0"/>
          <w:sz w:val="24"/>
        </w:rPr>
      </w:pPr>
      <w:r>
        <w:rPr>
          <w:snapToGrid w:val="0"/>
          <w:kern w:val="0"/>
          <w:sz w:val="24"/>
        </w:rPr>
        <w:t>由上表可知，本项目P</w:t>
      </w:r>
      <w:r>
        <w:rPr>
          <w:snapToGrid w:val="0"/>
          <w:kern w:val="0"/>
          <w:sz w:val="24"/>
          <w:vertAlign w:val="subscript"/>
        </w:rPr>
        <w:t>max</w:t>
      </w:r>
      <w:r>
        <w:rPr>
          <w:snapToGrid w:val="0"/>
          <w:kern w:val="0"/>
          <w:sz w:val="24"/>
        </w:rPr>
        <w:t>最大值出现为矩形面源排放的TSP</w:t>
      </w:r>
      <w:r>
        <w:rPr>
          <w:rFonts w:hint="eastAsia"/>
          <w:snapToGrid w:val="0"/>
          <w:kern w:val="0"/>
          <w:sz w:val="24"/>
          <w:lang w:eastAsia="zh-CN"/>
        </w:rPr>
        <w:t>，</w:t>
      </w:r>
      <w:r>
        <w:rPr>
          <w:snapToGrid w:val="0"/>
          <w:kern w:val="0"/>
          <w:sz w:val="24"/>
        </w:rPr>
        <w:t>P</w:t>
      </w:r>
      <w:r>
        <w:rPr>
          <w:snapToGrid w:val="0"/>
          <w:kern w:val="0"/>
          <w:sz w:val="24"/>
          <w:vertAlign w:val="subscript"/>
        </w:rPr>
        <w:t>max</w:t>
      </w:r>
      <w:r>
        <w:rPr>
          <w:snapToGrid w:val="0"/>
          <w:kern w:val="0"/>
          <w:sz w:val="24"/>
        </w:rPr>
        <w:t>=7.835%，小于10%，根据大气环境评价工作等级划分依据可知，项目大气环境评价等级为二级。</w:t>
      </w:r>
      <w:bookmarkStart w:id="114" w:name="_Toc161600295"/>
    </w:p>
    <w:p w14:paraId="222692EF">
      <w:pPr>
        <w:pStyle w:val="4"/>
        <w:bidi w:val="0"/>
        <w:rPr>
          <w:rFonts w:hint="default"/>
        </w:rPr>
      </w:pPr>
      <w:bookmarkStart w:id="115" w:name="_Toc22348"/>
      <w:bookmarkStart w:id="116" w:name="_Toc26422"/>
      <w:r>
        <w:rPr>
          <w:rFonts w:hint="default"/>
          <w:lang w:val="en-US" w:eastAsia="zh-CN"/>
        </w:rPr>
        <w:t>1.4.3.</w:t>
      </w:r>
      <w:r>
        <w:rPr>
          <w:rFonts w:hint="default"/>
        </w:rPr>
        <w:t>评价范围</w:t>
      </w:r>
      <w:bookmarkEnd w:id="114"/>
      <w:bookmarkEnd w:id="115"/>
      <w:bookmarkEnd w:id="116"/>
    </w:p>
    <w:p w14:paraId="1CBEB95D">
      <w:pPr>
        <w:bidi w:val="0"/>
        <w:rPr>
          <w:rFonts w:hint="default"/>
        </w:rPr>
      </w:pPr>
      <w:r>
        <w:rPr>
          <w:rFonts w:hint="default"/>
        </w:rPr>
        <w:t>依据《环境影响评价技术导则 大气环境》（HJ2.2-2018），确定项目大气环境影响评价范围为以大气污染源为中心、边长为5km的矩形区域。</w:t>
      </w:r>
    </w:p>
    <w:p w14:paraId="0CF81614">
      <w:pPr>
        <w:pStyle w:val="4"/>
        <w:bidi w:val="0"/>
        <w:rPr>
          <w:rFonts w:hint="default"/>
        </w:rPr>
      </w:pPr>
      <w:bookmarkStart w:id="117" w:name="_Toc161600296"/>
      <w:bookmarkStart w:id="118" w:name="_Toc32638"/>
      <w:bookmarkStart w:id="119" w:name="_Toc32496"/>
      <w:r>
        <w:rPr>
          <w:rFonts w:hint="default"/>
          <w:lang w:val="en-US" w:eastAsia="zh-CN"/>
        </w:rPr>
        <w:t>1.4.4.</w:t>
      </w:r>
      <w:r>
        <w:rPr>
          <w:rFonts w:hint="default"/>
        </w:rPr>
        <w:t>评价时段</w:t>
      </w:r>
      <w:bookmarkEnd w:id="117"/>
      <w:bookmarkEnd w:id="118"/>
      <w:bookmarkEnd w:id="119"/>
    </w:p>
    <w:p w14:paraId="41B0FD58">
      <w:pPr>
        <w:bidi w:val="0"/>
        <w:rPr>
          <w:rFonts w:hint="default"/>
        </w:rPr>
      </w:pPr>
      <w:r>
        <w:rPr>
          <w:rFonts w:hint="default"/>
        </w:rPr>
        <w:t>项目属于</w:t>
      </w:r>
      <w:r>
        <w:rPr>
          <w:rFonts w:hint="eastAsia"/>
          <w:lang w:val="en-US" w:eastAsia="zh-CN"/>
        </w:rPr>
        <w:t>新</w:t>
      </w:r>
      <w:r>
        <w:rPr>
          <w:rFonts w:hint="default"/>
        </w:rPr>
        <w:t>建项目，</w:t>
      </w:r>
      <w:r>
        <w:rPr>
          <w:rFonts w:hint="eastAsia"/>
          <w:lang w:val="en-US" w:eastAsia="zh-CN"/>
        </w:rPr>
        <w:t>租赁厂房进行建设，</w:t>
      </w:r>
      <w:r>
        <w:rPr>
          <w:rFonts w:hint="default"/>
        </w:rPr>
        <w:t>基本没有土建施工，本次评价时段主要为运营期。</w:t>
      </w:r>
    </w:p>
    <w:p w14:paraId="15A45C20">
      <w:pPr>
        <w:pStyle w:val="3"/>
        <w:bidi w:val="0"/>
        <w:rPr>
          <w:rFonts w:hint="default" w:ascii="Times New Roman" w:hAnsi="Times New Roman" w:eastAsia="宋体" w:cs="Times New Roman"/>
          <w:sz w:val="30"/>
        </w:rPr>
      </w:pPr>
      <w:bookmarkStart w:id="120" w:name="_Toc7468"/>
      <w:bookmarkStart w:id="121" w:name="_Toc161600297"/>
      <w:bookmarkStart w:id="122" w:name="_Toc783"/>
      <w:r>
        <w:rPr>
          <w:rFonts w:hint="default" w:ascii="Times New Roman" w:hAnsi="Times New Roman" w:eastAsia="黑体" w:cs="Times New Roman"/>
          <w:b/>
          <w:i w:val="0"/>
          <w:caps w:val="0"/>
          <w:strike w:val="0"/>
          <w:dstrike w:val="0"/>
          <w:vanish w:val="0"/>
          <w:kern w:val="2"/>
          <w:sz w:val="30"/>
          <w:szCs w:val="30"/>
          <w:vertAlign w:val="baseline"/>
          <w:lang w:val="en-US" w:eastAsia="zh-CN" w:bidi="ar-SA"/>
        </w:rPr>
        <w:t>1.5.</w:t>
      </w:r>
      <w:r>
        <w:rPr>
          <w:rFonts w:hint="default" w:ascii="Times New Roman" w:hAnsi="Times New Roman" w:eastAsia="宋体" w:cs="Times New Roman"/>
          <w:sz w:val="30"/>
        </w:rPr>
        <w:t>评价标准</w:t>
      </w:r>
      <w:bookmarkEnd w:id="120"/>
      <w:bookmarkEnd w:id="121"/>
      <w:bookmarkEnd w:id="122"/>
    </w:p>
    <w:p w14:paraId="32680BB8">
      <w:pPr>
        <w:pStyle w:val="4"/>
        <w:bidi w:val="0"/>
        <w:rPr>
          <w:rFonts w:hint="default"/>
        </w:rPr>
      </w:pPr>
      <w:bookmarkStart w:id="123" w:name="_Toc14468"/>
      <w:bookmarkStart w:id="124" w:name="_Toc161600298"/>
      <w:bookmarkStart w:id="125" w:name="_Toc17601"/>
      <w:bookmarkStart w:id="126" w:name="_Toc93766419"/>
      <w:r>
        <w:rPr>
          <w:rFonts w:hint="default"/>
          <w:lang w:val="en-US" w:eastAsia="zh-CN"/>
        </w:rPr>
        <w:t>1.5.1.</w:t>
      </w:r>
      <w:r>
        <w:rPr>
          <w:rFonts w:hint="default"/>
        </w:rPr>
        <w:t>环境空气质量标准</w:t>
      </w:r>
      <w:bookmarkEnd w:id="123"/>
      <w:bookmarkEnd w:id="124"/>
      <w:bookmarkEnd w:id="125"/>
      <w:bookmarkEnd w:id="126"/>
    </w:p>
    <w:p w14:paraId="4C26B1B4">
      <w:pPr>
        <w:bidi w:val="0"/>
      </w:pPr>
      <w:r>
        <w:t>项目所在区域环境空气质量功能区划为二类区，</w:t>
      </w:r>
      <w:r>
        <w:rPr>
          <w:rFonts w:hint="default"/>
        </w:rPr>
        <w:t>SO</w:t>
      </w:r>
      <w:r>
        <w:rPr>
          <w:rFonts w:hint="default"/>
          <w:vertAlign w:val="subscript"/>
        </w:rPr>
        <w:t>2</w:t>
      </w:r>
      <w:r>
        <w:rPr>
          <w:rFonts w:hint="default"/>
        </w:rPr>
        <w:t>、NO</w:t>
      </w:r>
      <w:r>
        <w:rPr>
          <w:rFonts w:hint="default"/>
          <w:vertAlign w:val="subscript"/>
        </w:rPr>
        <w:t>2</w:t>
      </w:r>
      <w:r>
        <w:rPr>
          <w:rFonts w:hint="default"/>
        </w:rPr>
        <w:t>、PM</w:t>
      </w:r>
      <w:r>
        <w:rPr>
          <w:rFonts w:hint="default"/>
          <w:vertAlign w:val="subscript"/>
        </w:rPr>
        <w:t>10</w:t>
      </w:r>
      <w:r>
        <w:rPr>
          <w:rFonts w:hint="default"/>
        </w:rPr>
        <w:t>、PM</w:t>
      </w:r>
      <w:r>
        <w:rPr>
          <w:rFonts w:hint="default"/>
          <w:vertAlign w:val="subscript"/>
        </w:rPr>
        <w:t>2.5</w:t>
      </w:r>
      <w:r>
        <w:rPr>
          <w:rFonts w:hint="default"/>
        </w:rPr>
        <w:t>、O</w:t>
      </w:r>
      <w:r>
        <w:rPr>
          <w:rFonts w:hint="default"/>
          <w:vertAlign w:val="subscript"/>
        </w:rPr>
        <w:t>3</w:t>
      </w:r>
      <w:r>
        <w:rPr>
          <w:rFonts w:hint="default"/>
        </w:rPr>
        <w:t>、CO、TSP</w:t>
      </w:r>
      <w:r>
        <w:t>执行</w:t>
      </w:r>
      <w:r>
        <w:rPr>
          <w:rFonts w:hint="eastAsia"/>
          <w:lang w:eastAsia="zh-CN"/>
        </w:rPr>
        <w:t>《环境空气质量标准》（GB3095-2026）中的过渡阶段二级</w:t>
      </w:r>
      <w:r>
        <w:t>标准，甲醛执行《环境影响评价技术导则 大气环境》（HJ2.2-2018）中附录D表D.1其他污染物空气质量浓度参考限值，</w:t>
      </w:r>
      <w:r>
        <w:rPr>
          <w:rFonts w:hint="eastAsia"/>
        </w:rPr>
        <w:t>非甲烷总烃执行《大气污染物综合排放标准详解》（国家环境保护局科技标准司）中要求，</w:t>
      </w:r>
      <w:r>
        <w:t>具体标准值见下表。</w:t>
      </w:r>
    </w:p>
    <w:p w14:paraId="290CD4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 xml:space="preserve">表1.5-1 </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环境空气质量标准</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8"/>
        <w:gridCol w:w="3318"/>
        <w:gridCol w:w="3319"/>
      </w:tblGrid>
      <w:tr w14:paraId="2BEC9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318" w:type="dxa"/>
            <w:vAlign w:val="center"/>
          </w:tcPr>
          <w:p w14:paraId="1C578D28">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sz w:val="21"/>
                <w:szCs w:val="21"/>
              </w:rPr>
              <w:t>评价因子</w:t>
            </w:r>
          </w:p>
        </w:tc>
        <w:tc>
          <w:tcPr>
            <w:tcW w:w="3318" w:type="dxa"/>
            <w:vAlign w:val="center"/>
          </w:tcPr>
          <w:p w14:paraId="5EEE810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sz w:val="21"/>
                <w:szCs w:val="21"/>
              </w:rPr>
              <w:t>平均时段</w:t>
            </w:r>
          </w:p>
        </w:tc>
        <w:tc>
          <w:tcPr>
            <w:tcW w:w="3319" w:type="dxa"/>
            <w:vAlign w:val="center"/>
          </w:tcPr>
          <w:p w14:paraId="37D9B6B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sz w:val="21"/>
                <w:szCs w:val="21"/>
              </w:rPr>
              <w:t>标准值（ug/m</w:t>
            </w:r>
            <w:r>
              <w:rPr>
                <w:sz w:val="21"/>
                <w:szCs w:val="21"/>
                <w:vertAlign w:val="superscript"/>
              </w:rPr>
              <w:t>3</w:t>
            </w:r>
            <w:r>
              <w:rPr>
                <w:sz w:val="21"/>
                <w:szCs w:val="21"/>
              </w:rPr>
              <w:t>）</w:t>
            </w:r>
          </w:p>
        </w:tc>
      </w:tr>
      <w:tr w14:paraId="70485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vAlign w:val="center"/>
          </w:tcPr>
          <w:p w14:paraId="79131B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rPr>
            </w:pPr>
            <w:r>
              <w:rPr>
                <w:sz w:val="21"/>
                <w:szCs w:val="21"/>
              </w:rPr>
              <w:t>SO</w:t>
            </w:r>
            <w:r>
              <w:rPr>
                <w:sz w:val="21"/>
                <w:szCs w:val="21"/>
                <w:vertAlign w:val="subscript"/>
              </w:rPr>
              <w:t>2</w:t>
            </w:r>
          </w:p>
        </w:tc>
        <w:tc>
          <w:tcPr>
            <w:tcW w:w="3318" w:type="dxa"/>
            <w:vAlign w:val="center"/>
          </w:tcPr>
          <w:p w14:paraId="2C7072B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年平均</w:t>
            </w:r>
          </w:p>
        </w:tc>
        <w:tc>
          <w:tcPr>
            <w:tcW w:w="3319" w:type="dxa"/>
            <w:vAlign w:val="center"/>
          </w:tcPr>
          <w:p w14:paraId="299B5448">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60</w:t>
            </w:r>
          </w:p>
        </w:tc>
      </w:tr>
      <w:tr w14:paraId="10854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0C7B16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rPr>
            </w:pPr>
          </w:p>
        </w:tc>
        <w:tc>
          <w:tcPr>
            <w:tcW w:w="3318" w:type="dxa"/>
            <w:vAlign w:val="center"/>
          </w:tcPr>
          <w:p w14:paraId="14B565EC">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24小时平均</w:t>
            </w:r>
          </w:p>
        </w:tc>
        <w:tc>
          <w:tcPr>
            <w:tcW w:w="3319" w:type="dxa"/>
            <w:vAlign w:val="center"/>
          </w:tcPr>
          <w:p w14:paraId="2315BEF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150</w:t>
            </w:r>
          </w:p>
        </w:tc>
      </w:tr>
      <w:tr w14:paraId="08007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76ECC3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rPr>
            </w:pPr>
          </w:p>
        </w:tc>
        <w:tc>
          <w:tcPr>
            <w:tcW w:w="3318" w:type="dxa"/>
            <w:vAlign w:val="center"/>
          </w:tcPr>
          <w:p w14:paraId="276A1EC8">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1小时平均</w:t>
            </w:r>
          </w:p>
        </w:tc>
        <w:tc>
          <w:tcPr>
            <w:tcW w:w="3319" w:type="dxa"/>
            <w:vAlign w:val="center"/>
          </w:tcPr>
          <w:p w14:paraId="120D384A">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500</w:t>
            </w:r>
          </w:p>
        </w:tc>
      </w:tr>
      <w:tr w14:paraId="54D7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vAlign w:val="center"/>
          </w:tcPr>
          <w:p w14:paraId="44D7BBE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NO</w:t>
            </w:r>
            <w:r>
              <w:rPr>
                <w:vertAlign w:val="subscript"/>
              </w:rPr>
              <w:t>2</w:t>
            </w:r>
          </w:p>
        </w:tc>
        <w:tc>
          <w:tcPr>
            <w:tcW w:w="3318" w:type="dxa"/>
            <w:vAlign w:val="center"/>
          </w:tcPr>
          <w:p w14:paraId="689B3EA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年平均</w:t>
            </w:r>
          </w:p>
        </w:tc>
        <w:tc>
          <w:tcPr>
            <w:tcW w:w="3319" w:type="dxa"/>
            <w:vAlign w:val="center"/>
          </w:tcPr>
          <w:p w14:paraId="438E8D4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40</w:t>
            </w:r>
          </w:p>
        </w:tc>
      </w:tr>
      <w:tr w14:paraId="3CCE1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215A4E65">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49073569">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24小时平均</w:t>
            </w:r>
          </w:p>
        </w:tc>
        <w:tc>
          <w:tcPr>
            <w:tcW w:w="3319" w:type="dxa"/>
            <w:vAlign w:val="center"/>
          </w:tcPr>
          <w:p w14:paraId="2F060C6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80</w:t>
            </w:r>
          </w:p>
        </w:tc>
      </w:tr>
      <w:tr w14:paraId="28BA8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0DDEF82B">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2C3653F8">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1小时平均</w:t>
            </w:r>
          </w:p>
        </w:tc>
        <w:tc>
          <w:tcPr>
            <w:tcW w:w="3319" w:type="dxa"/>
            <w:vAlign w:val="center"/>
          </w:tcPr>
          <w:p w14:paraId="743AF765">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pPr>
            <w:r>
              <w:t>200</w:t>
            </w:r>
          </w:p>
        </w:tc>
      </w:tr>
      <w:tr w14:paraId="1AB9D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vAlign w:val="center"/>
          </w:tcPr>
          <w:p w14:paraId="4C8F727B">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PM</w:t>
            </w:r>
            <w:r>
              <w:rPr>
                <w:vertAlign w:val="subscript"/>
              </w:rPr>
              <w:t>10</w:t>
            </w:r>
          </w:p>
        </w:tc>
        <w:tc>
          <w:tcPr>
            <w:tcW w:w="3318" w:type="dxa"/>
            <w:vAlign w:val="center"/>
          </w:tcPr>
          <w:p w14:paraId="496C1F51">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年平均</w:t>
            </w:r>
          </w:p>
        </w:tc>
        <w:tc>
          <w:tcPr>
            <w:tcW w:w="3319" w:type="dxa"/>
            <w:vAlign w:val="center"/>
          </w:tcPr>
          <w:p w14:paraId="56A4E72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sz w:val="21"/>
                <w:szCs w:val="21"/>
                <w:vertAlign w:val="baseline"/>
                <w:lang w:val="en-US" w:eastAsia="zh-CN"/>
              </w:rPr>
            </w:pPr>
            <w:r>
              <w:rPr>
                <w:rFonts w:hint="eastAsia"/>
                <w:lang w:val="en-US" w:eastAsia="zh-CN"/>
              </w:rPr>
              <w:t>60</w:t>
            </w:r>
          </w:p>
        </w:tc>
      </w:tr>
      <w:tr w14:paraId="5B80A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2C1CDF4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0E7A8B32">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24小时平均</w:t>
            </w:r>
          </w:p>
        </w:tc>
        <w:tc>
          <w:tcPr>
            <w:tcW w:w="3319" w:type="dxa"/>
            <w:vAlign w:val="center"/>
          </w:tcPr>
          <w:p w14:paraId="1307109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sz w:val="21"/>
                <w:szCs w:val="21"/>
                <w:vertAlign w:val="baseline"/>
                <w:lang w:val="en-US" w:eastAsia="zh-CN"/>
              </w:rPr>
            </w:pPr>
            <w:r>
              <w:rPr>
                <w:rFonts w:hint="eastAsia"/>
                <w:lang w:val="en-US" w:eastAsia="zh-CN"/>
              </w:rPr>
              <w:t>120</w:t>
            </w:r>
          </w:p>
        </w:tc>
      </w:tr>
      <w:tr w14:paraId="2AA88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318" w:type="dxa"/>
            <w:vMerge w:val="restart"/>
            <w:vAlign w:val="center"/>
          </w:tcPr>
          <w:p w14:paraId="67CF2DAC">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PM</w:t>
            </w:r>
            <w:r>
              <w:rPr>
                <w:vertAlign w:val="subscript"/>
              </w:rPr>
              <w:t>2.5</w:t>
            </w:r>
          </w:p>
        </w:tc>
        <w:tc>
          <w:tcPr>
            <w:tcW w:w="3318" w:type="dxa"/>
            <w:vAlign w:val="center"/>
          </w:tcPr>
          <w:p w14:paraId="30731EC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年平均</w:t>
            </w:r>
          </w:p>
        </w:tc>
        <w:tc>
          <w:tcPr>
            <w:tcW w:w="3319" w:type="dxa"/>
            <w:vAlign w:val="center"/>
          </w:tcPr>
          <w:p w14:paraId="7AA2A193">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sz w:val="21"/>
                <w:szCs w:val="21"/>
                <w:vertAlign w:val="baseline"/>
                <w:lang w:val="en-US" w:eastAsia="zh-CN"/>
              </w:rPr>
            </w:pPr>
            <w:r>
              <w:rPr>
                <w:rFonts w:hint="eastAsia"/>
                <w:lang w:val="en-US" w:eastAsia="zh-CN"/>
              </w:rPr>
              <w:t>30</w:t>
            </w:r>
          </w:p>
        </w:tc>
      </w:tr>
      <w:tr w14:paraId="318EE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33612C1C">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15C5686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24小时平均</w:t>
            </w:r>
          </w:p>
        </w:tc>
        <w:tc>
          <w:tcPr>
            <w:tcW w:w="3319" w:type="dxa"/>
            <w:vAlign w:val="center"/>
          </w:tcPr>
          <w:p w14:paraId="6A063C03">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eastAsia="宋体"/>
                <w:sz w:val="21"/>
                <w:szCs w:val="21"/>
                <w:vertAlign w:val="baseline"/>
                <w:lang w:val="en-US" w:eastAsia="zh-CN"/>
              </w:rPr>
            </w:pPr>
            <w:r>
              <w:rPr>
                <w:rFonts w:hint="eastAsia"/>
                <w:lang w:val="en-US" w:eastAsia="zh-CN"/>
              </w:rPr>
              <w:t>60</w:t>
            </w:r>
          </w:p>
        </w:tc>
      </w:tr>
      <w:tr w14:paraId="117E5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vAlign w:val="center"/>
          </w:tcPr>
          <w:p w14:paraId="498B3A3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O</w:t>
            </w:r>
            <w:r>
              <w:rPr>
                <w:vertAlign w:val="subscript"/>
              </w:rPr>
              <w:t>3</w:t>
            </w:r>
          </w:p>
        </w:tc>
        <w:tc>
          <w:tcPr>
            <w:tcW w:w="3318" w:type="dxa"/>
            <w:vAlign w:val="center"/>
          </w:tcPr>
          <w:p w14:paraId="22AB770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日最大8小平均值</w:t>
            </w:r>
          </w:p>
        </w:tc>
        <w:tc>
          <w:tcPr>
            <w:tcW w:w="3319" w:type="dxa"/>
            <w:vAlign w:val="center"/>
          </w:tcPr>
          <w:p w14:paraId="73B222B3">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160</w:t>
            </w:r>
          </w:p>
        </w:tc>
      </w:tr>
      <w:tr w14:paraId="16136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1B4239A2">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00694DB5">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1小时平均</w:t>
            </w:r>
          </w:p>
        </w:tc>
        <w:tc>
          <w:tcPr>
            <w:tcW w:w="3319" w:type="dxa"/>
            <w:vAlign w:val="center"/>
          </w:tcPr>
          <w:p w14:paraId="471FCA2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200</w:t>
            </w:r>
          </w:p>
        </w:tc>
      </w:tr>
      <w:tr w14:paraId="5AE1E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318" w:type="dxa"/>
            <w:vMerge w:val="restart"/>
            <w:vAlign w:val="center"/>
          </w:tcPr>
          <w:p w14:paraId="790E834A">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CO</w:t>
            </w:r>
          </w:p>
        </w:tc>
        <w:tc>
          <w:tcPr>
            <w:tcW w:w="3318" w:type="dxa"/>
            <w:vAlign w:val="center"/>
          </w:tcPr>
          <w:p w14:paraId="43BFDA05">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24小时平均</w:t>
            </w:r>
          </w:p>
        </w:tc>
        <w:tc>
          <w:tcPr>
            <w:tcW w:w="3319" w:type="dxa"/>
            <w:vAlign w:val="center"/>
          </w:tcPr>
          <w:p w14:paraId="315892D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4</w:t>
            </w:r>
            <w:r>
              <w:rPr>
                <w:rFonts w:hint="eastAsia"/>
                <w:lang w:val="en-US" w:eastAsia="zh-CN"/>
              </w:rPr>
              <w:t>000</w:t>
            </w:r>
          </w:p>
        </w:tc>
      </w:tr>
      <w:tr w14:paraId="08CB4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37CFE195">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0EF31B08">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1小时平均</w:t>
            </w:r>
          </w:p>
        </w:tc>
        <w:tc>
          <w:tcPr>
            <w:tcW w:w="3319" w:type="dxa"/>
            <w:vAlign w:val="center"/>
          </w:tcPr>
          <w:p w14:paraId="14ABB092">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10</w:t>
            </w:r>
            <w:r>
              <w:rPr>
                <w:rFonts w:hint="eastAsia"/>
                <w:lang w:val="en-US" w:eastAsia="zh-CN"/>
              </w:rPr>
              <w:t>000</w:t>
            </w:r>
          </w:p>
        </w:tc>
      </w:tr>
      <w:tr w14:paraId="0D96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vAlign w:val="center"/>
          </w:tcPr>
          <w:p w14:paraId="08E66B7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TSP</w:t>
            </w:r>
          </w:p>
        </w:tc>
        <w:tc>
          <w:tcPr>
            <w:tcW w:w="3318" w:type="dxa"/>
            <w:vAlign w:val="center"/>
          </w:tcPr>
          <w:p w14:paraId="407EF81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年平均</w:t>
            </w:r>
          </w:p>
        </w:tc>
        <w:tc>
          <w:tcPr>
            <w:tcW w:w="3319" w:type="dxa"/>
            <w:vAlign w:val="center"/>
          </w:tcPr>
          <w:p w14:paraId="5ACD135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200</w:t>
            </w:r>
          </w:p>
        </w:tc>
      </w:tr>
      <w:tr w14:paraId="132AD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vAlign w:val="center"/>
          </w:tcPr>
          <w:p w14:paraId="4DDAD4E9">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p>
        </w:tc>
        <w:tc>
          <w:tcPr>
            <w:tcW w:w="3318" w:type="dxa"/>
            <w:vAlign w:val="center"/>
          </w:tcPr>
          <w:p w14:paraId="0E133FD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24小时平均</w:t>
            </w:r>
          </w:p>
        </w:tc>
        <w:tc>
          <w:tcPr>
            <w:tcW w:w="3319" w:type="dxa"/>
            <w:vAlign w:val="center"/>
          </w:tcPr>
          <w:p w14:paraId="36AA175A">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300</w:t>
            </w:r>
          </w:p>
        </w:tc>
      </w:tr>
      <w:tr w14:paraId="45538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Align w:val="center"/>
          </w:tcPr>
          <w:p w14:paraId="55747B91">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甲醛</w:t>
            </w:r>
          </w:p>
        </w:tc>
        <w:tc>
          <w:tcPr>
            <w:tcW w:w="3318" w:type="dxa"/>
            <w:vAlign w:val="center"/>
          </w:tcPr>
          <w:p w14:paraId="3E5F8962">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1小时平均</w:t>
            </w:r>
          </w:p>
        </w:tc>
        <w:tc>
          <w:tcPr>
            <w:tcW w:w="3319" w:type="dxa"/>
            <w:vAlign w:val="center"/>
          </w:tcPr>
          <w:p w14:paraId="3BBE913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t>50</w:t>
            </w:r>
          </w:p>
        </w:tc>
      </w:tr>
      <w:tr w14:paraId="308D9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Align w:val="center"/>
          </w:tcPr>
          <w:p w14:paraId="6CDEE1F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rFonts w:hint="eastAsia"/>
              </w:rPr>
              <w:t>非甲烷总烃</w:t>
            </w:r>
          </w:p>
        </w:tc>
        <w:tc>
          <w:tcPr>
            <w:tcW w:w="3318" w:type="dxa"/>
            <w:vAlign w:val="center"/>
          </w:tcPr>
          <w:p w14:paraId="25B908ED">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rFonts w:hint="eastAsia"/>
              </w:rPr>
              <w:t>小时平均</w:t>
            </w:r>
          </w:p>
        </w:tc>
        <w:tc>
          <w:tcPr>
            <w:tcW w:w="3319" w:type="dxa"/>
            <w:vAlign w:val="center"/>
          </w:tcPr>
          <w:p w14:paraId="6AFA90A2">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sz w:val="21"/>
                <w:szCs w:val="21"/>
                <w:vertAlign w:val="baseline"/>
              </w:rPr>
            </w:pPr>
            <w:r>
              <w:rPr>
                <w:rFonts w:hint="eastAsia"/>
                <w:lang w:val="en-US" w:eastAsia="zh-CN"/>
              </w:rPr>
              <w:t>2000</w:t>
            </w:r>
          </w:p>
        </w:tc>
      </w:tr>
    </w:tbl>
    <w:p w14:paraId="77A473FF">
      <w:pPr>
        <w:pStyle w:val="4"/>
        <w:bidi w:val="0"/>
      </w:pPr>
      <w:bookmarkStart w:id="127" w:name="_Toc161600299"/>
      <w:bookmarkStart w:id="128" w:name="_Toc17839"/>
      <w:bookmarkStart w:id="129" w:name="_Toc9153"/>
      <w:bookmarkStart w:id="130" w:name="_Toc93766420"/>
      <w:r>
        <w:rPr>
          <w:rFonts w:hint="default"/>
          <w:lang w:val="en-US" w:eastAsia="zh-CN"/>
        </w:rPr>
        <w:t>1.5.2.</w:t>
      </w:r>
      <w:r>
        <w:t>污染物排放标准</w:t>
      </w:r>
      <w:bookmarkEnd w:id="127"/>
      <w:bookmarkEnd w:id="128"/>
      <w:bookmarkEnd w:id="129"/>
      <w:bookmarkEnd w:id="130"/>
    </w:p>
    <w:p w14:paraId="3FE5B4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snapToGrid w:val="0"/>
          <w:kern w:val="0"/>
          <w:sz w:val="24"/>
          <w:highlight w:val="none"/>
          <w:lang w:eastAsia="zh-CN"/>
        </w:rPr>
      </w:pPr>
      <w:r>
        <w:rPr>
          <w:rFonts w:hint="default" w:ascii="Times New Roman" w:hAnsi="Times New Roman" w:cs="Times New Roman"/>
          <w:color w:val="000000"/>
          <w:sz w:val="24"/>
          <w:highlight w:val="none"/>
        </w:rPr>
        <w:t>项目</w:t>
      </w:r>
      <w:r>
        <w:rPr>
          <w:rFonts w:hint="eastAsia"/>
          <w:color w:val="000000"/>
          <w:sz w:val="24"/>
          <w:highlight w:val="none"/>
          <w:lang w:val="en-US" w:eastAsia="zh-CN"/>
        </w:rPr>
        <w:t>中频炉熔炼工序</w:t>
      </w:r>
      <w:r>
        <w:rPr>
          <w:rFonts w:hint="default" w:ascii="Times New Roman" w:hAnsi="Times New Roman" w:cs="Times New Roman"/>
          <w:color w:val="000000"/>
          <w:sz w:val="24"/>
          <w:highlight w:val="none"/>
        </w:rPr>
        <w:t>产生的</w:t>
      </w:r>
      <w:r>
        <w:rPr>
          <w:rFonts w:hint="default" w:ascii="Times New Roman" w:hAnsi="Times New Roman" w:cs="Times New Roman"/>
          <w:color w:val="000000"/>
          <w:sz w:val="24"/>
          <w:highlight w:val="none"/>
          <w:lang w:val="en-GB"/>
        </w:rPr>
        <w:t>废气</w:t>
      </w:r>
      <w:r>
        <w:rPr>
          <w:rFonts w:hint="default" w:ascii="Times New Roman" w:hAnsi="Times New Roman" w:cs="Times New Roman"/>
          <w:color w:val="000000"/>
          <w:sz w:val="24"/>
          <w:highlight w:val="none"/>
        </w:rPr>
        <w:t>经集气</w:t>
      </w:r>
      <w:r>
        <w:rPr>
          <w:rFonts w:hint="eastAsia" w:ascii="Times New Roman" w:hAnsi="Times New Roman" w:cs="Times New Roman"/>
          <w:color w:val="000000"/>
          <w:sz w:val="24"/>
          <w:highlight w:val="none"/>
          <w:lang w:val="en-US" w:eastAsia="zh-CN"/>
        </w:rPr>
        <w:t>罩</w:t>
      </w:r>
      <w:r>
        <w:rPr>
          <w:rFonts w:hint="default" w:ascii="Times New Roman" w:hAnsi="Times New Roman" w:cs="Times New Roman"/>
          <w:color w:val="000000"/>
          <w:sz w:val="24"/>
          <w:highlight w:val="none"/>
        </w:rPr>
        <w:t>收集</w:t>
      </w:r>
      <w:r>
        <w:rPr>
          <w:rFonts w:hint="default" w:ascii="Times New Roman" w:hAnsi="Times New Roman" w:cs="Times New Roman"/>
          <w:bCs/>
          <w:color w:val="000000"/>
          <w:spacing w:val="-10"/>
          <w:sz w:val="24"/>
          <w:highlight w:val="none"/>
        </w:rPr>
        <w:t>后引入1套耐高温袋式除尘</w:t>
      </w:r>
      <w:r>
        <w:rPr>
          <w:rFonts w:hint="eastAsia" w:ascii="Times New Roman" w:hAnsi="Times New Roman" w:cs="Times New Roman"/>
          <w:bCs/>
          <w:color w:val="000000"/>
          <w:spacing w:val="-10"/>
          <w:sz w:val="24"/>
          <w:highlight w:val="none"/>
          <w:lang w:val="en-US" w:eastAsia="zh-CN"/>
        </w:rPr>
        <w:t>器</w:t>
      </w:r>
      <w:r>
        <w:rPr>
          <w:rFonts w:hint="default" w:ascii="Times New Roman" w:hAnsi="Times New Roman" w:cs="Times New Roman"/>
          <w:bCs/>
          <w:color w:val="000000"/>
          <w:spacing w:val="-10"/>
          <w:sz w:val="24"/>
          <w:highlight w:val="none"/>
        </w:rPr>
        <w:t>（TA001）处理后经1根15m高排气筒（DA001）引至高空排放</w:t>
      </w:r>
      <w:r>
        <w:rPr>
          <w:color w:val="000000" w:themeColor="text1"/>
          <w:sz w:val="24"/>
          <w:highlight w:val="none"/>
          <w:u w:val="none" w:color="auto"/>
          <w:lang w:val="en-GB"/>
          <w14:textFill>
            <w14:solidFill>
              <w14:schemeClr w14:val="tx1"/>
            </w14:solidFill>
          </w14:textFill>
        </w:rPr>
        <w:t>，</w:t>
      </w:r>
      <w:r>
        <w:rPr>
          <w:rFonts w:hint="eastAsia"/>
          <w:color w:val="000000" w:themeColor="text1"/>
          <w:sz w:val="24"/>
          <w:highlight w:val="none"/>
          <w:u w:val="none" w:color="auto"/>
          <w:lang w:val="en-US" w:eastAsia="zh-CN"/>
          <w14:textFill>
            <w14:solidFill>
              <w14:schemeClr w14:val="tx1"/>
            </w14:solidFill>
          </w14:textFill>
        </w:rPr>
        <w:t>废气</w:t>
      </w:r>
      <w:r>
        <w:rPr>
          <w:color w:val="000000" w:themeColor="text1"/>
          <w:sz w:val="24"/>
          <w:highlight w:val="none"/>
          <w:u w:val="none" w:color="auto"/>
          <w14:textFill>
            <w14:solidFill>
              <w14:schemeClr w14:val="tx1"/>
            </w14:solidFill>
          </w14:textFill>
        </w:rPr>
        <w:t>排放浓度可以满足</w:t>
      </w:r>
      <w:r>
        <w:rPr>
          <w:rFonts w:hint="eastAsia"/>
          <w:color w:val="000000" w:themeColor="text1"/>
          <w:sz w:val="24"/>
          <w:highlight w:val="none"/>
          <w:u w:val="none" w:color="auto"/>
          <w14:textFill>
            <w14:solidFill>
              <w14:schemeClr w14:val="tx1"/>
            </w14:solidFill>
          </w14:textFill>
        </w:rPr>
        <w:t>《工业炉窑大气污染物排放标准》（</w:t>
      </w:r>
      <w:r>
        <w:rPr>
          <w:rFonts w:hint="eastAsia"/>
          <w:color w:val="000000" w:themeColor="text1"/>
          <w:sz w:val="24"/>
          <w:highlight w:val="none"/>
          <w:u w:val="none" w:color="auto"/>
          <w:lang w:eastAsia="zh-CN"/>
          <w14:textFill>
            <w14:solidFill>
              <w14:schemeClr w14:val="tx1"/>
            </w14:solidFill>
          </w14:textFill>
        </w:rPr>
        <w:t>DB41/1066-2020</w:t>
      </w:r>
      <w:r>
        <w:rPr>
          <w:rFonts w:hint="eastAsia"/>
          <w:color w:val="000000" w:themeColor="text1"/>
          <w:sz w:val="24"/>
          <w:highlight w:val="none"/>
          <w:u w:val="none" w:color="auto"/>
          <w14:textFill>
            <w14:solidFill>
              <w14:schemeClr w14:val="tx1"/>
            </w14:solidFill>
          </w14:textFill>
        </w:rPr>
        <w:t>）、《河南省2019年铸造行业污染治理方案》以及《重污染天气重点行业应急减排措施制定技术指南》（2020年修订版）中铸造企业绩效分级指标A级企业中</w:t>
      </w:r>
      <w:r>
        <w:rPr>
          <w:color w:val="000000" w:themeColor="text1"/>
          <w:sz w:val="24"/>
          <w:highlight w:val="none"/>
          <w:u w:val="none" w:color="auto"/>
          <w14:textFill>
            <w14:solidFill>
              <w14:schemeClr w14:val="tx1"/>
            </w14:solidFill>
          </w14:textFill>
        </w:rPr>
        <w:t>相关限值要求</w:t>
      </w:r>
      <w:r>
        <w:rPr>
          <w:rFonts w:hint="eastAsia"/>
          <w:color w:val="000000" w:themeColor="text1"/>
          <w:sz w:val="24"/>
          <w:highlight w:val="none"/>
          <w:u w:val="none" w:color="auto"/>
          <w:lang w:eastAsia="zh-CN"/>
          <w14:textFill>
            <w14:solidFill>
              <w14:schemeClr w14:val="tx1"/>
            </w14:solidFill>
          </w14:textFill>
        </w:rPr>
        <w:t>；</w:t>
      </w:r>
    </w:p>
    <w:p w14:paraId="46970C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u w:val="none" w:color="auto"/>
          <w:lang w:eastAsia="zh-CN"/>
          <w14:textFill>
            <w14:solidFill>
              <w14:schemeClr w14:val="tx1"/>
            </w14:solidFill>
          </w14:textFill>
        </w:rPr>
      </w:pPr>
      <w:r>
        <w:rPr>
          <w:rFonts w:hint="default"/>
          <w:highlight w:val="none"/>
        </w:rPr>
        <w:t>项目</w:t>
      </w:r>
      <w:r>
        <w:rPr>
          <w:rFonts w:hint="default"/>
          <w:highlight w:val="none"/>
          <w:lang w:val="en-US" w:eastAsia="zh-CN"/>
        </w:rPr>
        <w:t>混砂、造型/浇注、工件清理和不合格品回用切割工序</w:t>
      </w:r>
      <w:r>
        <w:rPr>
          <w:rFonts w:hint="default"/>
          <w:highlight w:val="none"/>
        </w:rPr>
        <w:t>产生的</w:t>
      </w:r>
      <w:r>
        <w:rPr>
          <w:rFonts w:hint="default"/>
          <w:highlight w:val="none"/>
          <w:lang w:val="en-GB"/>
        </w:rPr>
        <w:t>废气</w:t>
      </w:r>
      <w:r>
        <w:rPr>
          <w:rFonts w:hint="eastAsia"/>
          <w:highlight w:val="none"/>
          <w:lang w:val="en-US" w:eastAsia="zh-CN"/>
        </w:rPr>
        <w:t>经</w:t>
      </w:r>
      <w:r>
        <w:rPr>
          <w:rFonts w:hint="default"/>
          <w:highlight w:val="none"/>
        </w:rPr>
        <w:t>收集后引入1套</w:t>
      </w:r>
      <w:r>
        <w:rPr>
          <w:rFonts w:hint="default"/>
          <w:highlight w:val="none"/>
          <w:lang w:val="en-US" w:eastAsia="zh-CN"/>
        </w:rPr>
        <w:t>袋式除尘器+催化燃烧</w:t>
      </w:r>
      <w:r>
        <w:rPr>
          <w:rFonts w:hint="default"/>
          <w:highlight w:val="none"/>
        </w:rPr>
        <w:t>装置</w:t>
      </w:r>
      <w:r>
        <w:rPr>
          <w:rFonts w:hint="default"/>
          <w:highlight w:val="none"/>
          <w:lang w:val="en-US" w:eastAsia="zh-CN"/>
        </w:rPr>
        <w:t>（RCO）</w:t>
      </w:r>
      <w:r>
        <w:rPr>
          <w:rFonts w:hint="default"/>
          <w:highlight w:val="none"/>
        </w:rPr>
        <w:t>（TA002）处理后经1根15m高排气筒（DA002）引至高空排放</w:t>
      </w:r>
      <w:r>
        <w:rPr>
          <w:rFonts w:hint="eastAsia" w:ascii="Times New Roman" w:hAnsi="Times New Roman" w:eastAsia="宋体" w:cs="Times New Roman"/>
          <w:bCs/>
          <w:color w:val="000000" w:themeColor="text1"/>
          <w:spacing w:val="-10"/>
          <w:sz w:val="24"/>
          <w:szCs w:val="24"/>
          <w:highlight w:val="none"/>
          <w:u w:val="none" w:color="auto"/>
          <w:lang w:val="en-US" w:eastAsia="zh-CN"/>
          <w14:textFill>
            <w14:solidFill>
              <w14:schemeClr w14:val="tx1"/>
            </w14:solidFill>
          </w14:textFill>
        </w:rPr>
        <w:t>，</w:t>
      </w:r>
      <w:r>
        <w:rPr>
          <w:rFonts w:hint="eastAsia"/>
          <w:color w:val="000000" w:themeColor="text1"/>
          <w:sz w:val="24"/>
          <w:highlight w:val="none"/>
          <w:u w:val="none" w:color="auto"/>
          <w:lang w:val="en-US" w:eastAsia="zh-CN"/>
          <w14:textFill>
            <w14:solidFill>
              <w14:schemeClr w14:val="tx1"/>
            </w14:solidFill>
          </w14:textFill>
        </w:rPr>
        <w:t>废气</w:t>
      </w:r>
      <w:r>
        <w:rPr>
          <w:color w:val="000000" w:themeColor="text1"/>
          <w:sz w:val="24"/>
          <w:highlight w:val="none"/>
          <w:u w:val="none" w:color="auto"/>
          <w14:textFill>
            <w14:solidFill>
              <w14:schemeClr w14:val="tx1"/>
            </w14:solidFill>
          </w14:textFill>
        </w:rPr>
        <w:t>排放浓度可以满足</w:t>
      </w:r>
      <w:r>
        <w:rPr>
          <w:rFonts w:hint="default"/>
          <w:highlight w:val="none"/>
        </w:rPr>
        <w:t>《铸造工业大气污染物排放标准》(GB39726-2020)、《大气污染物综合排放标准》（GB16297-1996）表2标准、《关于全省开展工业企业挥发性有机物专项治理工作中排放建议值的通知》（豫环攻坚办[2017]162号）中附件1中其他工业</w:t>
      </w:r>
      <w:r>
        <w:rPr>
          <w:rFonts w:hint="default"/>
          <w:highlight w:val="none"/>
          <w:lang w:val="en-US" w:eastAsia="zh-CN"/>
        </w:rPr>
        <w:t>以及《重污染天气重点行业应急减排措施制定技术指南》（2020年修订版）中铸造企业绩效分级指标A级企业</w:t>
      </w:r>
      <w:r>
        <w:rPr>
          <w:rFonts w:hint="eastAsia"/>
          <w:color w:val="000000" w:themeColor="text1"/>
          <w:sz w:val="24"/>
          <w:highlight w:val="none"/>
          <w:u w:val="none" w:color="auto"/>
          <w14:textFill>
            <w14:solidFill>
              <w14:schemeClr w14:val="tx1"/>
            </w14:solidFill>
          </w14:textFill>
        </w:rPr>
        <w:t>中</w:t>
      </w:r>
      <w:r>
        <w:rPr>
          <w:color w:val="000000" w:themeColor="text1"/>
          <w:sz w:val="24"/>
          <w:highlight w:val="none"/>
          <w:u w:val="none" w:color="auto"/>
          <w14:textFill>
            <w14:solidFill>
              <w14:schemeClr w14:val="tx1"/>
            </w14:solidFill>
          </w14:textFill>
        </w:rPr>
        <w:t>相关限值要求</w:t>
      </w:r>
      <w:r>
        <w:rPr>
          <w:rFonts w:hint="eastAsia"/>
          <w:color w:val="000000" w:themeColor="text1"/>
          <w:sz w:val="24"/>
          <w:highlight w:val="none"/>
          <w:u w:val="none" w:color="auto"/>
          <w:lang w:eastAsia="zh-CN"/>
          <w14:textFill>
            <w14:solidFill>
              <w14:schemeClr w14:val="tx1"/>
            </w14:solidFill>
          </w14:textFill>
        </w:rPr>
        <w:t>；</w:t>
      </w:r>
    </w:p>
    <w:p w14:paraId="60FCDC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000000" w:themeColor="text1"/>
          <w:sz w:val="24"/>
          <w:highlight w:val="none"/>
          <w:u w:val="none" w:color="auto"/>
          <w:lang w:eastAsia="zh-CN"/>
          <w14:textFill>
            <w14:solidFill>
              <w14:schemeClr w14:val="tx1"/>
            </w14:solidFill>
          </w14:textFill>
        </w:rPr>
      </w:pPr>
      <w:r>
        <w:rPr>
          <w:rFonts w:hint="default"/>
          <w:highlight w:val="none"/>
        </w:rPr>
        <w:t>项目</w:t>
      </w:r>
      <w:r>
        <w:rPr>
          <w:rFonts w:hint="default"/>
          <w:highlight w:val="none"/>
          <w:lang w:val="en-US" w:eastAsia="zh-CN"/>
        </w:rPr>
        <w:t>落砂机设置集气罩，砂处理系统为全封闭设备</w:t>
      </w:r>
      <w:r>
        <w:rPr>
          <w:rFonts w:hint="eastAsia"/>
          <w:highlight w:val="none"/>
          <w:lang w:val="en-US" w:eastAsia="zh-CN"/>
        </w:rPr>
        <w:t>，</w:t>
      </w:r>
      <w:r>
        <w:rPr>
          <w:rFonts w:hint="eastAsia"/>
          <w:highlight w:val="none"/>
          <w:u w:val="none"/>
          <w:lang w:val="en-US" w:eastAsia="zh-CN"/>
        </w:rPr>
        <w:t>落砂及砂处理工序产生的废气</w:t>
      </w:r>
      <w:r>
        <w:rPr>
          <w:rFonts w:hint="default"/>
          <w:highlight w:val="none"/>
        </w:rPr>
        <w:t>收集后引至</w:t>
      </w:r>
      <w:r>
        <w:rPr>
          <w:rFonts w:hint="eastAsia"/>
          <w:highlight w:val="none"/>
          <w:u w:val="none"/>
          <w:lang w:val="en-US" w:eastAsia="zh-CN"/>
        </w:rPr>
        <w:t>分别</w:t>
      </w:r>
      <w:r>
        <w:rPr>
          <w:rFonts w:hint="default"/>
          <w:highlight w:val="none"/>
        </w:rPr>
        <w:t>1套袋式除尘器（TA003</w:t>
      </w:r>
      <w:r>
        <w:rPr>
          <w:rFonts w:hint="eastAsia"/>
          <w:highlight w:val="none"/>
          <w:lang w:val="en-US" w:eastAsia="zh-CN"/>
        </w:rPr>
        <w:t>-TA004</w:t>
      </w:r>
      <w:r>
        <w:rPr>
          <w:rFonts w:hint="default"/>
          <w:highlight w:val="none"/>
        </w:rPr>
        <w:t>）处理后通过1根15m高排气筒（DA003）引至高空排放</w:t>
      </w:r>
      <w:r>
        <w:rPr>
          <w:bCs/>
          <w:color w:val="000000" w:themeColor="text1"/>
          <w:kern w:val="0"/>
          <w:sz w:val="24"/>
          <w:highlight w:val="none"/>
          <w:u w:val="none" w:color="auto"/>
          <w14:textFill>
            <w14:solidFill>
              <w14:schemeClr w14:val="tx1"/>
            </w14:solidFill>
          </w14:textFill>
        </w:rPr>
        <w:t>，颗粒物排放浓度可以满足《铸造工业大气污染物排放标准》(GB39726-2020)表1中标准</w:t>
      </w:r>
      <w:r>
        <w:rPr>
          <w:color w:val="000000" w:themeColor="text1"/>
          <w:sz w:val="24"/>
          <w:highlight w:val="none"/>
          <w:u w:val="none" w:color="auto"/>
          <w14:textFill>
            <w14:solidFill>
              <w14:schemeClr w14:val="tx1"/>
            </w14:solidFill>
          </w14:textFill>
        </w:rPr>
        <w:t>中</w:t>
      </w:r>
      <w:r>
        <w:rPr>
          <w:rFonts w:hint="eastAsia"/>
          <w:color w:val="000000" w:themeColor="text1"/>
          <w:sz w:val="24"/>
          <w:highlight w:val="none"/>
          <w:u w:val="none" w:color="auto"/>
          <w14:textFill>
            <w14:solidFill>
              <w14:schemeClr w14:val="tx1"/>
            </w14:solidFill>
          </w14:textFill>
        </w:rPr>
        <w:t>和</w:t>
      </w:r>
      <w:r>
        <w:rPr>
          <w:color w:val="000000" w:themeColor="text1"/>
          <w:sz w:val="24"/>
          <w:highlight w:val="none"/>
          <w:u w:val="none" w:color="auto"/>
          <w14:textFill>
            <w14:solidFill>
              <w14:schemeClr w14:val="tx1"/>
            </w14:solidFill>
          </w14:textFill>
        </w:rPr>
        <w:t>《河南省2019年铸造行业污染治理方案》</w:t>
      </w:r>
      <w:r>
        <w:rPr>
          <w:rFonts w:hint="eastAsia"/>
          <w:color w:val="000000" w:themeColor="text1"/>
          <w:sz w:val="24"/>
          <w:highlight w:val="none"/>
          <w:u w:val="none" w:color="auto"/>
          <w14:textFill>
            <w14:solidFill>
              <w14:schemeClr w14:val="tx1"/>
            </w14:solidFill>
          </w14:textFill>
        </w:rPr>
        <w:t>中</w:t>
      </w:r>
      <w:r>
        <w:rPr>
          <w:color w:val="000000" w:themeColor="text1"/>
          <w:sz w:val="24"/>
          <w:highlight w:val="none"/>
          <w:u w:val="none" w:color="auto"/>
          <w14:textFill>
            <w14:solidFill>
              <w14:schemeClr w14:val="tx1"/>
            </w14:solidFill>
          </w14:textFill>
        </w:rPr>
        <w:t>相关相关限值要求</w:t>
      </w:r>
      <w:r>
        <w:rPr>
          <w:rFonts w:hint="eastAsia"/>
          <w:color w:val="000000" w:themeColor="text1"/>
          <w:sz w:val="24"/>
          <w:highlight w:val="none"/>
          <w:u w:val="none" w:color="auto"/>
          <w:lang w:eastAsia="zh-CN"/>
          <w14:textFill>
            <w14:solidFill>
              <w14:schemeClr w14:val="tx1"/>
            </w14:solidFill>
          </w14:textFill>
        </w:rPr>
        <w:t>；</w:t>
      </w:r>
    </w:p>
    <w:p w14:paraId="7C6E0D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000000" w:themeColor="text1"/>
          <w:kern w:val="0"/>
          <w:sz w:val="24"/>
          <w:highlight w:val="none"/>
          <w:u w:val="none" w:color="auto"/>
          <w14:textFill>
            <w14:solidFill>
              <w14:schemeClr w14:val="tx1"/>
            </w14:solidFill>
          </w14:textFill>
        </w:rPr>
      </w:pPr>
      <w:r>
        <w:rPr>
          <w:rFonts w:hint="default" w:ascii="Times New Roman" w:hAnsi="Times New Roman" w:cs="Times New Roman"/>
          <w:bCs/>
          <w:color w:val="000000"/>
          <w:kern w:val="0"/>
          <w:sz w:val="24"/>
          <w:szCs w:val="24"/>
          <w:highlight w:val="none"/>
        </w:rPr>
        <w:t>项目</w:t>
      </w:r>
      <w:r>
        <w:rPr>
          <w:rFonts w:hint="default" w:ascii="Times New Roman" w:hAnsi="Times New Roman" w:cs="Times New Roman"/>
          <w:bCs/>
          <w:color w:val="000000"/>
          <w:kern w:val="0"/>
          <w:sz w:val="24"/>
          <w:szCs w:val="24"/>
          <w:highlight w:val="none"/>
          <w:lang w:val="en-US" w:eastAsia="zh-CN"/>
        </w:rPr>
        <w:t>抛丸工序</w:t>
      </w:r>
      <w:r>
        <w:rPr>
          <w:rFonts w:hint="default" w:ascii="Times New Roman" w:hAnsi="Times New Roman" w:cs="Times New Roman"/>
          <w:bCs/>
          <w:color w:val="000000"/>
          <w:kern w:val="0"/>
          <w:sz w:val="24"/>
          <w:szCs w:val="24"/>
          <w:highlight w:val="none"/>
        </w:rPr>
        <w:t>产生的颗粒物</w:t>
      </w:r>
      <w:r>
        <w:rPr>
          <w:rFonts w:hint="default" w:ascii="Times New Roman" w:hAnsi="Times New Roman" w:cs="Times New Roman"/>
          <w:bCs/>
          <w:color w:val="000000"/>
          <w:spacing w:val="-10"/>
          <w:sz w:val="24"/>
          <w:szCs w:val="24"/>
          <w:highlight w:val="none"/>
        </w:rPr>
        <w:t>经密闭管道收集后引至1套袋式除尘器（TA00</w:t>
      </w:r>
      <w:r>
        <w:rPr>
          <w:rFonts w:hint="eastAsia" w:ascii="Times New Roman" w:hAnsi="Times New Roman" w:cs="Times New Roman"/>
          <w:bCs/>
          <w:color w:val="000000"/>
          <w:spacing w:val="-10"/>
          <w:sz w:val="24"/>
          <w:szCs w:val="24"/>
          <w:highlight w:val="none"/>
          <w:lang w:val="en-US" w:eastAsia="zh-CN"/>
        </w:rPr>
        <w:t>5</w:t>
      </w:r>
      <w:r>
        <w:rPr>
          <w:rFonts w:hint="default" w:ascii="Times New Roman" w:hAnsi="Times New Roman" w:cs="Times New Roman"/>
          <w:bCs/>
          <w:color w:val="000000"/>
          <w:spacing w:val="-10"/>
          <w:sz w:val="24"/>
          <w:szCs w:val="24"/>
          <w:highlight w:val="none"/>
        </w:rPr>
        <w:t>）处理后通过1根15m高排气筒（DA004）引至高空排放</w:t>
      </w:r>
      <w:r>
        <w:rPr>
          <w:bCs/>
          <w:color w:val="000000" w:themeColor="text1"/>
          <w:kern w:val="0"/>
          <w:sz w:val="24"/>
          <w:highlight w:val="none"/>
          <w:u w:val="none" w:color="auto"/>
          <w14:textFill>
            <w14:solidFill>
              <w14:schemeClr w14:val="tx1"/>
            </w14:solidFill>
          </w14:textFill>
        </w:rPr>
        <w:t>，颗粒物排放浓度可以满足《铸造工业大气污染物排放标准》(GB39726-2020)表1中标准</w:t>
      </w:r>
      <w:r>
        <w:rPr>
          <w:color w:val="000000" w:themeColor="text1"/>
          <w:sz w:val="24"/>
          <w:highlight w:val="none"/>
          <w:u w:val="none" w:color="auto"/>
          <w14:textFill>
            <w14:solidFill>
              <w14:schemeClr w14:val="tx1"/>
            </w14:solidFill>
          </w14:textFill>
        </w:rPr>
        <w:t>中</w:t>
      </w:r>
      <w:r>
        <w:rPr>
          <w:rFonts w:hint="eastAsia"/>
          <w:color w:val="000000" w:themeColor="text1"/>
          <w:sz w:val="24"/>
          <w:highlight w:val="none"/>
          <w:u w:val="none" w:color="auto"/>
          <w14:textFill>
            <w14:solidFill>
              <w14:schemeClr w14:val="tx1"/>
            </w14:solidFill>
          </w14:textFill>
        </w:rPr>
        <w:t>和</w:t>
      </w:r>
      <w:r>
        <w:rPr>
          <w:color w:val="000000" w:themeColor="text1"/>
          <w:sz w:val="24"/>
          <w:highlight w:val="none"/>
          <w:u w:val="none" w:color="auto"/>
          <w14:textFill>
            <w14:solidFill>
              <w14:schemeClr w14:val="tx1"/>
            </w14:solidFill>
          </w14:textFill>
        </w:rPr>
        <w:t>《河南省2019年铸造行业污染治理方案》</w:t>
      </w:r>
      <w:r>
        <w:rPr>
          <w:rFonts w:hint="eastAsia"/>
          <w:color w:val="000000" w:themeColor="text1"/>
          <w:sz w:val="24"/>
          <w:highlight w:val="none"/>
          <w:u w:val="none" w:color="auto"/>
          <w14:textFill>
            <w14:solidFill>
              <w14:schemeClr w14:val="tx1"/>
            </w14:solidFill>
          </w14:textFill>
        </w:rPr>
        <w:t>中</w:t>
      </w:r>
      <w:r>
        <w:rPr>
          <w:color w:val="000000" w:themeColor="text1"/>
          <w:sz w:val="24"/>
          <w:highlight w:val="none"/>
          <w:u w:val="none" w:color="auto"/>
          <w14:textFill>
            <w14:solidFill>
              <w14:schemeClr w14:val="tx1"/>
            </w14:solidFill>
          </w14:textFill>
        </w:rPr>
        <w:t>相关相关限值要求。</w:t>
      </w:r>
    </w:p>
    <w:p w14:paraId="6A98659F">
      <w:pPr>
        <w:spacing w:line="360" w:lineRule="auto"/>
        <w:ind w:firstLine="480" w:firstLineChars="200"/>
        <w:rPr>
          <w:sz w:val="24"/>
          <w:highlight w:val="none"/>
        </w:rPr>
      </w:pPr>
      <w:bookmarkStart w:id="131" w:name="OLE_LINK185"/>
      <w:bookmarkStart w:id="132" w:name="OLE_LINK184"/>
      <w:r>
        <w:rPr>
          <w:rFonts w:hint="eastAsia"/>
          <w:snapToGrid w:val="0"/>
          <w:color w:val="000000"/>
          <w:kern w:val="0"/>
          <w:sz w:val="24"/>
          <w:highlight w:val="none"/>
          <w:lang w:val="en-US" w:eastAsia="zh-CN"/>
        </w:rPr>
        <w:t>厂界</w:t>
      </w:r>
      <w:r>
        <w:rPr>
          <w:snapToGrid w:val="0"/>
          <w:color w:val="000000"/>
          <w:kern w:val="0"/>
          <w:sz w:val="24"/>
          <w:highlight w:val="none"/>
        </w:rPr>
        <w:t>颗粒</w:t>
      </w:r>
      <w:r>
        <w:rPr>
          <w:color w:val="000000"/>
          <w:sz w:val="24"/>
          <w:highlight w:val="none"/>
        </w:rPr>
        <w:t>物无组织排放执行</w:t>
      </w:r>
      <w:r>
        <w:rPr>
          <w:rFonts w:hint="eastAsia"/>
          <w:color w:val="000000"/>
          <w:sz w:val="24"/>
          <w:highlight w:val="none"/>
        </w:rPr>
        <w:t>《工业炉窑大气污染物排放标准》（</w:t>
      </w:r>
      <w:r>
        <w:rPr>
          <w:rFonts w:hint="eastAsia"/>
          <w:color w:val="000000"/>
          <w:sz w:val="24"/>
          <w:highlight w:val="none"/>
          <w:lang w:eastAsia="zh-CN"/>
        </w:rPr>
        <w:t>DB41/1066-2020</w:t>
      </w:r>
      <w:r>
        <w:rPr>
          <w:rFonts w:hint="eastAsia"/>
          <w:color w:val="000000"/>
          <w:sz w:val="24"/>
          <w:highlight w:val="none"/>
        </w:rPr>
        <w:t>）</w:t>
      </w:r>
      <w:r>
        <w:rPr>
          <w:rFonts w:hint="eastAsia"/>
          <w:color w:val="000000"/>
          <w:sz w:val="24"/>
          <w:highlight w:val="none"/>
          <w:lang w:eastAsia="zh-CN"/>
        </w:rPr>
        <w:t>、《河南省2019年铸造行业污染治理方案》</w:t>
      </w:r>
      <w:r>
        <w:rPr>
          <w:rFonts w:hint="eastAsia"/>
          <w:color w:val="000000"/>
          <w:sz w:val="24"/>
          <w:highlight w:val="none"/>
        </w:rPr>
        <w:t>中</w:t>
      </w:r>
      <w:r>
        <w:rPr>
          <w:color w:val="000000"/>
          <w:sz w:val="24"/>
          <w:highlight w:val="none"/>
        </w:rPr>
        <w:t>无组织排放限值</w:t>
      </w:r>
      <w:r>
        <w:rPr>
          <w:rFonts w:hint="eastAsia"/>
          <w:color w:val="000000"/>
          <w:sz w:val="24"/>
          <w:highlight w:val="none"/>
          <w:lang w:eastAsia="zh-CN"/>
        </w:rPr>
        <w:t>，</w:t>
      </w:r>
      <w:r>
        <w:rPr>
          <w:rFonts w:hint="eastAsia"/>
          <w:color w:val="000000"/>
          <w:sz w:val="24"/>
          <w:highlight w:val="none"/>
          <w:lang w:val="en-US" w:eastAsia="zh-CN"/>
        </w:rPr>
        <w:t>厂区</w:t>
      </w:r>
      <w:r>
        <w:rPr>
          <w:snapToGrid w:val="0"/>
          <w:color w:val="000000"/>
          <w:kern w:val="0"/>
          <w:sz w:val="24"/>
          <w:highlight w:val="none"/>
        </w:rPr>
        <w:t>颗粒</w:t>
      </w:r>
      <w:r>
        <w:rPr>
          <w:color w:val="000000"/>
          <w:sz w:val="24"/>
          <w:highlight w:val="none"/>
        </w:rPr>
        <w:t>物无组织执行《铸造工业大气污染物排放标准》（GB39726-2020）附录A表A.1</w:t>
      </w:r>
      <w:r>
        <w:rPr>
          <w:rFonts w:hint="eastAsia"/>
          <w:color w:val="000000"/>
          <w:sz w:val="24"/>
          <w:highlight w:val="none"/>
        </w:rPr>
        <w:t>中</w:t>
      </w:r>
      <w:r>
        <w:rPr>
          <w:color w:val="000000"/>
          <w:sz w:val="24"/>
          <w:highlight w:val="none"/>
        </w:rPr>
        <w:t>无组织排放限值，</w:t>
      </w:r>
      <w:r>
        <w:rPr>
          <w:rFonts w:hint="eastAsia"/>
          <w:snapToGrid w:val="0"/>
          <w:color w:val="000000"/>
          <w:kern w:val="0"/>
          <w:sz w:val="24"/>
          <w:highlight w:val="none"/>
          <w:lang w:val="en-US" w:eastAsia="zh-CN"/>
        </w:rPr>
        <w:t>厂界</w:t>
      </w:r>
      <w:r>
        <w:rPr>
          <w:color w:val="000000"/>
          <w:sz w:val="24"/>
          <w:highlight w:val="none"/>
        </w:rPr>
        <w:t>挥发性有机废气无组织排放执行《大气污染物综合排放标准》（GB16297-1996）表2标准</w:t>
      </w:r>
      <w:r>
        <w:rPr>
          <w:rFonts w:hint="eastAsia"/>
          <w:color w:val="000000"/>
          <w:sz w:val="24"/>
          <w:highlight w:val="none"/>
          <w:lang w:val="en-US" w:eastAsia="zh-CN"/>
        </w:rPr>
        <w:t>和</w:t>
      </w:r>
      <w:r>
        <w:rPr>
          <w:rFonts w:hint="eastAsia"/>
          <w:color w:val="000000"/>
          <w:sz w:val="24"/>
          <w:highlight w:val="none"/>
        </w:rPr>
        <w:t>《关于全省开展工业企业挥发性有物专项治理工作中排放建议值的通知》（豫环攻坚办[2017]162号）中附件1中其他工业</w:t>
      </w:r>
      <w:r>
        <w:rPr>
          <w:color w:val="000000"/>
          <w:sz w:val="24"/>
          <w:highlight w:val="none"/>
        </w:rPr>
        <w:t>无组织排放限值</w:t>
      </w:r>
      <w:r>
        <w:rPr>
          <w:rFonts w:hint="eastAsia"/>
          <w:color w:val="000000"/>
          <w:sz w:val="24"/>
          <w:highlight w:val="none"/>
          <w:lang w:eastAsia="zh-CN"/>
        </w:rPr>
        <w:t>，</w:t>
      </w:r>
      <w:r>
        <w:rPr>
          <w:rFonts w:hint="eastAsia"/>
          <w:color w:val="000000"/>
          <w:sz w:val="24"/>
          <w:highlight w:val="none"/>
          <w:lang w:val="en-US" w:eastAsia="zh-CN"/>
        </w:rPr>
        <w:t>厂区</w:t>
      </w:r>
      <w:r>
        <w:rPr>
          <w:color w:val="000000"/>
          <w:sz w:val="24"/>
          <w:highlight w:val="none"/>
        </w:rPr>
        <w:t>挥发性有机废气无组织排放执行</w:t>
      </w:r>
      <w:r>
        <w:rPr>
          <w:rFonts w:hint="eastAsia"/>
          <w:color w:val="000000"/>
          <w:sz w:val="24"/>
          <w:highlight w:val="none"/>
          <w:lang w:val="en-US" w:eastAsia="zh-CN"/>
        </w:rPr>
        <w:t>《挥发性有机物无组织排放控制标准》(GB37822-2019)</w:t>
      </w:r>
      <w:r>
        <w:rPr>
          <w:rFonts w:hint="eastAsia"/>
          <w:color w:val="000000"/>
          <w:sz w:val="24"/>
          <w:highlight w:val="none"/>
        </w:rPr>
        <w:t>中</w:t>
      </w:r>
      <w:r>
        <w:rPr>
          <w:color w:val="000000"/>
          <w:sz w:val="24"/>
          <w:highlight w:val="none"/>
        </w:rPr>
        <w:t>VOCs无组织排放限值；</w:t>
      </w:r>
      <w:bookmarkEnd w:id="131"/>
      <w:bookmarkEnd w:id="132"/>
      <w:r>
        <w:rPr>
          <w:color w:val="000000"/>
          <w:sz w:val="24"/>
          <w:highlight w:val="none"/>
        </w:rPr>
        <w:t>甲醛无组织排放参照执行《大气污染物综合排放标准》（GB16297-1996）表2标准无组织排放限值。</w:t>
      </w:r>
    </w:p>
    <w:p w14:paraId="31AD02E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sz w:val="24"/>
          <w:szCs w:val="24"/>
        </w:rPr>
        <w:t>项目废气排放具体执行标准值详见下表：</w:t>
      </w:r>
    </w:p>
    <w:p w14:paraId="520336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 xml:space="preserve">表1.5-2 </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有组织大气污染物与单位边界大气污染物排放浓度限值</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03"/>
        <w:gridCol w:w="1405"/>
        <w:gridCol w:w="1499"/>
        <w:gridCol w:w="1433"/>
        <w:gridCol w:w="2411"/>
        <w:gridCol w:w="1744"/>
      </w:tblGrid>
      <w:tr w14:paraId="64EB83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vMerge w:val="restart"/>
            <w:noWrap w:val="0"/>
            <w:tcMar>
              <w:top w:w="28" w:type="dxa"/>
              <w:left w:w="28" w:type="dxa"/>
              <w:bottom w:w="28" w:type="dxa"/>
              <w:right w:w="28" w:type="dxa"/>
            </w:tcMar>
            <w:vAlign w:val="center"/>
          </w:tcPr>
          <w:p w14:paraId="5023812A">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工序</w:t>
            </w:r>
          </w:p>
        </w:tc>
        <w:tc>
          <w:tcPr>
            <w:tcW w:w="717" w:type="pct"/>
            <w:vMerge w:val="restart"/>
            <w:noWrap w:val="0"/>
            <w:tcMar>
              <w:top w:w="28" w:type="dxa"/>
              <w:left w:w="28" w:type="dxa"/>
              <w:bottom w:w="28" w:type="dxa"/>
              <w:right w:w="28" w:type="dxa"/>
            </w:tcMar>
            <w:vAlign w:val="center"/>
          </w:tcPr>
          <w:p w14:paraId="29C80247">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污染物</w:t>
            </w:r>
          </w:p>
        </w:tc>
        <w:tc>
          <w:tcPr>
            <w:tcW w:w="765" w:type="pct"/>
            <w:vMerge w:val="restart"/>
            <w:noWrap w:val="0"/>
            <w:tcMar>
              <w:top w:w="28" w:type="dxa"/>
              <w:left w:w="28" w:type="dxa"/>
              <w:bottom w:w="28" w:type="dxa"/>
              <w:right w:w="28" w:type="dxa"/>
            </w:tcMar>
            <w:vAlign w:val="center"/>
          </w:tcPr>
          <w:p w14:paraId="7B82424C">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最高允许排放浓度（mg/m</w:t>
            </w:r>
            <w:r>
              <w:rPr>
                <w:color w:val="000000"/>
                <w:sz w:val="21"/>
                <w:szCs w:val="21"/>
                <w:vertAlign w:val="superscript"/>
              </w:rPr>
              <w:t>3</w:t>
            </w:r>
            <w:r>
              <w:rPr>
                <w:color w:val="000000"/>
                <w:sz w:val="21"/>
                <w:szCs w:val="21"/>
              </w:rPr>
              <w:t>）</w:t>
            </w:r>
          </w:p>
        </w:tc>
        <w:tc>
          <w:tcPr>
            <w:tcW w:w="731" w:type="pct"/>
            <w:vMerge w:val="restart"/>
            <w:noWrap w:val="0"/>
            <w:tcMar>
              <w:top w:w="28" w:type="dxa"/>
              <w:left w:w="28" w:type="dxa"/>
              <w:bottom w:w="28" w:type="dxa"/>
              <w:right w:w="28" w:type="dxa"/>
            </w:tcMar>
            <w:vAlign w:val="center"/>
          </w:tcPr>
          <w:p w14:paraId="793A8E2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最高允许排放速率（kg/h）</w:t>
            </w:r>
          </w:p>
        </w:tc>
        <w:tc>
          <w:tcPr>
            <w:tcW w:w="2120" w:type="pct"/>
            <w:gridSpan w:val="2"/>
            <w:noWrap w:val="0"/>
            <w:tcMar>
              <w:top w:w="28" w:type="dxa"/>
              <w:left w:w="28" w:type="dxa"/>
              <w:bottom w:w="28" w:type="dxa"/>
              <w:right w:w="28" w:type="dxa"/>
            </w:tcMar>
            <w:vAlign w:val="center"/>
          </w:tcPr>
          <w:p w14:paraId="0032FB07">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单位边界大气污染物排放监控浓度限值</w:t>
            </w:r>
          </w:p>
        </w:tc>
      </w:tr>
      <w:tr w14:paraId="64E4AC0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vMerge w:val="continue"/>
            <w:noWrap w:val="0"/>
            <w:tcMar>
              <w:top w:w="28" w:type="dxa"/>
              <w:left w:w="28" w:type="dxa"/>
              <w:bottom w:w="28" w:type="dxa"/>
              <w:right w:w="28" w:type="dxa"/>
            </w:tcMar>
            <w:vAlign w:val="center"/>
          </w:tcPr>
          <w:p w14:paraId="30D90C7B">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717" w:type="pct"/>
            <w:vMerge w:val="continue"/>
            <w:noWrap w:val="0"/>
            <w:tcMar>
              <w:top w:w="28" w:type="dxa"/>
              <w:left w:w="28" w:type="dxa"/>
              <w:bottom w:w="28" w:type="dxa"/>
              <w:right w:w="28" w:type="dxa"/>
            </w:tcMar>
            <w:vAlign w:val="center"/>
          </w:tcPr>
          <w:p w14:paraId="55BB560B">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765" w:type="pct"/>
            <w:vMerge w:val="continue"/>
            <w:noWrap w:val="0"/>
            <w:tcMar>
              <w:top w:w="28" w:type="dxa"/>
              <w:left w:w="28" w:type="dxa"/>
              <w:bottom w:w="28" w:type="dxa"/>
              <w:right w:w="28" w:type="dxa"/>
            </w:tcMar>
            <w:vAlign w:val="center"/>
          </w:tcPr>
          <w:p w14:paraId="1D72D3AC">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731" w:type="pct"/>
            <w:vMerge w:val="continue"/>
            <w:noWrap w:val="0"/>
            <w:tcMar>
              <w:top w:w="28" w:type="dxa"/>
              <w:left w:w="28" w:type="dxa"/>
              <w:bottom w:w="28" w:type="dxa"/>
              <w:right w:w="28" w:type="dxa"/>
            </w:tcMar>
            <w:vAlign w:val="center"/>
          </w:tcPr>
          <w:p w14:paraId="0848C24F">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1230" w:type="pct"/>
            <w:noWrap w:val="0"/>
            <w:tcMar>
              <w:top w:w="28" w:type="dxa"/>
              <w:left w:w="28" w:type="dxa"/>
              <w:bottom w:w="28" w:type="dxa"/>
              <w:right w:w="28" w:type="dxa"/>
            </w:tcMar>
            <w:vAlign w:val="center"/>
          </w:tcPr>
          <w:p w14:paraId="1044C418">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监控点</w:t>
            </w:r>
          </w:p>
        </w:tc>
        <w:tc>
          <w:tcPr>
            <w:tcW w:w="890" w:type="pct"/>
            <w:noWrap w:val="0"/>
            <w:tcMar>
              <w:top w:w="28" w:type="dxa"/>
              <w:left w:w="28" w:type="dxa"/>
              <w:bottom w:w="28" w:type="dxa"/>
              <w:right w:w="28" w:type="dxa"/>
            </w:tcMar>
            <w:vAlign w:val="center"/>
          </w:tcPr>
          <w:p w14:paraId="0C1F72FE">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浓度（mg/m</w:t>
            </w:r>
            <w:r>
              <w:rPr>
                <w:color w:val="000000"/>
                <w:sz w:val="21"/>
                <w:szCs w:val="21"/>
                <w:vertAlign w:val="superscript"/>
              </w:rPr>
              <w:t>3</w:t>
            </w:r>
            <w:r>
              <w:rPr>
                <w:color w:val="000000"/>
                <w:sz w:val="21"/>
                <w:szCs w:val="21"/>
              </w:rPr>
              <w:t>）</w:t>
            </w:r>
          </w:p>
        </w:tc>
      </w:tr>
      <w:tr w14:paraId="5D02D2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noWrap w:val="0"/>
            <w:tcMar>
              <w:top w:w="28" w:type="dxa"/>
              <w:left w:w="28" w:type="dxa"/>
              <w:bottom w:w="28" w:type="dxa"/>
              <w:right w:w="28" w:type="dxa"/>
            </w:tcMar>
            <w:vAlign w:val="center"/>
          </w:tcPr>
          <w:p w14:paraId="4968FCC1">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color w:val="000000"/>
                <w:sz w:val="21"/>
                <w:szCs w:val="21"/>
                <w:lang w:val="en-US"/>
              </w:rPr>
            </w:pPr>
            <w:r>
              <w:rPr>
                <w:rFonts w:hint="default" w:ascii="Times New Roman" w:hAnsi="Times New Roman" w:cs="Times New Roman"/>
                <w:b w:val="0"/>
                <w:bCs w:val="0"/>
                <w:color w:val="auto"/>
                <w:kern w:val="0"/>
                <w:sz w:val="21"/>
                <w:szCs w:val="21"/>
                <w:highlight w:val="none"/>
                <w:u w:val="none"/>
                <w:lang w:val="en-US" w:eastAsia="zh-CN" w:bidi="ar-SA"/>
              </w:rPr>
              <w:t>熔炼</w:t>
            </w:r>
            <w:r>
              <w:rPr>
                <w:rFonts w:hint="eastAsia" w:ascii="Times New Roman" w:hAnsi="Times New Roman" w:cs="Times New Roman"/>
                <w:b w:val="0"/>
                <w:bCs w:val="0"/>
                <w:color w:val="auto"/>
                <w:kern w:val="0"/>
                <w:sz w:val="21"/>
                <w:szCs w:val="21"/>
                <w:highlight w:val="none"/>
                <w:u w:val="none"/>
                <w:lang w:val="en-US" w:eastAsia="zh-CN" w:bidi="ar-SA"/>
              </w:rPr>
              <w:t>工序DA001</w:t>
            </w:r>
          </w:p>
        </w:tc>
        <w:tc>
          <w:tcPr>
            <w:tcW w:w="717" w:type="pct"/>
            <w:noWrap w:val="0"/>
            <w:tcMar>
              <w:top w:w="28" w:type="dxa"/>
              <w:left w:w="28" w:type="dxa"/>
              <w:bottom w:w="28" w:type="dxa"/>
              <w:right w:w="28" w:type="dxa"/>
            </w:tcMar>
            <w:vAlign w:val="center"/>
          </w:tcPr>
          <w:p w14:paraId="3E276A6F">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颗粒物</w:t>
            </w:r>
          </w:p>
        </w:tc>
        <w:tc>
          <w:tcPr>
            <w:tcW w:w="765" w:type="pct"/>
            <w:noWrap w:val="0"/>
            <w:tcMar>
              <w:top w:w="28" w:type="dxa"/>
              <w:left w:w="28" w:type="dxa"/>
              <w:bottom w:w="28" w:type="dxa"/>
              <w:right w:w="28" w:type="dxa"/>
            </w:tcMar>
            <w:vAlign w:val="center"/>
          </w:tcPr>
          <w:p w14:paraId="08B7F117">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color w:val="000000"/>
                <w:sz w:val="21"/>
                <w:szCs w:val="21"/>
              </w:rPr>
              <w:t>10</w:t>
            </w:r>
          </w:p>
        </w:tc>
        <w:tc>
          <w:tcPr>
            <w:tcW w:w="731" w:type="pct"/>
            <w:noWrap w:val="0"/>
            <w:tcMar>
              <w:top w:w="28" w:type="dxa"/>
              <w:left w:w="28" w:type="dxa"/>
              <w:bottom w:w="28" w:type="dxa"/>
              <w:right w:w="28" w:type="dxa"/>
            </w:tcMar>
            <w:vAlign w:val="center"/>
          </w:tcPr>
          <w:p w14:paraId="03275E5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color w:val="000000"/>
                <w:sz w:val="21"/>
                <w:szCs w:val="21"/>
              </w:rPr>
              <w:t>/</w:t>
            </w:r>
          </w:p>
        </w:tc>
        <w:tc>
          <w:tcPr>
            <w:tcW w:w="1230" w:type="pct"/>
            <w:noWrap w:val="0"/>
            <w:tcMar>
              <w:top w:w="28" w:type="dxa"/>
              <w:left w:w="28" w:type="dxa"/>
              <w:bottom w:w="28" w:type="dxa"/>
              <w:right w:w="28" w:type="dxa"/>
            </w:tcMar>
            <w:vAlign w:val="center"/>
          </w:tcPr>
          <w:p w14:paraId="6ED082CF">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7A992DB7">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color w:val="000000"/>
                <w:sz w:val="21"/>
                <w:szCs w:val="21"/>
              </w:rPr>
              <w:t>1.0</w:t>
            </w:r>
          </w:p>
        </w:tc>
      </w:tr>
      <w:tr w14:paraId="30BC6CF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vMerge w:val="restart"/>
            <w:noWrap w:val="0"/>
            <w:tcMar>
              <w:top w:w="28" w:type="dxa"/>
              <w:left w:w="28" w:type="dxa"/>
              <w:bottom w:w="28" w:type="dxa"/>
              <w:right w:w="28" w:type="dxa"/>
            </w:tcMar>
            <w:vAlign w:val="center"/>
          </w:tcPr>
          <w:p w14:paraId="1E6C6BAB">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default"/>
                <w:color w:val="000000" w:themeColor="text1"/>
                <w:sz w:val="21"/>
                <w:szCs w:val="21"/>
                <w:u w:val="none"/>
                <w:lang w:val="en-US" w:eastAsia="zh-CN"/>
                <w14:textFill>
                  <w14:solidFill>
                    <w14:schemeClr w14:val="tx1"/>
                  </w14:solidFill>
                </w14:textFill>
              </w:rPr>
              <w:t>混砂、造型/浇注、工件清理和不合格品回用切割工序</w:t>
            </w:r>
            <w:r>
              <w:rPr>
                <w:color w:val="000000"/>
                <w:sz w:val="21"/>
                <w:szCs w:val="21"/>
              </w:rPr>
              <w:t>DA002</w:t>
            </w:r>
          </w:p>
        </w:tc>
        <w:tc>
          <w:tcPr>
            <w:tcW w:w="717" w:type="pct"/>
            <w:noWrap w:val="0"/>
            <w:tcMar>
              <w:top w:w="28" w:type="dxa"/>
              <w:left w:w="28" w:type="dxa"/>
              <w:bottom w:w="28" w:type="dxa"/>
              <w:right w:w="28" w:type="dxa"/>
            </w:tcMar>
            <w:vAlign w:val="center"/>
          </w:tcPr>
          <w:p w14:paraId="1DB6017A">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color w:val="000000"/>
                <w:sz w:val="21"/>
                <w:szCs w:val="21"/>
              </w:rPr>
              <w:t>颗粒物</w:t>
            </w:r>
          </w:p>
        </w:tc>
        <w:tc>
          <w:tcPr>
            <w:tcW w:w="765" w:type="pct"/>
            <w:noWrap w:val="0"/>
            <w:tcMar>
              <w:top w:w="28" w:type="dxa"/>
              <w:left w:w="28" w:type="dxa"/>
              <w:bottom w:w="28" w:type="dxa"/>
              <w:right w:w="28" w:type="dxa"/>
            </w:tcMar>
            <w:vAlign w:val="center"/>
          </w:tcPr>
          <w:p w14:paraId="467A0454">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c>
          <w:tcPr>
            <w:tcW w:w="731" w:type="pct"/>
            <w:noWrap w:val="0"/>
            <w:tcMar>
              <w:top w:w="28" w:type="dxa"/>
              <w:left w:w="28" w:type="dxa"/>
              <w:bottom w:w="28" w:type="dxa"/>
              <w:right w:w="28" w:type="dxa"/>
            </w:tcMar>
            <w:vAlign w:val="center"/>
          </w:tcPr>
          <w:p w14:paraId="0E785622">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w:t>
            </w:r>
          </w:p>
        </w:tc>
        <w:tc>
          <w:tcPr>
            <w:tcW w:w="1230" w:type="pct"/>
            <w:noWrap w:val="0"/>
            <w:tcMar>
              <w:top w:w="28" w:type="dxa"/>
              <w:left w:w="28" w:type="dxa"/>
              <w:bottom w:w="28" w:type="dxa"/>
              <w:right w:w="28" w:type="dxa"/>
            </w:tcMar>
            <w:vAlign w:val="center"/>
          </w:tcPr>
          <w:p w14:paraId="3148543F">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0137EE18">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r>
      <w:tr w14:paraId="4EFA1B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vMerge w:val="continue"/>
            <w:noWrap w:val="0"/>
            <w:tcMar>
              <w:top w:w="28" w:type="dxa"/>
              <w:left w:w="28" w:type="dxa"/>
              <w:bottom w:w="28" w:type="dxa"/>
              <w:right w:w="28" w:type="dxa"/>
            </w:tcMar>
            <w:vAlign w:val="center"/>
          </w:tcPr>
          <w:p w14:paraId="4FFA3C6E">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717" w:type="pct"/>
            <w:noWrap w:val="0"/>
            <w:tcMar>
              <w:top w:w="28" w:type="dxa"/>
              <w:left w:w="28" w:type="dxa"/>
              <w:bottom w:w="28" w:type="dxa"/>
              <w:right w:w="28" w:type="dxa"/>
            </w:tcMar>
            <w:vAlign w:val="center"/>
          </w:tcPr>
          <w:p w14:paraId="10DB6A37">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color w:val="000000"/>
                <w:sz w:val="21"/>
                <w:szCs w:val="21"/>
              </w:rPr>
              <w:t>非甲烷总烃</w:t>
            </w:r>
          </w:p>
        </w:tc>
        <w:tc>
          <w:tcPr>
            <w:tcW w:w="765" w:type="pct"/>
            <w:noWrap w:val="0"/>
            <w:tcMar>
              <w:top w:w="28" w:type="dxa"/>
              <w:left w:w="28" w:type="dxa"/>
              <w:bottom w:w="28" w:type="dxa"/>
              <w:right w:w="28" w:type="dxa"/>
            </w:tcMar>
            <w:vAlign w:val="center"/>
          </w:tcPr>
          <w:p w14:paraId="54A22CAE">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80</w:t>
            </w:r>
          </w:p>
        </w:tc>
        <w:tc>
          <w:tcPr>
            <w:tcW w:w="731" w:type="pct"/>
            <w:noWrap w:val="0"/>
            <w:tcMar>
              <w:top w:w="28" w:type="dxa"/>
              <w:left w:w="28" w:type="dxa"/>
              <w:bottom w:w="28" w:type="dxa"/>
              <w:right w:w="28" w:type="dxa"/>
            </w:tcMar>
            <w:vAlign w:val="center"/>
          </w:tcPr>
          <w:p w14:paraId="555832F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c>
          <w:tcPr>
            <w:tcW w:w="1230" w:type="pct"/>
            <w:noWrap w:val="0"/>
            <w:tcMar>
              <w:top w:w="28" w:type="dxa"/>
              <w:left w:w="28" w:type="dxa"/>
              <w:bottom w:w="28" w:type="dxa"/>
              <w:right w:w="28" w:type="dxa"/>
            </w:tcMar>
            <w:vAlign w:val="center"/>
          </w:tcPr>
          <w:p w14:paraId="175711B0">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2932C2C2">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2</w:t>
            </w:r>
            <w:r>
              <w:rPr>
                <w:color w:val="000000"/>
                <w:sz w:val="21"/>
                <w:szCs w:val="21"/>
              </w:rPr>
              <w:t>.0</w:t>
            </w:r>
          </w:p>
        </w:tc>
      </w:tr>
      <w:tr w14:paraId="0371DD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vMerge w:val="continue"/>
            <w:noWrap w:val="0"/>
            <w:tcMar>
              <w:top w:w="28" w:type="dxa"/>
              <w:left w:w="28" w:type="dxa"/>
              <w:bottom w:w="28" w:type="dxa"/>
              <w:right w:w="28" w:type="dxa"/>
            </w:tcMar>
            <w:vAlign w:val="center"/>
          </w:tcPr>
          <w:p w14:paraId="17240FF9">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717" w:type="pct"/>
            <w:noWrap w:val="0"/>
            <w:tcMar>
              <w:top w:w="28" w:type="dxa"/>
              <w:left w:w="28" w:type="dxa"/>
              <w:bottom w:w="28" w:type="dxa"/>
              <w:right w:w="28" w:type="dxa"/>
            </w:tcMar>
            <w:vAlign w:val="center"/>
          </w:tcPr>
          <w:p w14:paraId="629DFD30">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color w:val="000000"/>
                <w:sz w:val="21"/>
                <w:szCs w:val="21"/>
              </w:rPr>
              <w:t>甲醛</w:t>
            </w:r>
          </w:p>
        </w:tc>
        <w:tc>
          <w:tcPr>
            <w:tcW w:w="765" w:type="pct"/>
            <w:noWrap w:val="0"/>
            <w:tcMar>
              <w:top w:w="28" w:type="dxa"/>
              <w:left w:w="28" w:type="dxa"/>
              <w:bottom w:w="28" w:type="dxa"/>
              <w:right w:w="28" w:type="dxa"/>
            </w:tcMar>
            <w:vAlign w:val="center"/>
          </w:tcPr>
          <w:p w14:paraId="565BD4E8">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25</w:t>
            </w:r>
          </w:p>
        </w:tc>
        <w:tc>
          <w:tcPr>
            <w:tcW w:w="731" w:type="pct"/>
            <w:noWrap w:val="0"/>
            <w:tcMar>
              <w:top w:w="28" w:type="dxa"/>
              <w:left w:w="28" w:type="dxa"/>
              <w:bottom w:w="28" w:type="dxa"/>
              <w:right w:w="28" w:type="dxa"/>
            </w:tcMar>
            <w:vAlign w:val="center"/>
          </w:tcPr>
          <w:p w14:paraId="1967D5A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0.26</w:t>
            </w:r>
          </w:p>
        </w:tc>
        <w:tc>
          <w:tcPr>
            <w:tcW w:w="1230" w:type="pct"/>
            <w:noWrap w:val="0"/>
            <w:tcMar>
              <w:top w:w="28" w:type="dxa"/>
              <w:left w:w="28" w:type="dxa"/>
              <w:bottom w:w="28" w:type="dxa"/>
              <w:right w:w="28" w:type="dxa"/>
            </w:tcMar>
            <w:vAlign w:val="center"/>
          </w:tcPr>
          <w:p w14:paraId="4E508107">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3F2E833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color w:val="000000"/>
                <w:sz w:val="21"/>
                <w:szCs w:val="21"/>
              </w:rPr>
              <w:t>0.05</w:t>
            </w:r>
          </w:p>
        </w:tc>
      </w:tr>
      <w:tr w14:paraId="56187E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noWrap w:val="0"/>
            <w:tcMar>
              <w:top w:w="28" w:type="dxa"/>
              <w:left w:w="28" w:type="dxa"/>
              <w:bottom w:w="28" w:type="dxa"/>
              <w:right w:w="28" w:type="dxa"/>
            </w:tcMar>
            <w:vAlign w:val="center"/>
          </w:tcPr>
          <w:p w14:paraId="32B896B9">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sz w:val="21"/>
                <w:szCs w:val="21"/>
                <w:u w:val="none"/>
                <w:lang w:val="en-US" w:eastAsia="zh-CN"/>
              </w:rPr>
              <w:t>落砂及砂处理工序</w:t>
            </w:r>
            <w:r>
              <w:rPr>
                <w:color w:val="000000"/>
                <w:sz w:val="21"/>
                <w:szCs w:val="21"/>
              </w:rPr>
              <w:t>DA003</w:t>
            </w:r>
          </w:p>
        </w:tc>
        <w:tc>
          <w:tcPr>
            <w:tcW w:w="717" w:type="pct"/>
            <w:noWrap w:val="0"/>
            <w:tcMar>
              <w:top w:w="28" w:type="dxa"/>
              <w:left w:w="28" w:type="dxa"/>
              <w:bottom w:w="28" w:type="dxa"/>
              <w:right w:w="28" w:type="dxa"/>
            </w:tcMar>
            <w:vAlign w:val="center"/>
          </w:tcPr>
          <w:p w14:paraId="56E0DF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r>
              <w:rPr>
                <w:color w:val="000000"/>
                <w:sz w:val="21"/>
                <w:szCs w:val="21"/>
              </w:rPr>
              <w:t>颗粒物</w:t>
            </w:r>
          </w:p>
        </w:tc>
        <w:tc>
          <w:tcPr>
            <w:tcW w:w="765" w:type="pct"/>
            <w:noWrap w:val="0"/>
            <w:tcMar>
              <w:top w:w="28" w:type="dxa"/>
              <w:left w:w="28" w:type="dxa"/>
              <w:bottom w:w="28" w:type="dxa"/>
              <w:right w:w="28" w:type="dxa"/>
            </w:tcMar>
            <w:vAlign w:val="center"/>
          </w:tcPr>
          <w:p w14:paraId="5AB5710C">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c>
          <w:tcPr>
            <w:tcW w:w="731" w:type="pct"/>
            <w:noWrap w:val="0"/>
            <w:tcMar>
              <w:top w:w="28" w:type="dxa"/>
              <w:left w:w="28" w:type="dxa"/>
              <w:bottom w:w="28" w:type="dxa"/>
              <w:right w:w="28" w:type="dxa"/>
            </w:tcMar>
            <w:vAlign w:val="center"/>
          </w:tcPr>
          <w:p w14:paraId="45CEAE66">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w:t>
            </w:r>
          </w:p>
        </w:tc>
        <w:tc>
          <w:tcPr>
            <w:tcW w:w="1230" w:type="pct"/>
            <w:noWrap w:val="0"/>
            <w:tcMar>
              <w:top w:w="28" w:type="dxa"/>
              <w:left w:w="28" w:type="dxa"/>
              <w:bottom w:w="28" w:type="dxa"/>
              <w:right w:w="28" w:type="dxa"/>
            </w:tcMar>
            <w:vAlign w:val="center"/>
          </w:tcPr>
          <w:p w14:paraId="0C20C00E">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639C53F1">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r>
      <w:tr w14:paraId="1F9ED4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665" w:type="pct"/>
            <w:noWrap w:val="0"/>
            <w:tcMar>
              <w:top w:w="28" w:type="dxa"/>
              <w:left w:w="28" w:type="dxa"/>
              <w:bottom w:w="28" w:type="dxa"/>
              <w:right w:w="28" w:type="dxa"/>
            </w:tcMar>
            <w:vAlign w:val="center"/>
          </w:tcPr>
          <w:p w14:paraId="7E23A849">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抛丸工序DA004</w:t>
            </w:r>
          </w:p>
        </w:tc>
        <w:tc>
          <w:tcPr>
            <w:tcW w:w="717" w:type="pct"/>
            <w:noWrap w:val="0"/>
            <w:tcMar>
              <w:top w:w="28" w:type="dxa"/>
              <w:left w:w="28" w:type="dxa"/>
              <w:bottom w:w="28" w:type="dxa"/>
              <w:right w:w="28" w:type="dxa"/>
            </w:tcMar>
            <w:vAlign w:val="center"/>
          </w:tcPr>
          <w:p w14:paraId="1948E8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r>
              <w:rPr>
                <w:color w:val="000000"/>
                <w:sz w:val="21"/>
                <w:szCs w:val="21"/>
              </w:rPr>
              <w:t>颗粒物</w:t>
            </w:r>
          </w:p>
        </w:tc>
        <w:tc>
          <w:tcPr>
            <w:tcW w:w="765" w:type="pct"/>
            <w:noWrap w:val="0"/>
            <w:tcMar>
              <w:top w:w="28" w:type="dxa"/>
              <w:left w:w="28" w:type="dxa"/>
              <w:bottom w:w="28" w:type="dxa"/>
              <w:right w:w="28" w:type="dxa"/>
            </w:tcMar>
            <w:vAlign w:val="center"/>
          </w:tcPr>
          <w:p w14:paraId="2A037EC8">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c>
          <w:tcPr>
            <w:tcW w:w="731" w:type="pct"/>
            <w:noWrap w:val="0"/>
            <w:tcMar>
              <w:top w:w="28" w:type="dxa"/>
              <w:left w:w="28" w:type="dxa"/>
              <w:bottom w:w="28" w:type="dxa"/>
              <w:right w:w="28" w:type="dxa"/>
            </w:tcMar>
            <w:vAlign w:val="center"/>
          </w:tcPr>
          <w:p w14:paraId="3A37914F">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w:t>
            </w:r>
          </w:p>
        </w:tc>
        <w:tc>
          <w:tcPr>
            <w:tcW w:w="1230" w:type="pct"/>
            <w:noWrap w:val="0"/>
            <w:tcMar>
              <w:top w:w="28" w:type="dxa"/>
              <w:left w:w="28" w:type="dxa"/>
              <w:bottom w:w="28" w:type="dxa"/>
              <w:right w:w="28" w:type="dxa"/>
            </w:tcMar>
            <w:vAlign w:val="center"/>
          </w:tcPr>
          <w:p w14:paraId="5A197AB6">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周界外浓度最高点</w:t>
            </w:r>
          </w:p>
        </w:tc>
        <w:tc>
          <w:tcPr>
            <w:tcW w:w="890" w:type="pct"/>
            <w:noWrap w:val="0"/>
            <w:tcMar>
              <w:top w:w="28" w:type="dxa"/>
              <w:left w:w="28" w:type="dxa"/>
              <w:bottom w:w="28" w:type="dxa"/>
              <w:right w:w="28" w:type="dxa"/>
            </w:tcMar>
            <w:vAlign w:val="center"/>
          </w:tcPr>
          <w:p w14:paraId="3304DC78">
            <w:pPr>
              <w:pStyle w:val="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1.0</w:t>
            </w:r>
          </w:p>
        </w:tc>
      </w:tr>
    </w:tbl>
    <w:p w14:paraId="03CDBF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 xml:space="preserve">表1.5-3 </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厂区内颗粒物、VOCs无组织排放限值</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685"/>
        <w:gridCol w:w="2823"/>
        <w:gridCol w:w="2848"/>
        <w:gridCol w:w="2439"/>
      </w:tblGrid>
      <w:tr w14:paraId="0591420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60" w:type="pct"/>
            <w:noWrap w:val="0"/>
            <w:tcMar>
              <w:top w:w="28" w:type="dxa"/>
              <w:left w:w="28" w:type="dxa"/>
              <w:bottom w:w="28" w:type="dxa"/>
              <w:right w:w="28" w:type="dxa"/>
            </w:tcMar>
            <w:vAlign w:val="center"/>
          </w:tcPr>
          <w:p w14:paraId="5393116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污染物</w:t>
            </w:r>
          </w:p>
        </w:tc>
        <w:tc>
          <w:tcPr>
            <w:tcW w:w="1441" w:type="pct"/>
            <w:noWrap w:val="0"/>
            <w:tcMar>
              <w:top w:w="28" w:type="dxa"/>
              <w:left w:w="28" w:type="dxa"/>
              <w:bottom w:w="28" w:type="dxa"/>
              <w:right w:w="28" w:type="dxa"/>
            </w:tcMar>
            <w:vAlign w:val="center"/>
          </w:tcPr>
          <w:p w14:paraId="2192772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监控点限值（mg/m</w:t>
            </w:r>
            <w:r>
              <w:rPr>
                <w:highlight w:val="none"/>
                <w:vertAlign w:val="superscript"/>
              </w:rPr>
              <w:t>3</w:t>
            </w:r>
            <w:r>
              <w:rPr>
                <w:highlight w:val="none"/>
              </w:rPr>
              <w:t>）</w:t>
            </w:r>
          </w:p>
        </w:tc>
        <w:tc>
          <w:tcPr>
            <w:tcW w:w="1454" w:type="pct"/>
            <w:noWrap w:val="0"/>
            <w:tcMar>
              <w:top w:w="28" w:type="dxa"/>
              <w:left w:w="28" w:type="dxa"/>
              <w:bottom w:w="28" w:type="dxa"/>
              <w:right w:w="28" w:type="dxa"/>
            </w:tcMar>
            <w:vAlign w:val="center"/>
          </w:tcPr>
          <w:p w14:paraId="79DDD6D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限值意义</w:t>
            </w:r>
          </w:p>
        </w:tc>
        <w:tc>
          <w:tcPr>
            <w:tcW w:w="1245" w:type="pct"/>
            <w:noWrap w:val="0"/>
            <w:tcMar>
              <w:top w:w="28" w:type="dxa"/>
              <w:left w:w="28" w:type="dxa"/>
              <w:bottom w:w="28" w:type="dxa"/>
              <w:right w:w="28" w:type="dxa"/>
            </w:tcMar>
            <w:vAlign w:val="center"/>
          </w:tcPr>
          <w:p w14:paraId="258B17E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无组织排放监控位置</w:t>
            </w:r>
          </w:p>
        </w:tc>
      </w:tr>
      <w:tr w14:paraId="3DEF9EF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60" w:type="pct"/>
            <w:noWrap w:val="0"/>
            <w:tcMar>
              <w:top w:w="28" w:type="dxa"/>
              <w:left w:w="28" w:type="dxa"/>
              <w:bottom w:w="28" w:type="dxa"/>
              <w:right w:w="28" w:type="dxa"/>
            </w:tcMar>
            <w:vAlign w:val="center"/>
          </w:tcPr>
          <w:p w14:paraId="6F48391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颗粒物</w:t>
            </w:r>
          </w:p>
        </w:tc>
        <w:tc>
          <w:tcPr>
            <w:tcW w:w="1441" w:type="pct"/>
            <w:noWrap w:val="0"/>
            <w:tcMar>
              <w:top w:w="28" w:type="dxa"/>
              <w:left w:w="28" w:type="dxa"/>
              <w:bottom w:w="28" w:type="dxa"/>
              <w:right w:w="28" w:type="dxa"/>
            </w:tcMar>
            <w:vAlign w:val="center"/>
          </w:tcPr>
          <w:p w14:paraId="1B23E09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5</w:t>
            </w:r>
          </w:p>
        </w:tc>
        <w:tc>
          <w:tcPr>
            <w:tcW w:w="1454" w:type="pct"/>
            <w:vMerge w:val="restart"/>
            <w:noWrap w:val="0"/>
            <w:tcMar>
              <w:top w:w="28" w:type="dxa"/>
              <w:left w:w="28" w:type="dxa"/>
              <w:bottom w:w="28" w:type="dxa"/>
              <w:right w:w="28" w:type="dxa"/>
            </w:tcMar>
            <w:vAlign w:val="center"/>
          </w:tcPr>
          <w:p w14:paraId="478130B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监控点处1h平均浓度值</w:t>
            </w:r>
          </w:p>
        </w:tc>
        <w:tc>
          <w:tcPr>
            <w:tcW w:w="1245" w:type="pct"/>
            <w:vMerge w:val="restart"/>
            <w:noWrap w:val="0"/>
            <w:tcMar>
              <w:top w:w="28" w:type="dxa"/>
              <w:left w:w="28" w:type="dxa"/>
              <w:bottom w:w="28" w:type="dxa"/>
              <w:right w:w="28" w:type="dxa"/>
            </w:tcMar>
            <w:vAlign w:val="center"/>
          </w:tcPr>
          <w:p w14:paraId="62A0E76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在厂房</w:t>
            </w:r>
          </w:p>
          <w:p w14:paraId="0E84E5C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外设置监控点</w:t>
            </w:r>
          </w:p>
        </w:tc>
      </w:tr>
      <w:tr w14:paraId="192476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60" w:type="pct"/>
            <w:vMerge w:val="restart"/>
            <w:noWrap w:val="0"/>
            <w:tcMar>
              <w:top w:w="28" w:type="dxa"/>
              <w:left w:w="28" w:type="dxa"/>
              <w:bottom w:w="28" w:type="dxa"/>
              <w:right w:w="28" w:type="dxa"/>
            </w:tcMar>
            <w:vAlign w:val="center"/>
          </w:tcPr>
          <w:p w14:paraId="64671D5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NMHC</w:t>
            </w:r>
          </w:p>
        </w:tc>
        <w:tc>
          <w:tcPr>
            <w:tcW w:w="1441" w:type="pct"/>
            <w:noWrap w:val="0"/>
            <w:tcMar>
              <w:top w:w="28" w:type="dxa"/>
              <w:left w:w="28" w:type="dxa"/>
              <w:bottom w:w="28" w:type="dxa"/>
              <w:right w:w="28" w:type="dxa"/>
            </w:tcMar>
            <w:vAlign w:val="center"/>
          </w:tcPr>
          <w:p w14:paraId="6A34CA2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10</w:t>
            </w:r>
          </w:p>
        </w:tc>
        <w:tc>
          <w:tcPr>
            <w:tcW w:w="1454" w:type="pct"/>
            <w:vMerge w:val="continue"/>
            <w:noWrap w:val="0"/>
            <w:tcMar>
              <w:top w:w="28" w:type="dxa"/>
              <w:left w:w="28" w:type="dxa"/>
              <w:bottom w:w="28" w:type="dxa"/>
              <w:right w:w="28" w:type="dxa"/>
            </w:tcMar>
            <w:vAlign w:val="center"/>
          </w:tcPr>
          <w:p w14:paraId="74EBE92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p>
        </w:tc>
        <w:tc>
          <w:tcPr>
            <w:tcW w:w="1245" w:type="pct"/>
            <w:vMerge w:val="continue"/>
            <w:noWrap w:val="0"/>
            <w:tcMar>
              <w:top w:w="28" w:type="dxa"/>
              <w:left w:w="28" w:type="dxa"/>
              <w:bottom w:w="28" w:type="dxa"/>
              <w:right w:w="28" w:type="dxa"/>
            </w:tcMar>
            <w:vAlign w:val="center"/>
          </w:tcPr>
          <w:p w14:paraId="00D8ADC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p>
        </w:tc>
      </w:tr>
      <w:tr w14:paraId="4029C1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60" w:type="pct"/>
            <w:vMerge w:val="continue"/>
            <w:noWrap w:val="0"/>
            <w:tcMar>
              <w:top w:w="28" w:type="dxa"/>
              <w:left w:w="28" w:type="dxa"/>
              <w:bottom w:w="28" w:type="dxa"/>
              <w:right w:w="28" w:type="dxa"/>
            </w:tcMar>
            <w:vAlign w:val="center"/>
          </w:tcPr>
          <w:p w14:paraId="13B1111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p>
        </w:tc>
        <w:tc>
          <w:tcPr>
            <w:tcW w:w="1441" w:type="pct"/>
            <w:noWrap w:val="0"/>
            <w:tcMar>
              <w:top w:w="28" w:type="dxa"/>
              <w:left w:w="28" w:type="dxa"/>
              <w:bottom w:w="28" w:type="dxa"/>
              <w:right w:w="28" w:type="dxa"/>
            </w:tcMar>
            <w:vAlign w:val="center"/>
          </w:tcPr>
          <w:p w14:paraId="4CA166D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30</w:t>
            </w:r>
          </w:p>
        </w:tc>
        <w:tc>
          <w:tcPr>
            <w:tcW w:w="1454" w:type="pct"/>
            <w:noWrap w:val="0"/>
            <w:tcMar>
              <w:top w:w="28" w:type="dxa"/>
              <w:left w:w="28" w:type="dxa"/>
              <w:bottom w:w="28" w:type="dxa"/>
              <w:right w:w="28" w:type="dxa"/>
            </w:tcMar>
            <w:vAlign w:val="center"/>
          </w:tcPr>
          <w:p w14:paraId="17FAE80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r>
              <w:rPr>
                <w:highlight w:val="none"/>
              </w:rPr>
              <w:t>监控点任意一次浓度值</w:t>
            </w:r>
          </w:p>
        </w:tc>
        <w:tc>
          <w:tcPr>
            <w:tcW w:w="1245" w:type="pct"/>
            <w:vMerge w:val="continue"/>
            <w:noWrap w:val="0"/>
            <w:tcMar>
              <w:top w:w="28" w:type="dxa"/>
              <w:left w:w="28" w:type="dxa"/>
              <w:bottom w:w="28" w:type="dxa"/>
              <w:right w:w="28" w:type="dxa"/>
            </w:tcMar>
            <w:vAlign w:val="center"/>
          </w:tcPr>
          <w:p w14:paraId="747A73B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highlight w:val="none"/>
              </w:rPr>
            </w:pPr>
          </w:p>
        </w:tc>
      </w:tr>
    </w:tbl>
    <w:p w14:paraId="178888CF">
      <w:pPr>
        <w:pStyle w:val="3"/>
        <w:keepNext w:val="0"/>
        <w:keepLines w:val="0"/>
        <w:numPr>
          <w:ilvl w:val="1"/>
          <w:numId w:val="0"/>
        </w:numPr>
        <w:autoSpaceDE w:val="0"/>
        <w:autoSpaceDN w:val="0"/>
        <w:adjustRightInd w:val="0"/>
        <w:snapToGrid w:val="0"/>
        <w:spacing w:before="0" w:after="0" w:line="600" w:lineRule="exact"/>
        <w:ind w:left="1536" w:leftChars="0" w:hanging="1536" w:hangingChars="510"/>
        <w:textAlignment w:val="baseline"/>
        <w:rPr>
          <w:rFonts w:hint="default" w:ascii="Times New Roman" w:hAnsi="Times New Roman" w:eastAsia="宋体" w:cs="Times New Roman"/>
          <w:sz w:val="30"/>
        </w:rPr>
      </w:pPr>
      <w:bookmarkStart w:id="133" w:name="_bookmark8"/>
      <w:bookmarkEnd w:id="133"/>
      <w:bookmarkStart w:id="134" w:name="_Toc161600300"/>
      <w:bookmarkEnd w:id="134"/>
      <w:bookmarkStart w:id="135" w:name="_Toc161600302"/>
      <w:bookmarkStart w:id="136" w:name="_Toc8260"/>
      <w:bookmarkStart w:id="137" w:name="_Toc90412707"/>
      <w:bookmarkStart w:id="138" w:name="_Toc30897"/>
      <w:bookmarkStart w:id="139" w:name="_Toc70413138"/>
      <w:r>
        <w:rPr>
          <w:rFonts w:hint="default" w:ascii="Times New Roman" w:hAnsi="Times New Roman" w:eastAsia="黑体" w:cs="Times New Roman"/>
          <w:b/>
          <w:i w:val="0"/>
          <w:caps w:val="0"/>
          <w:strike w:val="0"/>
          <w:dstrike w:val="0"/>
          <w:vanish w:val="0"/>
          <w:kern w:val="2"/>
          <w:sz w:val="30"/>
          <w:szCs w:val="30"/>
          <w:vertAlign w:val="baseline"/>
          <w:lang w:val="en-US" w:eastAsia="zh-CN" w:bidi="ar-SA"/>
        </w:rPr>
        <w:t>1.</w:t>
      </w:r>
      <w:r>
        <w:rPr>
          <w:rFonts w:hint="eastAsia" w:eastAsia="黑体" w:cs="Times New Roman"/>
          <w:b/>
          <w:i w:val="0"/>
          <w:caps w:val="0"/>
          <w:strike w:val="0"/>
          <w:dstrike w:val="0"/>
          <w:vanish w:val="0"/>
          <w:kern w:val="2"/>
          <w:sz w:val="30"/>
          <w:szCs w:val="30"/>
          <w:vertAlign w:val="baseline"/>
          <w:lang w:val="en-US" w:eastAsia="zh-CN" w:bidi="ar-SA"/>
        </w:rPr>
        <w:t>6</w:t>
      </w:r>
      <w:r>
        <w:rPr>
          <w:rFonts w:hint="default" w:ascii="Times New Roman" w:hAnsi="Times New Roman" w:eastAsia="黑体" w:cs="Times New Roman"/>
          <w:b/>
          <w:i w:val="0"/>
          <w:caps w:val="0"/>
          <w:strike w:val="0"/>
          <w:dstrike w:val="0"/>
          <w:vanish w:val="0"/>
          <w:kern w:val="2"/>
          <w:sz w:val="30"/>
          <w:szCs w:val="30"/>
          <w:vertAlign w:val="baseline"/>
          <w:lang w:val="en-US" w:eastAsia="zh-CN" w:bidi="ar-SA"/>
        </w:rPr>
        <w:t>.</w:t>
      </w:r>
      <w:r>
        <w:rPr>
          <w:rFonts w:hint="default" w:ascii="Times New Roman" w:hAnsi="Times New Roman" w:eastAsia="宋体" w:cs="Times New Roman"/>
          <w:sz w:val="30"/>
        </w:rPr>
        <w:t>工作程序</w:t>
      </w:r>
      <w:bookmarkEnd w:id="135"/>
      <w:bookmarkEnd w:id="136"/>
      <w:bookmarkEnd w:id="137"/>
      <w:bookmarkEnd w:id="138"/>
      <w:bookmarkEnd w:id="139"/>
    </w:p>
    <w:p w14:paraId="4B6458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default"/>
          <w:sz w:val="24"/>
          <w:szCs w:val="24"/>
        </w:rPr>
        <w:t>第一阶段：主要工作包括研究有关文件，项目污染源调查，环境空气保护目标调查，评价因子筛选与评价标准确定，区域气象与地表特征调查，收集区域地形参数，确定评价等级和评价范围等。</w:t>
      </w:r>
    </w:p>
    <w:p w14:paraId="04AE8E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kern w:val="0"/>
          <w:sz w:val="24"/>
          <w:szCs w:val="24"/>
        </w:rPr>
      </w:pPr>
      <w:r>
        <w:rPr>
          <w:rFonts w:hint="default" w:ascii="Times New Roman" w:hAnsi="Times New Roman" w:cs="Times New Roman"/>
          <w:snapToGrid w:val="0"/>
          <w:kern w:val="0"/>
          <w:sz w:val="24"/>
          <w:szCs w:val="24"/>
        </w:rPr>
        <w:t>第二阶段：主要工作依据评价等级要求开展，包括与项目评价相关污染源调查与核实，选择适合的预测模型，环境质量现状调查或补充监测，收集建立模型所需气象、地表参数等基础数据，确定预测内容与预测方案，开展大气环境影响预测与评价工作等。</w:t>
      </w:r>
    </w:p>
    <w:p w14:paraId="5C3037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kern w:val="0"/>
          <w:sz w:val="24"/>
          <w:szCs w:val="24"/>
        </w:rPr>
      </w:pPr>
      <w:r>
        <w:rPr>
          <w:rFonts w:hint="default" w:ascii="Times New Roman" w:hAnsi="Times New Roman" w:cs="Times New Roman"/>
          <w:snapToGrid w:val="0"/>
          <w:kern w:val="0"/>
          <w:sz w:val="24"/>
          <w:szCs w:val="24"/>
        </w:rPr>
        <w:t>第三阶段：主要工作包括制定环境监测计划，明确大气环境影响评价结论与建议，完成环境影响评价文件的编写等。</w:t>
      </w: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5"/>
      </w:tblGrid>
      <w:tr w14:paraId="46622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55" w:type="dxa"/>
          </w:tcPr>
          <w:p w14:paraId="6D704D0E">
            <w:pPr>
              <w:keepNext w:val="0"/>
              <w:keepLines w:val="0"/>
              <w:pageBreakBefore w:val="0"/>
              <w:widowControl w:val="0"/>
              <w:kinsoku/>
              <w:wordWrap/>
              <w:overflowPunct/>
              <w:topLinePunct w:val="0"/>
              <w:autoSpaceDE/>
              <w:autoSpaceDN/>
              <w:bidi w:val="0"/>
              <w:adjustRightInd/>
              <w:spacing w:line="360" w:lineRule="auto"/>
              <w:jc w:val="center"/>
              <w:textAlignment w:val="auto"/>
              <w:rPr>
                <w:rStyle w:val="34"/>
                <w:rFonts w:hint="default" w:ascii="Times New Roman" w:hAnsi="Times New Roman" w:eastAsia="宋体" w:cs="Times New Roman"/>
                <w:vertAlign w:val="baseline"/>
              </w:rPr>
            </w:pPr>
            <w:r>
              <w:drawing>
                <wp:inline distT="0" distB="0" distL="114300" distR="114300">
                  <wp:extent cx="5815330" cy="7548880"/>
                  <wp:effectExtent l="0" t="0" r="13970" b="1397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23"/>
                          <a:srcRect l="1709" b="3098"/>
                          <a:stretch>
                            <a:fillRect/>
                          </a:stretch>
                        </pic:blipFill>
                        <pic:spPr>
                          <a:xfrm>
                            <a:off x="0" y="0"/>
                            <a:ext cx="5815330" cy="7548880"/>
                          </a:xfrm>
                          <a:prstGeom prst="rect">
                            <a:avLst/>
                          </a:prstGeom>
                          <a:noFill/>
                          <a:ln>
                            <a:noFill/>
                          </a:ln>
                        </pic:spPr>
                      </pic:pic>
                    </a:graphicData>
                  </a:graphic>
                </wp:inline>
              </w:drawing>
            </w:r>
          </w:p>
        </w:tc>
      </w:tr>
    </w:tbl>
    <w:p w14:paraId="01DC9DEA">
      <w:pPr>
        <w:keepNext w:val="0"/>
        <w:keepLines w:val="0"/>
        <w:pageBreakBefore w:val="0"/>
        <w:widowControl w:val="0"/>
        <w:kinsoku/>
        <w:wordWrap/>
        <w:overflowPunct/>
        <w:topLinePunct w:val="0"/>
        <w:autoSpaceDE/>
        <w:autoSpaceDN/>
        <w:bidi w:val="0"/>
        <w:adjustRightInd/>
        <w:spacing w:line="360" w:lineRule="auto"/>
        <w:jc w:val="center"/>
        <w:textAlignment w:val="auto"/>
        <w:rPr>
          <w:rStyle w:val="34"/>
          <w:rFonts w:hint="default" w:ascii="Times New Roman" w:hAnsi="Times New Roman" w:eastAsia="黑体" w:cs="Times New Roman"/>
          <w:lang w:val="en-US" w:eastAsia="zh-CN"/>
        </w:rPr>
        <w:sectPr>
          <w:pgSz w:w="11905" w:h="16838"/>
          <w:pgMar w:top="1440" w:right="1083" w:bottom="1440" w:left="1083" w:header="850" w:footer="992" w:gutter="0"/>
          <w:pgNumType w:fmt="decimal" w:start="1"/>
          <w:cols w:space="0" w:num="1"/>
          <w:titlePg/>
          <w:rtlGutter w:val="0"/>
          <w:docGrid w:type="lines" w:linePitch="318" w:charSpace="0"/>
        </w:sectPr>
      </w:pPr>
      <w:r>
        <w:rPr>
          <w:rStyle w:val="34"/>
          <w:rFonts w:hint="default" w:ascii="Times New Roman" w:hAnsi="Times New Roman" w:eastAsia="黑体" w:cs="Times New Roman"/>
        </w:rPr>
        <w:t xml:space="preserve">图1.7-1 </w:t>
      </w:r>
      <w:r>
        <w:rPr>
          <w:rStyle w:val="34"/>
          <w:rFonts w:hint="default" w:ascii="Times New Roman" w:hAnsi="Times New Roman" w:eastAsia="黑体" w:cs="Times New Roman"/>
          <w:lang w:val="en-US" w:eastAsia="zh-CN"/>
        </w:rPr>
        <w:t xml:space="preserve"> </w:t>
      </w:r>
      <w:r>
        <w:rPr>
          <w:rStyle w:val="34"/>
          <w:rFonts w:hint="default" w:ascii="Times New Roman" w:hAnsi="Times New Roman" w:eastAsia="黑体" w:cs="Times New Roman"/>
        </w:rPr>
        <w:t>大气环境影响评价工作程</w:t>
      </w:r>
      <w:r>
        <w:rPr>
          <w:rStyle w:val="34"/>
          <w:rFonts w:hint="default" w:ascii="Times New Roman" w:hAnsi="Times New Roman" w:eastAsia="黑体" w:cs="Times New Roman"/>
          <w:lang w:val="en-US" w:eastAsia="zh-CN"/>
        </w:rPr>
        <w:t>序</w:t>
      </w:r>
    </w:p>
    <w:p w14:paraId="1C25BB14">
      <w:pPr>
        <w:pStyle w:val="2"/>
        <w:jc w:val="center"/>
      </w:pPr>
      <w:bookmarkStart w:id="140" w:name="_Toc10151"/>
      <w:bookmarkStart w:id="141" w:name="_Toc10772"/>
      <w:bookmarkStart w:id="142" w:name="_Toc26452"/>
      <w:bookmarkStart w:id="143" w:name="_Toc3004"/>
      <w:bookmarkStart w:id="144" w:name="_Toc27186"/>
      <w:bookmarkStart w:id="145" w:name="_Toc161600303"/>
      <w:r>
        <w:rPr>
          <w:rFonts w:hint="eastAsia"/>
        </w:rPr>
        <w:t xml:space="preserve">第2章 </w:t>
      </w:r>
      <w:r>
        <w:t>工程分析</w:t>
      </w:r>
      <w:bookmarkEnd w:id="140"/>
      <w:bookmarkEnd w:id="141"/>
      <w:bookmarkEnd w:id="142"/>
      <w:bookmarkEnd w:id="143"/>
      <w:bookmarkEnd w:id="144"/>
      <w:bookmarkEnd w:id="145"/>
    </w:p>
    <w:p w14:paraId="72B8C5F5">
      <w:pPr>
        <w:pStyle w:val="3"/>
      </w:pPr>
      <w:bookmarkStart w:id="146" w:name="_bookmark9"/>
      <w:bookmarkEnd w:id="146"/>
      <w:bookmarkStart w:id="147" w:name="_Toc27370"/>
      <w:bookmarkStart w:id="148" w:name="_Toc11010"/>
      <w:bookmarkStart w:id="149" w:name="_Toc161600304"/>
      <w:bookmarkStart w:id="150" w:name="_Toc2987"/>
      <w:r>
        <w:rPr>
          <w:rFonts w:hint="eastAsia"/>
        </w:rPr>
        <w:t>2</w:t>
      </w:r>
      <w:r>
        <w:t>.1.项目基本情况</w:t>
      </w:r>
      <w:bookmarkEnd w:id="147"/>
      <w:bookmarkEnd w:id="148"/>
      <w:bookmarkEnd w:id="149"/>
      <w:bookmarkEnd w:id="150"/>
    </w:p>
    <w:p w14:paraId="6512D9A3">
      <w:pPr>
        <w:adjustRightInd w:val="0"/>
        <w:snapToGrid w:val="0"/>
        <w:spacing w:line="440" w:lineRule="exact"/>
        <w:ind w:firstLine="522"/>
        <w:jc w:val="left"/>
        <w:rPr>
          <w:snapToGrid w:val="0"/>
          <w:kern w:val="0"/>
          <w:sz w:val="24"/>
        </w:rPr>
      </w:pPr>
      <w:r>
        <w:rPr>
          <w:rFonts w:hint="eastAsia"/>
          <w:snapToGrid w:val="0"/>
          <w:kern w:val="0"/>
          <w:sz w:val="24"/>
        </w:rPr>
        <w:t>（1）</w:t>
      </w:r>
      <w:r>
        <w:rPr>
          <w:snapToGrid w:val="0"/>
          <w:kern w:val="0"/>
          <w:sz w:val="24"/>
        </w:rPr>
        <w:t>项目名称：</w:t>
      </w:r>
      <w:r>
        <w:rPr>
          <w:rFonts w:hint="eastAsia"/>
          <w:color w:val="000000" w:themeColor="text1"/>
          <w:szCs w:val="24"/>
          <w:lang w:val="en-US" w:eastAsia="zh-CN"/>
          <w14:textFill>
            <w14:solidFill>
              <w14:schemeClr w14:val="tx1"/>
            </w14:solidFill>
          </w14:textFill>
        </w:rPr>
        <w:t>南阳恒卓机械制造有限公司机械制造设备生产项目</w:t>
      </w:r>
      <w:r>
        <w:rPr>
          <w:snapToGrid w:val="0"/>
          <w:kern w:val="0"/>
          <w:sz w:val="24"/>
        </w:rPr>
        <w:t>；</w:t>
      </w:r>
    </w:p>
    <w:p w14:paraId="127DAAB5">
      <w:pPr>
        <w:adjustRightInd w:val="0"/>
        <w:snapToGrid w:val="0"/>
        <w:spacing w:line="440" w:lineRule="exact"/>
        <w:ind w:firstLine="522"/>
        <w:jc w:val="left"/>
        <w:rPr>
          <w:snapToGrid w:val="0"/>
          <w:kern w:val="0"/>
          <w:sz w:val="24"/>
        </w:rPr>
      </w:pPr>
      <w:r>
        <w:rPr>
          <w:rFonts w:hint="eastAsia"/>
          <w:snapToGrid w:val="0"/>
          <w:kern w:val="0"/>
          <w:sz w:val="24"/>
        </w:rPr>
        <w:t>（2）</w:t>
      </w:r>
      <w:r>
        <w:rPr>
          <w:snapToGrid w:val="0"/>
          <w:kern w:val="0"/>
          <w:sz w:val="24"/>
        </w:rPr>
        <w:t>建设单位：</w:t>
      </w:r>
      <w:r>
        <w:rPr>
          <w:rFonts w:hint="eastAsia"/>
          <w:snapToGrid w:val="0"/>
          <w:kern w:val="0"/>
          <w:sz w:val="24"/>
          <w:lang w:val="en-US" w:eastAsia="zh-CN"/>
        </w:rPr>
        <w:t>南阳恒卓机械制造有限公司</w:t>
      </w:r>
      <w:r>
        <w:rPr>
          <w:snapToGrid w:val="0"/>
          <w:kern w:val="0"/>
          <w:sz w:val="24"/>
        </w:rPr>
        <w:t>；</w:t>
      </w:r>
    </w:p>
    <w:p w14:paraId="6FC23E9C">
      <w:pPr>
        <w:adjustRightInd w:val="0"/>
        <w:snapToGrid w:val="0"/>
        <w:spacing w:line="440" w:lineRule="exact"/>
        <w:ind w:firstLine="522"/>
        <w:jc w:val="left"/>
        <w:rPr>
          <w:snapToGrid w:val="0"/>
          <w:kern w:val="0"/>
          <w:sz w:val="24"/>
        </w:rPr>
      </w:pPr>
      <w:r>
        <w:rPr>
          <w:rFonts w:hint="eastAsia"/>
          <w:snapToGrid w:val="0"/>
          <w:kern w:val="0"/>
          <w:sz w:val="24"/>
        </w:rPr>
        <w:t>（3）</w:t>
      </w:r>
      <w:r>
        <w:rPr>
          <w:snapToGrid w:val="0"/>
          <w:kern w:val="0"/>
          <w:sz w:val="24"/>
        </w:rPr>
        <w:t>建设性质：</w:t>
      </w:r>
      <w:r>
        <w:rPr>
          <w:rFonts w:hint="eastAsia"/>
          <w:snapToGrid w:val="0"/>
          <w:kern w:val="0"/>
          <w:sz w:val="24"/>
          <w:lang w:val="en-US" w:eastAsia="zh-CN"/>
        </w:rPr>
        <w:t>新</w:t>
      </w:r>
      <w:r>
        <w:rPr>
          <w:snapToGrid w:val="0"/>
          <w:kern w:val="0"/>
          <w:sz w:val="24"/>
        </w:rPr>
        <w:t>建；</w:t>
      </w:r>
    </w:p>
    <w:p w14:paraId="34FDCD17">
      <w:pPr>
        <w:adjustRightInd w:val="0"/>
        <w:snapToGrid w:val="0"/>
        <w:spacing w:line="440" w:lineRule="exact"/>
        <w:ind w:firstLine="522"/>
        <w:jc w:val="left"/>
        <w:rPr>
          <w:snapToGrid w:val="0"/>
          <w:kern w:val="0"/>
          <w:sz w:val="24"/>
        </w:rPr>
      </w:pPr>
      <w:r>
        <w:rPr>
          <w:rFonts w:hint="eastAsia"/>
          <w:snapToGrid w:val="0"/>
          <w:kern w:val="0"/>
          <w:sz w:val="24"/>
        </w:rPr>
        <w:t>（4）</w:t>
      </w:r>
      <w:r>
        <w:rPr>
          <w:snapToGrid w:val="0"/>
          <w:kern w:val="0"/>
          <w:sz w:val="24"/>
        </w:rPr>
        <w:t>行业类别：</w:t>
      </w:r>
      <w:r>
        <w:rPr>
          <w:sz w:val="24"/>
        </w:rPr>
        <w:t>C339</w:t>
      </w:r>
      <w:r>
        <w:rPr>
          <w:rFonts w:hint="eastAsia"/>
          <w:sz w:val="24"/>
          <w:lang w:val="en-US" w:eastAsia="zh-CN"/>
        </w:rPr>
        <w:t>1黑</w:t>
      </w:r>
      <w:r>
        <w:rPr>
          <w:sz w:val="24"/>
        </w:rPr>
        <w:t>色金属铸造</w:t>
      </w:r>
      <w:r>
        <w:rPr>
          <w:snapToGrid w:val="0"/>
          <w:kern w:val="0"/>
          <w:sz w:val="24"/>
        </w:rPr>
        <w:t>；</w:t>
      </w:r>
    </w:p>
    <w:p w14:paraId="5445718A">
      <w:pPr>
        <w:adjustRightInd w:val="0"/>
        <w:snapToGrid w:val="0"/>
        <w:spacing w:line="440" w:lineRule="exact"/>
        <w:ind w:firstLine="522"/>
        <w:jc w:val="left"/>
        <w:rPr>
          <w:snapToGrid w:val="0"/>
          <w:kern w:val="0"/>
          <w:sz w:val="24"/>
        </w:rPr>
      </w:pPr>
      <w:r>
        <w:rPr>
          <w:rFonts w:hint="eastAsia"/>
          <w:snapToGrid w:val="0"/>
          <w:kern w:val="0"/>
          <w:sz w:val="24"/>
        </w:rPr>
        <w:t>（5）</w:t>
      </w:r>
      <w:r>
        <w:rPr>
          <w:snapToGrid w:val="0"/>
          <w:kern w:val="0"/>
          <w:sz w:val="24"/>
        </w:rPr>
        <w:t>建设地点：</w:t>
      </w:r>
      <w:r>
        <w:rPr>
          <w:rFonts w:hint="eastAsia" w:eastAsia="宋体"/>
          <w:color w:val="000000" w:themeColor="text1"/>
          <w:szCs w:val="24"/>
          <w:highlight w:val="none"/>
          <w:lang w:val="en-US" w:eastAsia="zh-CN"/>
          <w14:textFill>
            <w14:solidFill>
              <w14:schemeClr w14:val="tx1"/>
            </w14:solidFill>
          </w14:textFill>
        </w:rPr>
        <w:t>南阳市镇平县</w:t>
      </w:r>
      <w:r>
        <w:rPr>
          <w:rFonts w:hint="eastAsia"/>
          <w:color w:val="000000" w:themeColor="text1"/>
          <w:szCs w:val="24"/>
          <w:highlight w:val="none"/>
          <w:lang w:val="en-US" w:eastAsia="zh-CN"/>
          <w14:textFill>
            <w14:solidFill>
              <w14:schemeClr w14:val="tx1"/>
            </w14:solidFill>
          </w14:textFill>
        </w:rPr>
        <w:t>先进制造业开发区</w:t>
      </w:r>
      <w:r>
        <w:rPr>
          <w:rFonts w:hint="eastAsia" w:eastAsia="宋体"/>
          <w:color w:val="000000" w:themeColor="text1"/>
          <w:szCs w:val="24"/>
          <w:highlight w:val="none"/>
          <w:lang w:val="en-US" w:eastAsia="zh-CN"/>
          <w14:textFill>
            <w14:solidFill>
              <w14:schemeClr w14:val="tx1"/>
            </w14:solidFill>
          </w14:textFill>
        </w:rPr>
        <w:t>玉神路与建设路交叉口北200米8号</w:t>
      </w:r>
      <w:r>
        <w:rPr>
          <w:snapToGrid w:val="0"/>
          <w:kern w:val="0"/>
          <w:sz w:val="24"/>
        </w:rPr>
        <w:t>；</w:t>
      </w:r>
    </w:p>
    <w:p w14:paraId="3B0BA0C8">
      <w:pPr>
        <w:adjustRightInd w:val="0"/>
        <w:snapToGrid w:val="0"/>
        <w:spacing w:line="440" w:lineRule="exact"/>
        <w:ind w:firstLine="522"/>
        <w:jc w:val="left"/>
        <w:rPr>
          <w:snapToGrid w:val="0"/>
          <w:kern w:val="0"/>
          <w:sz w:val="24"/>
        </w:rPr>
      </w:pPr>
      <w:r>
        <w:rPr>
          <w:rFonts w:hint="eastAsia"/>
          <w:snapToGrid w:val="0"/>
          <w:kern w:val="0"/>
          <w:sz w:val="24"/>
        </w:rPr>
        <w:t>（6）</w:t>
      </w:r>
      <w:r>
        <w:rPr>
          <w:snapToGrid w:val="0"/>
          <w:kern w:val="0"/>
          <w:sz w:val="24"/>
        </w:rPr>
        <w:t>项目投资：项目总投资</w:t>
      </w:r>
      <w:r>
        <w:rPr>
          <w:rFonts w:hint="default"/>
          <w:snapToGrid w:val="0"/>
          <w:kern w:val="0"/>
          <w:sz w:val="24"/>
          <w:lang w:val="en-US" w:eastAsia="zh-CN"/>
        </w:rPr>
        <w:t>5300万元</w:t>
      </w:r>
      <w:r>
        <w:rPr>
          <w:snapToGrid w:val="0"/>
          <w:kern w:val="0"/>
          <w:sz w:val="24"/>
        </w:rPr>
        <w:t>人民币，其中环保总投资</w:t>
      </w:r>
      <w:r>
        <w:rPr>
          <w:rFonts w:hint="eastAsia"/>
          <w:snapToGrid w:val="0"/>
          <w:kern w:val="0"/>
          <w:sz w:val="24"/>
          <w:lang w:val="en-US" w:eastAsia="zh-CN"/>
        </w:rPr>
        <w:t>93.0</w:t>
      </w:r>
      <w:r>
        <w:rPr>
          <w:snapToGrid w:val="0"/>
          <w:kern w:val="0"/>
          <w:sz w:val="24"/>
        </w:rPr>
        <w:t>万元，占总投资的</w:t>
      </w:r>
      <w:r>
        <w:rPr>
          <w:rFonts w:hint="eastAsia"/>
          <w:snapToGrid w:val="0"/>
          <w:kern w:val="0"/>
          <w:sz w:val="24"/>
          <w:lang w:val="en-US" w:eastAsia="zh-CN"/>
        </w:rPr>
        <w:t>1.75</w:t>
      </w:r>
      <w:r>
        <w:rPr>
          <w:snapToGrid w:val="0"/>
          <w:kern w:val="0"/>
          <w:sz w:val="24"/>
          <w:highlight w:val="none"/>
        </w:rPr>
        <w:t>%</w:t>
      </w:r>
      <w:r>
        <w:rPr>
          <w:snapToGrid w:val="0"/>
          <w:kern w:val="0"/>
          <w:sz w:val="24"/>
        </w:rPr>
        <w:t>；</w:t>
      </w:r>
    </w:p>
    <w:p w14:paraId="613149E5">
      <w:pPr>
        <w:adjustRightInd w:val="0"/>
        <w:snapToGrid w:val="0"/>
        <w:spacing w:line="440" w:lineRule="exact"/>
        <w:ind w:firstLine="522"/>
        <w:jc w:val="left"/>
        <w:rPr>
          <w:snapToGrid w:val="0"/>
          <w:kern w:val="0"/>
          <w:sz w:val="24"/>
        </w:rPr>
      </w:pPr>
      <w:r>
        <w:rPr>
          <w:rFonts w:hint="eastAsia"/>
          <w:snapToGrid w:val="0"/>
          <w:kern w:val="0"/>
          <w:sz w:val="24"/>
        </w:rPr>
        <w:t>（7）</w:t>
      </w:r>
      <w:r>
        <w:rPr>
          <w:snapToGrid w:val="0"/>
          <w:kern w:val="0"/>
          <w:sz w:val="24"/>
        </w:rPr>
        <w:t>占地面积：</w:t>
      </w:r>
      <w:r>
        <w:rPr>
          <w:rFonts w:hint="eastAsia"/>
          <w:snapToGrid w:val="0"/>
          <w:kern w:val="0"/>
          <w:sz w:val="24"/>
          <w:lang w:val="en-US" w:eastAsia="zh-CN"/>
        </w:rPr>
        <w:t>7000</w:t>
      </w:r>
      <w:r>
        <w:rPr>
          <w:snapToGrid w:val="0"/>
          <w:kern w:val="0"/>
          <w:sz w:val="24"/>
        </w:rPr>
        <w:t>m</w:t>
      </w:r>
      <w:r>
        <w:rPr>
          <w:snapToGrid w:val="0"/>
          <w:kern w:val="0"/>
          <w:sz w:val="24"/>
          <w:vertAlign w:val="superscript"/>
        </w:rPr>
        <w:t>2</w:t>
      </w:r>
      <w:r>
        <w:rPr>
          <w:snapToGrid w:val="0"/>
          <w:kern w:val="0"/>
          <w:sz w:val="24"/>
        </w:rPr>
        <w:t>；</w:t>
      </w:r>
    </w:p>
    <w:p w14:paraId="3FF66853">
      <w:pPr>
        <w:adjustRightInd w:val="0"/>
        <w:snapToGrid w:val="0"/>
        <w:spacing w:line="440" w:lineRule="exact"/>
        <w:ind w:firstLine="522"/>
        <w:jc w:val="left"/>
        <w:rPr>
          <w:snapToGrid w:val="0"/>
          <w:color w:val="000000"/>
          <w:kern w:val="0"/>
          <w:sz w:val="24"/>
          <w:szCs w:val="24"/>
        </w:rPr>
      </w:pPr>
      <w:r>
        <w:rPr>
          <w:rFonts w:hint="eastAsia"/>
          <w:snapToGrid w:val="0"/>
          <w:color w:val="000000"/>
          <w:kern w:val="0"/>
          <w:sz w:val="24"/>
          <w:szCs w:val="24"/>
        </w:rPr>
        <w:t>（8）</w:t>
      </w:r>
      <w:r>
        <w:rPr>
          <w:snapToGrid w:val="0"/>
          <w:color w:val="000000"/>
          <w:kern w:val="0"/>
          <w:sz w:val="24"/>
          <w:szCs w:val="24"/>
        </w:rPr>
        <w:t>劳动定员和工作制度：</w:t>
      </w:r>
      <w:r>
        <w:rPr>
          <w:rFonts w:hint="eastAsia" w:hAnsi="宋体"/>
          <w:color w:val="000000"/>
          <w:sz w:val="24"/>
          <w:szCs w:val="24"/>
        </w:rPr>
        <w:t>本</w:t>
      </w:r>
      <w:r>
        <w:rPr>
          <w:color w:val="000000" w:themeColor="text1"/>
          <w:kern w:val="0"/>
          <w14:textFill>
            <w14:solidFill>
              <w14:schemeClr w14:val="tx1"/>
            </w14:solidFill>
          </w14:textFill>
        </w:rPr>
        <w:t>项目职工人数为</w:t>
      </w:r>
      <w:r>
        <w:rPr>
          <w:rFonts w:hint="eastAsia"/>
          <w:color w:val="000000" w:themeColor="text1"/>
          <w:kern w:val="0"/>
          <w:lang w:val="en-US" w:eastAsia="zh-CN"/>
          <w14:textFill>
            <w14:solidFill>
              <w14:schemeClr w14:val="tx1"/>
            </w14:solidFill>
          </w14:textFill>
        </w:rPr>
        <w:t>15</w:t>
      </w:r>
      <w:r>
        <w:rPr>
          <w:color w:val="000000" w:themeColor="text1"/>
          <w:kern w:val="0"/>
          <w14:textFill>
            <w14:solidFill>
              <w14:schemeClr w14:val="tx1"/>
            </w14:solidFill>
          </w14:textFill>
        </w:rPr>
        <w:t>人</w:t>
      </w:r>
      <w:r>
        <w:rPr>
          <w:rFonts w:hint="eastAsia" w:hAnsi="宋体"/>
          <w:color w:val="000000"/>
          <w:sz w:val="24"/>
          <w:szCs w:val="24"/>
        </w:rPr>
        <w:t>，均不在厂区食宿；</w:t>
      </w:r>
      <w:r>
        <w:rPr>
          <w:rFonts w:hint="eastAsia"/>
          <w:color w:val="000000"/>
          <w:sz w:val="24"/>
          <w:szCs w:val="24"/>
        </w:rPr>
        <w:t>采用</w:t>
      </w:r>
      <w:r>
        <w:rPr>
          <w:rFonts w:hint="eastAsia"/>
          <w:bCs/>
          <w:color w:val="000000"/>
          <w:sz w:val="24"/>
          <w:szCs w:val="24"/>
          <w:lang w:val="en-US" w:eastAsia="zh-CN"/>
        </w:rPr>
        <w:t>两</w:t>
      </w:r>
      <w:r>
        <w:rPr>
          <w:rFonts w:hint="eastAsia"/>
          <w:color w:val="000000"/>
          <w:sz w:val="24"/>
          <w:szCs w:val="24"/>
        </w:rPr>
        <w:t>班×</w:t>
      </w:r>
      <w:r>
        <w:rPr>
          <w:rFonts w:hint="eastAsia"/>
          <w:color w:val="000000"/>
          <w:sz w:val="24"/>
          <w:szCs w:val="24"/>
          <w:lang w:val="en-US" w:eastAsia="zh-CN"/>
        </w:rPr>
        <w:t>8</w:t>
      </w:r>
      <w:r>
        <w:rPr>
          <w:rFonts w:hint="eastAsia"/>
          <w:color w:val="000000"/>
          <w:sz w:val="24"/>
          <w:szCs w:val="24"/>
        </w:rPr>
        <w:t>h工作制，年工作时间为</w:t>
      </w:r>
      <w:r>
        <w:rPr>
          <w:rFonts w:hint="eastAsia"/>
          <w:bCs/>
          <w:color w:val="000000"/>
          <w:sz w:val="24"/>
          <w:szCs w:val="24"/>
          <w:lang w:val="en-US" w:eastAsia="zh-CN"/>
        </w:rPr>
        <w:t>33</w:t>
      </w:r>
      <w:r>
        <w:rPr>
          <w:bCs/>
          <w:color w:val="000000"/>
          <w:sz w:val="24"/>
          <w:szCs w:val="24"/>
        </w:rPr>
        <w:t>0</w:t>
      </w:r>
      <w:r>
        <w:rPr>
          <w:rFonts w:hint="eastAsia"/>
          <w:color w:val="000000"/>
          <w:sz w:val="24"/>
          <w:szCs w:val="24"/>
        </w:rPr>
        <w:t>d</w:t>
      </w:r>
      <w:r>
        <w:rPr>
          <w:snapToGrid w:val="0"/>
          <w:color w:val="000000"/>
          <w:kern w:val="0"/>
          <w:sz w:val="24"/>
          <w:szCs w:val="24"/>
        </w:rPr>
        <w:t>；</w:t>
      </w:r>
    </w:p>
    <w:p w14:paraId="4FED5A62">
      <w:pPr>
        <w:bidi w:val="0"/>
        <w:rPr>
          <w:rFonts w:hint="eastAsia"/>
        </w:rPr>
      </w:pPr>
      <w:r>
        <w:rPr>
          <w:rFonts w:hint="eastAsia"/>
        </w:rPr>
        <w:t>（9）</w:t>
      </w:r>
      <w:r>
        <w:t>项目内容及规模：</w:t>
      </w:r>
      <w:r>
        <w:rPr>
          <w:rFonts w:hint="eastAsia"/>
          <w:lang w:val="en-US" w:eastAsia="zh-CN"/>
        </w:rPr>
        <w:t>项目租赁生产车间及其他辅助设施共计建筑面积7000平方米，以外购的废钢、生铁等为主要原料，主要生产工艺：原料—熔炼—造型—浇注—落砂—工件清理—热处理—抛丸—成品；项目建成投产后可达年产12000吨铸件的生产能力。</w:t>
      </w:r>
      <w:bookmarkStart w:id="151" w:name="_Toc27565"/>
      <w:bookmarkStart w:id="152" w:name="_Toc161600305"/>
    </w:p>
    <w:p w14:paraId="72C7D388">
      <w:pPr>
        <w:pStyle w:val="3"/>
      </w:pPr>
      <w:bookmarkStart w:id="153" w:name="_Toc6245"/>
      <w:bookmarkStart w:id="154" w:name="_Toc19653"/>
      <w:r>
        <w:rPr>
          <w:rFonts w:hint="eastAsia"/>
        </w:rPr>
        <w:t>2</w:t>
      </w:r>
      <w:r>
        <w:t>.2.产品方案</w:t>
      </w:r>
      <w:bookmarkEnd w:id="151"/>
      <w:bookmarkEnd w:id="152"/>
      <w:bookmarkEnd w:id="153"/>
      <w:bookmarkEnd w:id="154"/>
    </w:p>
    <w:p w14:paraId="4C2562B9">
      <w:r>
        <w:t>项目具体产品方案详见下表。</w:t>
      </w:r>
    </w:p>
    <w:p w14:paraId="699961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表2.2-1  产品方案</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253"/>
        <w:gridCol w:w="2748"/>
        <w:gridCol w:w="2895"/>
        <w:gridCol w:w="2953"/>
      </w:tblGrid>
      <w:tr w14:paraId="5ED04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36" w:type="pct"/>
            <w:tcBorders>
              <w:tl2br w:val="nil"/>
              <w:tr2bl w:val="nil"/>
            </w:tcBorders>
            <w:vAlign w:val="center"/>
          </w:tcPr>
          <w:p w14:paraId="0574A5A6">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序号</w:t>
            </w:r>
          </w:p>
        </w:tc>
        <w:tc>
          <w:tcPr>
            <w:tcW w:w="1394" w:type="pct"/>
            <w:tcBorders>
              <w:tl2br w:val="nil"/>
              <w:tr2bl w:val="nil"/>
            </w:tcBorders>
            <w:vAlign w:val="center"/>
          </w:tcPr>
          <w:p w14:paraId="1C28ACC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产品名称</w:t>
            </w:r>
          </w:p>
        </w:tc>
        <w:tc>
          <w:tcPr>
            <w:tcW w:w="1469" w:type="pct"/>
            <w:tcBorders>
              <w:tl2br w:val="nil"/>
              <w:tr2bl w:val="nil"/>
            </w:tcBorders>
            <w:vAlign w:val="center"/>
          </w:tcPr>
          <w:p w14:paraId="19031B7B">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产量</w:t>
            </w:r>
          </w:p>
        </w:tc>
        <w:tc>
          <w:tcPr>
            <w:tcW w:w="1498" w:type="pct"/>
            <w:tcBorders>
              <w:tl2br w:val="nil"/>
              <w:tr2bl w:val="nil"/>
            </w:tcBorders>
            <w:vAlign w:val="center"/>
          </w:tcPr>
          <w:p w14:paraId="4A975B50">
            <w:pPr>
              <w:pStyle w:val="3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备注</w:t>
            </w:r>
          </w:p>
        </w:tc>
      </w:tr>
      <w:tr w14:paraId="5EF3E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36" w:type="pct"/>
            <w:tcBorders>
              <w:tl2br w:val="nil"/>
              <w:tr2bl w:val="nil"/>
            </w:tcBorders>
            <w:vAlign w:val="center"/>
          </w:tcPr>
          <w:p w14:paraId="32CCA054">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w:t>
            </w:r>
          </w:p>
        </w:tc>
        <w:tc>
          <w:tcPr>
            <w:tcW w:w="1394" w:type="pct"/>
            <w:tcBorders>
              <w:tl2br w:val="nil"/>
              <w:tr2bl w:val="nil"/>
            </w:tcBorders>
            <w:vAlign w:val="center"/>
          </w:tcPr>
          <w:p w14:paraId="4A5E3D17">
            <w:pPr>
              <w:pStyle w:val="35"/>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铸件</w:t>
            </w:r>
          </w:p>
        </w:tc>
        <w:tc>
          <w:tcPr>
            <w:tcW w:w="1469" w:type="pct"/>
            <w:tcBorders>
              <w:tl2br w:val="nil"/>
              <w:tr2bl w:val="nil"/>
            </w:tcBorders>
            <w:vAlign w:val="center"/>
          </w:tcPr>
          <w:p w14:paraId="1EE9B723">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12000t/a</w:t>
            </w:r>
          </w:p>
        </w:tc>
        <w:tc>
          <w:tcPr>
            <w:tcW w:w="1498" w:type="pct"/>
            <w:tcBorders>
              <w:tl2br w:val="nil"/>
              <w:tr2bl w:val="nil"/>
            </w:tcBorders>
            <w:vAlign w:val="center"/>
          </w:tcPr>
          <w:p w14:paraId="25D0C831">
            <w:pPr>
              <w:pStyle w:val="35"/>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本项目主要生产机床车身、重型机械配件等</w:t>
            </w:r>
          </w:p>
        </w:tc>
      </w:tr>
    </w:tbl>
    <w:p w14:paraId="6973133E">
      <w:pPr>
        <w:pStyle w:val="3"/>
      </w:pPr>
      <w:bookmarkStart w:id="155" w:name="_Toc15499"/>
      <w:bookmarkStart w:id="156" w:name="_Toc161600306"/>
      <w:bookmarkStart w:id="157" w:name="_Toc5924"/>
      <w:bookmarkStart w:id="158" w:name="_Toc8473"/>
      <w:r>
        <w:rPr>
          <w:rFonts w:hint="eastAsia"/>
        </w:rPr>
        <w:t>2</w:t>
      </w:r>
      <w:r>
        <w:t>.3.建设内容</w:t>
      </w:r>
      <w:bookmarkEnd w:id="155"/>
      <w:bookmarkEnd w:id="156"/>
      <w:bookmarkEnd w:id="157"/>
      <w:bookmarkEnd w:id="158"/>
    </w:p>
    <w:p w14:paraId="6CA84167">
      <w:r>
        <w:t>项目建设内容及其规模详见下表。</w:t>
      </w:r>
    </w:p>
    <w:p w14:paraId="058C6F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表2.3-1  建设项目组成一览表</w:t>
      </w:r>
    </w:p>
    <w:tbl>
      <w:tblPr>
        <w:tblStyle w:val="29"/>
        <w:tblW w:w="4998"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57" w:type="dxa"/>
          <w:bottom w:w="0" w:type="dxa"/>
          <w:right w:w="57" w:type="dxa"/>
        </w:tblCellMar>
      </w:tblPr>
      <w:tblGrid>
        <w:gridCol w:w="650"/>
        <w:gridCol w:w="772"/>
        <w:gridCol w:w="1655"/>
        <w:gridCol w:w="1346"/>
        <w:gridCol w:w="4507"/>
        <w:gridCol w:w="919"/>
      </w:tblGrid>
      <w:tr w14:paraId="2ED87AE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4875ACCC">
            <w:pPr>
              <w:pStyle w:val="35"/>
              <w:rPr>
                <w:rFonts w:hint="default"/>
                <w:color w:val="000000" w:themeColor="text1"/>
                <w:sz w:val="21"/>
                <w:szCs w:val="21"/>
                <w14:textFill>
                  <w14:solidFill>
                    <w14:schemeClr w14:val="tx1"/>
                  </w14:solidFill>
                </w14:textFill>
              </w:rPr>
            </w:pPr>
            <w:bookmarkStart w:id="159" w:name="_Toc161600307"/>
            <w:bookmarkStart w:id="160" w:name="_Toc12682"/>
            <w:r>
              <w:rPr>
                <w:color w:val="000000" w:themeColor="text1"/>
                <w:sz w:val="21"/>
                <w:szCs w:val="21"/>
                <w14:textFill>
                  <w14:solidFill>
                    <w14:schemeClr w14:val="tx1"/>
                  </w14:solidFill>
                </w14:textFill>
              </w:rPr>
              <w:t>类型</w:t>
            </w:r>
          </w:p>
        </w:tc>
        <w:tc>
          <w:tcPr>
            <w:tcW w:w="392" w:type="pct"/>
            <w:tcBorders>
              <w:tl2br w:val="nil"/>
              <w:tr2bl w:val="nil"/>
            </w:tcBorders>
            <w:vAlign w:val="center"/>
          </w:tcPr>
          <w:p w14:paraId="57605784">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工程组成</w:t>
            </w:r>
          </w:p>
        </w:tc>
        <w:tc>
          <w:tcPr>
            <w:tcW w:w="3810" w:type="pct"/>
            <w:gridSpan w:val="3"/>
            <w:tcBorders>
              <w:tl2br w:val="nil"/>
              <w:tr2bl w:val="nil"/>
            </w:tcBorders>
            <w:vAlign w:val="center"/>
          </w:tcPr>
          <w:p w14:paraId="3D958140">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建设内容及规模</w:t>
            </w:r>
          </w:p>
        </w:tc>
        <w:tc>
          <w:tcPr>
            <w:tcW w:w="466" w:type="pct"/>
            <w:tcBorders>
              <w:tl2br w:val="nil"/>
              <w:tr2bl w:val="nil"/>
            </w:tcBorders>
            <w:vAlign w:val="center"/>
          </w:tcPr>
          <w:p w14:paraId="606D3FD7">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备注</w:t>
            </w:r>
          </w:p>
        </w:tc>
      </w:tr>
      <w:tr w14:paraId="34FB247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20E6CBE9">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主体</w:t>
            </w:r>
          </w:p>
          <w:p w14:paraId="4D2F9A40">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w:t>
            </w:r>
          </w:p>
        </w:tc>
        <w:tc>
          <w:tcPr>
            <w:tcW w:w="392" w:type="pct"/>
            <w:tcBorders>
              <w:tl2br w:val="nil"/>
              <w:tr2bl w:val="nil"/>
            </w:tcBorders>
            <w:vAlign w:val="center"/>
          </w:tcPr>
          <w:p w14:paraId="42C16DA7">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生产车间</w:t>
            </w:r>
          </w:p>
        </w:tc>
        <w:tc>
          <w:tcPr>
            <w:tcW w:w="3810" w:type="pct"/>
            <w:gridSpan w:val="3"/>
            <w:tcBorders>
              <w:tl2br w:val="nil"/>
              <w:tr2bl w:val="nil"/>
            </w:tcBorders>
            <w:vAlign w:val="center"/>
          </w:tcPr>
          <w:p w14:paraId="255B7341">
            <w:pPr>
              <w:pStyle w:val="35"/>
              <w:jc w:val="both"/>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钢结构，占地面积5000m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，购置固定式混砂机、移动式混砂机、中频炉、树脂砂生产线、</w:t>
            </w:r>
            <w:r>
              <w:rPr>
                <w:rFonts w:hint="eastAsia"/>
                <w:color w:val="000000"/>
                <w:sz w:val="21"/>
                <w:szCs w:val="21"/>
                <w:highlight w:val="none"/>
                <w:lang w:val="en-US" w:eastAsia="zh-CN"/>
              </w:rPr>
              <w:t>全纤维中温台车炉、抛丸机</w:t>
            </w:r>
            <w:r>
              <w:rPr>
                <w:rFonts w:hint="eastAsia" w:ascii="Times New Roman" w:hAnsi="Times New Roman" w:eastAsia="宋体" w:cs="Times New Roman"/>
                <w:bCs/>
                <w:color w:val="auto"/>
                <w:sz w:val="21"/>
                <w:szCs w:val="21"/>
                <w:highlight w:val="none"/>
                <w:u w:val="none" w:color="auto"/>
                <w:lang w:val="en-US" w:eastAsia="zh-CN"/>
              </w:rPr>
              <w:t>等生产设备，用于铸件生产。</w:t>
            </w:r>
          </w:p>
        </w:tc>
        <w:tc>
          <w:tcPr>
            <w:tcW w:w="466" w:type="pct"/>
            <w:vMerge w:val="restart"/>
            <w:tcBorders>
              <w:tl2br w:val="nil"/>
              <w:tr2bl w:val="nil"/>
            </w:tcBorders>
            <w:vAlign w:val="center"/>
          </w:tcPr>
          <w:p w14:paraId="2381D997">
            <w:pPr>
              <w:pStyle w:val="35"/>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依托恒基混凝土公司已建厂房</w:t>
            </w:r>
          </w:p>
        </w:tc>
      </w:tr>
      <w:tr w14:paraId="0F17AA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05E2CA35">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辅助工程</w:t>
            </w:r>
          </w:p>
        </w:tc>
        <w:tc>
          <w:tcPr>
            <w:tcW w:w="392" w:type="pct"/>
            <w:tcBorders>
              <w:tl2br w:val="nil"/>
              <w:tr2bl w:val="nil"/>
            </w:tcBorders>
            <w:vAlign w:val="center"/>
          </w:tcPr>
          <w:p w14:paraId="711F67C9">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原料库</w:t>
            </w:r>
          </w:p>
        </w:tc>
        <w:tc>
          <w:tcPr>
            <w:tcW w:w="3810" w:type="pct"/>
            <w:gridSpan w:val="3"/>
            <w:tcBorders>
              <w:tl2br w:val="nil"/>
              <w:tr2bl w:val="nil"/>
            </w:tcBorders>
            <w:vAlign w:val="center"/>
          </w:tcPr>
          <w:p w14:paraId="4E9A267C">
            <w:pPr>
              <w:pStyle w:val="35"/>
              <w:jc w:val="both"/>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钢结构，占地面积1000m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w:t>
            </w:r>
            <w:r>
              <w:rPr>
                <w:rFonts w:hint="default"/>
                <w:color w:val="000000" w:themeColor="text1"/>
                <w:sz w:val="21"/>
                <w:szCs w:val="21"/>
                <w:lang w:val="en-US" w:eastAsia="zh-CN"/>
                <w14:textFill>
                  <w14:solidFill>
                    <w14:schemeClr w14:val="tx1"/>
                  </w14:solidFill>
                </w14:textFill>
              </w:rPr>
              <w:t>不同原料设置不同的原料区分类储存，分为物料暂存区和原料区，其中物料暂存区暂存</w:t>
            </w:r>
            <w:r>
              <w:rPr>
                <w:rFonts w:hint="default"/>
                <w:color w:val="000000" w:themeColor="text1"/>
                <w:sz w:val="21"/>
                <w:szCs w:val="21"/>
                <w:highlight w:val="none"/>
                <w:lang w:val="en-US" w:eastAsia="zh-CN"/>
                <w14:textFill>
                  <w14:solidFill>
                    <w14:schemeClr w14:val="tx1"/>
                  </w14:solidFill>
                </w14:textFill>
              </w:rPr>
              <w:t>醇基涂料、呋喃树脂、固化剂、</w:t>
            </w:r>
            <w:r>
              <w:rPr>
                <w:rFonts w:hint="eastAsia"/>
                <w:color w:val="000000" w:themeColor="text1"/>
                <w:sz w:val="21"/>
                <w:szCs w:val="21"/>
                <w:highlight w:val="none"/>
                <w:lang w:val="en-US" w:eastAsia="zh-CN"/>
                <w14:textFill>
                  <w14:solidFill>
                    <w14:schemeClr w14:val="tx1"/>
                  </w14:solidFill>
                </w14:textFill>
              </w:rPr>
              <w:t>脱模剂</w:t>
            </w:r>
            <w:r>
              <w:rPr>
                <w:rFonts w:hint="default"/>
                <w:color w:val="000000" w:themeColor="text1"/>
                <w:sz w:val="21"/>
                <w:szCs w:val="21"/>
                <w:highlight w:val="none"/>
                <w:lang w:val="en-US" w:eastAsia="zh-CN"/>
                <w14:textFill>
                  <w14:solidFill>
                    <w14:schemeClr w14:val="tx1"/>
                  </w14:solidFill>
                </w14:textFill>
              </w:rPr>
              <w:t>等原辅料</w:t>
            </w:r>
            <w:r>
              <w:rPr>
                <w:rFonts w:hint="default"/>
                <w:color w:val="000000" w:themeColor="text1"/>
                <w:sz w:val="21"/>
                <w:szCs w:val="21"/>
                <w:lang w:val="en-US" w:eastAsia="zh-CN"/>
                <w14:textFill>
                  <w14:solidFill>
                    <w14:schemeClr w14:val="tx1"/>
                  </w14:solidFill>
                </w14:textFill>
              </w:rPr>
              <w:t>，其余原辅料暂存原料区</w:t>
            </w:r>
            <w:r>
              <w:rPr>
                <w:rFonts w:hint="eastAsia"/>
                <w:color w:val="000000" w:themeColor="text1"/>
                <w:sz w:val="21"/>
                <w:szCs w:val="21"/>
                <w:lang w:val="en-US" w:eastAsia="zh-CN"/>
                <w14:textFill>
                  <w14:solidFill>
                    <w14:schemeClr w14:val="tx1"/>
                  </w14:solidFill>
                </w14:textFill>
              </w:rPr>
              <w:t>。</w:t>
            </w:r>
          </w:p>
        </w:tc>
        <w:tc>
          <w:tcPr>
            <w:tcW w:w="466" w:type="pct"/>
            <w:vMerge w:val="continue"/>
            <w:tcBorders>
              <w:tl2br w:val="nil"/>
              <w:tr2bl w:val="nil"/>
            </w:tcBorders>
            <w:vAlign w:val="center"/>
          </w:tcPr>
          <w:p w14:paraId="678EBEF4">
            <w:pPr>
              <w:pStyle w:val="35"/>
              <w:jc w:val="center"/>
              <w:rPr>
                <w:rFonts w:hint="eastAsia" w:ascii="Times New Roman" w:hAnsi="Times New Roman" w:eastAsia="宋体" w:cs="Times New Roman"/>
                <w:bCs/>
                <w:color w:val="auto"/>
                <w:sz w:val="21"/>
                <w:szCs w:val="21"/>
                <w:highlight w:val="none"/>
                <w:u w:val="none" w:color="auto"/>
                <w:lang w:val="en-US" w:eastAsia="zh-CN"/>
              </w:rPr>
            </w:pPr>
          </w:p>
        </w:tc>
      </w:tr>
      <w:tr w14:paraId="058E852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456EE25">
            <w:pPr>
              <w:pStyle w:val="35"/>
              <w:rPr>
                <w:color w:val="000000" w:themeColor="text1"/>
                <w:sz w:val="21"/>
                <w:szCs w:val="21"/>
                <w14:textFill>
                  <w14:solidFill>
                    <w14:schemeClr w14:val="tx1"/>
                  </w14:solidFill>
                </w14:textFill>
              </w:rPr>
            </w:pPr>
          </w:p>
        </w:tc>
        <w:tc>
          <w:tcPr>
            <w:tcW w:w="392" w:type="pct"/>
            <w:tcBorders>
              <w:tl2br w:val="nil"/>
              <w:tr2bl w:val="nil"/>
            </w:tcBorders>
            <w:vAlign w:val="center"/>
          </w:tcPr>
          <w:p w14:paraId="0EEDD1A4">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成品库</w:t>
            </w:r>
          </w:p>
        </w:tc>
        <w:tc>
          <w:tcPr>
            <w:tcW w:w="3810" w:type="pct"/>
            <w:gridSpan w:val="3"/>
            <w:tcBorders>
              <w:tl2br w:val="nil"/>
              <w:tr2bl w:val="nil"/>
            </w:tcBorders>
            <w:vAlign w:val="center"/>
          </w:tcPr>
          <w:p w14:paraId="7609EC8A">
            <w:pPr>
              <w:pStyle w:val="35"/>
              <w:jc w:val="both"/>
              <w:rPr>
                <w:rFonts w:hint="default"/>
                <w:color w:val="000000" w:themeColor="text1"/>
                <w:sz w:val="21"/>
                <w:szCs w:val="21"/>
                <w:lang w:val="en-US"/>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钢结构，占地面积1000m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，用于产品暂存。</w:t>
            </w:r>
          </w:p>
        </w:tc>
        <w:tc>
          <w:tcPr>
            <w:tcW w:w="466" w:type="pct"/>
            <w:vMerge w:val="continue"/>
            <w:tcBorders>
              <w:tl2br w:val="nil"/>
              <w:tr2bl w:val="nil"/>
            </w:tcBorders>
            <w:vAlign w:val="center"/>
          </w:tcPr>
          <w:p w14:paraId="250DC3D0">
            <w:pPr>
              <w:pStyle w:val="35"/>
              <w:jc w:val="center"/>
              <w:rPr>
                <w:rFonts w:hint="eastAsia" w:ascii="Times New Roman" w:hAnsi="Times New Roman" w:eastAsia="宋体" w:cs="Times New Roman"/>
                <w:bCs/>
                <w:color w:val="auto"/>
                <w:sz w:val="21"/>
                <w:szCs w:val="21"/>
                <w:highlight w:val="none"/>
                <w:u w:val="none" w:color="auto"/>
                <w:lang w:val="en-US" w:eastAsia="zh-CN"/>
              </w:rPr>
            </w:pPr>
          </w:p>
        </w:tc>
      </w:tr>
      <w:tr w14:paraId="7BD4E6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tcBorders>
              <w:tl2br w:val="nil"/>
              <w:tr2bl w:val="nil"/>
            </w:tcBorders>
            <w:vAlign w:val="center"/>
          </w:tcPr>
          <w:p w14:paraId="6E025183">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辅助</w:t>
            </w:r>
          </w:p>
          <w:p w14:paraId="468E67C3">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w:t>
            </w:r>
          </w:p>
        </w:tc>
        <w:tc>
          <w:tcPr>
            <w:tcW w:w="392" w:type="pct"/>
            <w:tcBorders>
              <w:tl2br w:val="nil"/>
              <w:tr2bl w:val="nil"/>
            </w:tcBorders>
            <w:vAlign w:val="center"/>
          </w:tcPr>
          <w:p w14:paraId="4FF7E7C2">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办公楼</w:t>
            </w:r>
          </w:p>
        </w:tc>
        <w:tc>
          <w:tcPr>
            <w:tcW w:w="3810" w:type="pct"/>
            <w:gridSpan w:val="3"/>
            <w:tcBorders>
              <w:tl2br w:val="nil"/>
              <w:tr2bl w:val="nil"/>
            </w:tcBorders>
            <w:vAlign w:val="center"/>
          </w:tcPr>
          <w:p w14:paraId="0E7277B8">
            <w:pPr>
              <w:pStyle w:val="35"/>
              <w:jc w:val="both"/>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砖混结构，占地面积约450m</w:t>
            </w:r>
            <w:r>
              <w:rPr>
                <w:rFonts w:hint="eastAsia" w:ascii="Times New Roman" w:hAnsi="Times New Roman" w:eastAsia="宋体" w:cs="Times New Roman"/>
                <w:bCs/>
                <w:color w:val="auto"/>
                <w:sz w:val="21"/>
                <w:szCs w:val="21"/>
                <w:highlight w:val="none"/>
                <w:u w:val="none" w:color="auto"/>
                <w:vertAlign w:val="superscript"/>
                <w:lang w:val="en-US" w:eastAsia="zh-CN"/>
              </w:rPr>
              <w:t>2</w:t>
            </w:r>
            <w:r>
              <w:rPr>
                <w:rFonts w:hint="eastAsia" w:ascii="Times New Roman" w:hAnsi="Times New Roman" w:eastAsia="宋体" w:cs="Times New Roman"/>
                <w:bCs/>
                <w:color w:val="auto"/>
                <w:sz w:val="21"/>
                <w:szCs w:val="21"/>
                <w:highlight w:val="none"/>
                <w:u w:val="none" w:color="auto"/>
                <w:lang w:val="en-US" w:eastAsia="zh-CN"/>
              </w:rPr>
              <w:t>，用于人员办公。</w:t>
            </w:r>
          </w:p>
        </w:tc>
        <w:tc>
          <w:tcPr>
            <w:tcW w:w="466" w:type="pct"/>
            <w:vMerge w:val="restart"/>
            <w:tcBorders>
              <w:tl2br w:val="nil"/>
              <w:tr2bl w:val="nil"/>
            </w:tcBorders>
            <w:vAlign w:val="center"/>
          </w:tcPr>
          <w:p w14:paraId="4B50E827">
            <w:pPr>
              <w:pStyle w:val="35"/>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依托恒基混凝土公司已有设施</w:t>
            </w:r>
          </w:p>
        </w:tc>
      </w:tr>
      <w:tr w14:paraId="6DAE0F0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062276A9">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公用工程</w:t>
            </w:r>
          </w:p>
        </w:tc>
        <w:tc>
          <w:tcPr>
            <w:tcW w:w="392" w:type="pct"/>
            <w:tcBorders>
              <w:tl2br w:val="nil"/>
              <w:tr2bl w:val="nil"/>
            </w:tcBorders>
            <w:vAlign w:val="center"/>
          </w:tcPr>
          <w:p w14:paraId="0B9C97C5">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供水</w:t>
            </w:r>
          </w:p>
        </w:tc>
        <w:tc>
          <w:tcPr>
            <w:tcW w:w="3810" w:type="pct"/>
            <w:gridSpan w:val="3"/>
            <w:tcBorders>
              <w:tl2br w:val="nil"/>
              <w:tr2bl w:val="nil"/>
            </w:tcBorders>
            <w:vAlign w:val="center"/>
          </w:tcPr>
          <w:p w14:paraId="1E6362A3">
            <w:pPr>
              <w:pStyle w:val="35"/>
              <w:jc w:val="both"/>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由市政自来水管网供给</w:t>
            </w:r>
            <w:r>
              <w:rPr>
                <w:rFonts w:hint="eastAsia"/>
                <w:color w:val="000000" w:themeColor="text1"/>
                <w:sz w:val="21"/>
                <w:szCs w:val="21"/>
                <w:lang w:eastAsia="zh-CN"/>
                <w14:textFill>
                  <w14:solidFill>
                    <w14:schemeClr w14:val="tx1"/>
                  </w14:solidFill>
                </w14:textFill>
              </w:rPr>
              <w:t>。</w:t>
            </w:r>
          </w:p>
        </w:tc>
        <w:tc>
          <w:tcPr>
            <w:tcW w:w="466" w:type="pct"/>
            <w:vMerge w:val="continue"/>
            <w:tcBorders>
              <w:tl2br w:val="nil"/>
              <w:tr2bl w:val="nil"/>
            </w:tcBorders>
            <w:vAlign w:val="center"/>
          </w:tcPr>
          <w:p w14:paraId="2CD61B45">
            <w:pPr>
              <w:pStyle w:val="35"/>
              <w:rPr>
                <w:color w:val="000000" w:themeColor="text1"/>
                <w:sz w:val="21"/>
                <w:szCs w:val="21"/>
                <w14:textFill>
                  <w14:solidFill>
                    <w14:schemeClr w14:val="tx1"/>
                  </w14:solidFill>
                </w14:textFill>
              </w:rPr>
            </w:pPr>
          </w:p>
        </w:tc>
      </w:tr>
      <w:tr w14:paraId="3792CD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45E9FF8A">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490A2A81">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排水</w:t>
            </w:r>
          </w:p>
        </w:tc>
        <w:tc>
          <w:tcPr>
            <w:tcW w:w="3810" w:type="pct"/>
            <w:gridSpan w:val="3"/>
            <w:tcBorders>
              <w:tl2br w:val="nil"/>
              <w:tr2bl w:val="nil"/>
            </w:tcBorders>
            <w:vAlign w:val="center"/>
          </w:tcPr>
          <w:p w14:paraId="1CC02FD4">
            <w:pPr>
              <w:pStyle w:val="35"/>
              <w:jc w:val="both"/>
              <w:rPr>
                <w:rFonts w:hint="default"/>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实行雨污分流排水体系。</w:t>
            </w:r>
            <w:r>
              <w:rPr>
                <w:color w:val="000000" w:themeColor="text1"/>
                <w:sz w:val="21"/>
                <w:szCs w:val="21"/>
                <w14:textFill>
                  <w14:solidFill>
                    <w14:schemeClr w14:val="tx1"/>
                  </w14:solidFill>
                </w14:textFill>
              </w:rPr>
              <w:t>项目区雨水经厂区雨水排放口</w:t>
            </w:r>
            <w:r>
              <w:rPr>
                <w:rFonts w:hint="eastAsia"/>
                <w:color w:val="000000" w:themeColor="text1"/>
                <w:sz w:val="21"/>
                <w:szCs w:val="21"/>
                <w:lang w:val="en-US" w:eastAsia="zh-CN"/>
                <w14:textFill>
                  <w14:solidFill>
                    <w14:schemeClr w14:val="tx1"/>
                  </w14:solidFill>
                </w14:textFill>
              </w:rPr>
              <w:t>进入厂区南侧市政雨水管网后向西</w:t>
            </w:r>
            <w:r>
              <w:rPr>
                <w:color w:val="000000" w:themeColor="text1"/>
                <w:sz w:val="21"/>
                <w:szCs w:val="21"/>
                <w14:textFill>
                  <w14:solidFill>
                    <w14:schemeClr w14:val="tx1"/>
                  </w14:solidFill>
                </w14:textFill>
              </w:rPr>
              <w:t>排入</w:t>
            </w:r>
            <w:r>
              <w:rPr>
                <w:rFonts w:hint="eastAsia"/>
                <w:color w:val="000000" w:themeColor="text1"/>
                <w:sz w:val="21"/>
                <w:szCs w:val="21"/>
                <w:lang w:val="en-US" w:eastAsia="zh-CN"/>
                <w14:textFill>
                  <w14:solidFill>
                    <w14:schemeClr w14:val="tx1"/>
                  </w14:solidFill>
                </w14:textFill>
              </w:rPr>
              <w:t>赵河</w:t>
            </w:r>
            <w:r>
              <w:rPr>
                <w:color w:val="000000" w:themeColor="text1"/>
                <w14:textFill>
                  <w14:solidFill>
                    <w14:schemeClr w14:val="tx1"/>
                  </w14:solidFill>
                </w14:textFill>
              </w:rPr>
              <w:t>；污水排放：</w:t>
            </w: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营运期职工生活污水经化粪池处理后</w:t>
            </w:r>
            <w:r>
              <w:rPr>
                <w:rFonts w:hint="eastAsia"/>
                <w:kern w:val="21"/>
                <w:sz w:val="21"/>
                <w:szCs w:val="21"/>
                <w:lang w:val="en-US" w:eastAsia="zh-CN"/>
              </w:rPr>
              <w:t>排入建设大道污水管网，最终经镇平县第二污水处理厂</w:t>
            </w:r>
            <w:r>
              <w:rPr>
                <w:rFonts w:hint="eastAsia" w:eastAsia="宋体"/>
                <w:kern w:val="21"/>
                <w:sz w:val="21"/>
                <w:szCs w:val="21"/>
                <w:lang w:val="en-US" w:eastAsia="zh-CN"/>
              </w:rPr>
              <w:t>处理达标后排入赵河</w:t>
            </w:r>
          </w:p>
        </w:tc>
        <w:tc>
          <w:tcPr>
            <w:tcW w:w="466" w:type="pct"/>
            <w:vMerge w:val="continue"/>
            <w:tcBorders>
              <w:tl2br w:val="nil"/>
              <w:tr2bl w:val="nil"/>
            </w:tcBorders>
            <w:vAlign w:val="center"/>
          </w:tcPr>
          <w:p w14:paraId="543AC13E">
            <w:pPr>
              <w:pStyle w:val="35"/>
              <w:rPr>
                <w:color w:val="000000" w:themeColor="text1"/>
                <w:kern w:val="0"/>
                <w:sz w:val="21"/>
                <w:szCs w:val="21"/>
                <w14:textFill>
                  <w14:solidFill>
                    <w14:schemeClr w14:val="tx1"/>
                  </w14:solidFill>
                </w14:textFill>
              </w:rPr>
            </w:pPr>
          </w:p>
        </w:tc>
      </w:tr>
      <w:tr w14:paraId="3EA7C6E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1C1162C9">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217B7C2A">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供电</w:t>
            </w:r>
          </w:p>
        </w:tc>
        <w:tc>
          <w:tcPr>
            <w:tcW w:w="3810" w:type="pct"/>
            <w:gridSpan w:val="3"/>
            <w:tcBorders>
              <w:tl2br w:val="nil"/>
              <w:tr2bl w:val="nil"/>
            </w:tcBorders>
            <w:vAlign w:val="center"/>
          </w:tcPr>
          <w:p w14:paraId="3DF83A46">
            <w:pPr>
              <w:pStyle w:val="35"/>
              <w:jc w:val="both"/>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由市政供电电网供给</w:t>
            </w:r>
            <w:r>
              <w:rPr>
                <w:rFonts w:hint="eastAsia"/>
                <w:color w:val="000000" w:themeColor="text1"/>
                <w:sz w:val="21"/>
                <w:szCs w:val="21"/>
                <w:lang w:eastAsia="zh-CN"/>
                <w14:textFill>
                  <w14:solidFill>
                    <w14:schemeClr w14:val="tx1"/>
                  </w14:solidFill>
                </w14:textFill>
              </w:rPr>
              <w:t>。</w:t>
            </w:r>
          </w:p>
        </w:tc>
        <w:tc>
          <w:tcPr>
            <w:tcW w:w="466" w:type="pct"/>
            <w:vMerge w:val="continue"/>
            <w:tcBorders>
              <w:tl2br w:val="nil"/>
              <w:tr2bl w:val="nil"/>
            </w:tcBorders>
            <w:vAlign w:val="center"/>
          </w:tcPr>
          <w:p w14:paraId="58EFBA6D">
            <w:pPr>
              <w:pStyle w:val="35"/>
              <w:rPr>
                <w:color w:val="000000" w:themeColor="text1"/>
                <w:sz w:val="21"/>
                <w:szCs w:val="21"/>
                <w14:textFill>
                  <w14:solidFill>
                    <w14:schemeClr w14:val="tx1"/>
                  </w14:solidFill>
                </w14:textFill>
              </w:rPr>
            </w:pPr>
          </w:p>
        </w:tc>
      </w:tr>
      <w:tr w14:paraId="11E30FF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restart"/>
            <w:tcBorders>
              <w:tl2br w:val="nil"/>
              <w:tr2bl w:val="nil"/>
            </w:tcBorders>
            <w:vAlign w:val="center"/>
          </w:tcPr>
          <w:p w14:paraId="6AEAD29E">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环保工程</w:t>
            </w:r>
          </w:p>
        </w:tc>
        <w:tc>
          <w:tcPr>
            <w:tcW w:w="392" w:type="pct"/>
            <w:vMerge w:val="restart"/>
            <w:tcBorders>
              <w:tl2br w:val="nil"/>
              <w:tr2bl w:val="nil"/>
            </w:tcBorders>
            <w:vAlign w:val="center"/>
          </w:tcPr>
          <w:p w14:paraId="6826BF4B">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废气治理</w:t>
            </w:r>
          </w:p>
        </w:tc>
        <w:tc>
          <w:tcPr>
            <w:tcW w:w="840" w:type="pct"/>
            <w:tcBorders>
              <w:tl2br w:val="nil"/>
              <w:tr2bl w:val="nil"/>
            </w:tcBorders>
            <w:vAlign w:val="center"/>
          </w:tcPr>
          <w:p w14:paraId="0AE1549B">
            <w:pPr>
              <w:pStyle w:val="35"/>
              <w:ind w:firstLine="0" w:firstLineChars="0"/>
              <w:rPr>
                <w:rFonts w:hint="default"/>
                <w:color w:val="000000" w:themeColor="text1"/>
                <w:sz w:val="21"/>
                <w:szCs w:val="21"/>
                <w14:textFill>
                  <w14:solidFill>
                    <w14:schemeClr w14:val="tx1"/>
                  </w14:solidFill>
                </w14:textFill>
              </w:rPr>
            </w:pPr>
            <w:r>
              <w:rPr>
                <w:rFonts w:hint="default" w:ascii="Times New Roman" w:hAnsi="Times New Roman" w:cs="Times New Roman"/>
                <w:b w:val="0"/>
                <w:bCs w:val="0"/>
                <w:color w:val="auto"/>
                <w:kern w:val="0"/>
                <w:sz w:val="21"/>
                <w:szCs w:val="21"/>
                <w:highlight w:val="none"/>
                <w:u w:val="none" w:color="auto"/>
                <w:lang w:val="en-US" w:eastAsia="zh-CN" w:bidi="ar-SA"/>
              </w:rPr>
              <w:t>熔炼</w:t>
            </w:r>
            <w:r>
              <w:rPr>
                <w:rFonts w:hint="eastAsia" w:ascii="Times New Roman" w:hAnsi="Times New Roman" w:cs="Times New Roman"/>
                <w:b w:val="0"/>
                <w:bCs w:val="0"/>
                <w:color w:val="auto"/>
                <w:kern w:val="0"/>
                <w:sz w:val="21"/>
                <w:szCs w:val="21"/>
                <w:highlight w:val="none"/>
                <w:u w:val="none" w:color="auto"/>
                <w:lang w:val="en-US" w:eastAsia="zh-CN" w:bidi="ar-SA"/>
              </w:rPr>
              <w:t>工序</w:t>
            </w:r>
          </w:p>
        </w:tc>
        <w:tc>
          <w:tcPr>
            <w:tcW w:w="683" w:type="pct"/>
            <w:tcBorders>
              <w:tl2br w:val="nil"/>
              <w:tr2bl w:val="nil"/>
            </w:tcBorders>
            <w:vAlign w:val="center"/>
          </w:tcPr>
          <w:p w14:paraId="3A45E183">
            <w:pPr>
              <w:pStyle w:val="35"/>
              <w:ind w:firstLine="0" w:firstLineChars="0"/>
              <w:rPr>
                <w:rFonts w:hint="default"/>
                <w:color w:val="000000" w:themeColor="text1"/>
                <w:sz w:val="21"/>
                <w:szCs w:val="21"/>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1352D1E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000000" w:themeColor="text1"/>
                <w:sz w:val="21"/>
                <w:szCs w:val="21"/>
                <w14:textFill>
                  <w14:solidFill>
                    <w14:schemeClr w14:val="tx1"/>
                  </w14:solidFill>
                </w14:textFill>
              </w:rPr>
            </w:pPr>
            <w:r>
              <w:rPr>
                <w:rFonts w:hint="eastAsia"/>
                <w:color w:val="000000"/>
                <w:sz w:val="21"/>
                <w:szCs w:val="21"/>
                <w:u w:val="none" w:color="auto"/>
              </w:rPr>
              <w:t>集气罩收集，经1套耐高温袋式除尘器处理后，经1根15m高排气筒排放</w:t>
            </w:r>
          </w:p>
        </w:tc>
        <w:tc>
          <w:tcPr>
            <w:tcW w:w="466" w:type="pct"/>
            <w:tcBorders>
              <w:tl2br w:val="nil"/>
              <w:tr2bl w:val="nil"/>
            </w:tcBorders>
            <w:vAlign w:val="center"/>
          </w:tcPr>
          <w:p w14:paraId="0AFF62CA">
            <w:pPr>
              <w:pStyle w:val="35"/>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1BD4617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40DFF71">
            <w:pPr>
              <w:pStyle w:val="35"/>
              <w:rPr>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6B33C384">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7D228277">
            <w:pPr>
              <w:pStyle w:val="35"/>
              <w:ind w:firstLine="0" w:firstLineChars="0"/>
              <w:rPr>
                <w:rFonts w:hint="default" w:ascii="Times New Roman" w:hAnsi="Times New Roman" w:cs="Times New Roman"/>
                <w:b w:val="0"/>
                <w:bCs w:val="0"/>
                <w:color w:val="auto"/>
                <w:kern w:val="0"/>
                <w:sz w:val="21"/>
                <w:szCs w:val="21"/>
                <w:highlight w:val="none"/>
                <w:u w:val="none" w:color="auto"/>
                <w:lang w:val="en-US" w:eastAsia="zh-CN" w:bidi="ar-SA"/>
              </w:rPr>
            </w:pPr>
            <w:r>
              <w:rPr>
                <w:rFonts w:hint="default" w:ascii="Times New Roman" w:hAnsi="Times New Roman" w:cs="Times New Roman"/>
                <w:b w:val="0"/>
                <w:bCs w:val="0"/>
                <w:color w:val="auto"/>
                <w:kern w:val="0"/>
                <w:sz w:val="21"/>
                <w:szCs w:val="21"/>
                <w:highlight w:val="none"/>
                <w:u w:val="none" w:color="auto"/>
                <w:lang w:val="en-US" w:eastAsia="zh-CN" w:bidi="ar-SA"/>
              </w:rPr>
              <w:t>混砂、造型/浇注、工件清理和不合格品回用切割工序</w:t>
            </w:r>
          </w:p>
        </w:tc>
        <w:tc>
          <w:tcPr>
            <w:tcW w:w="683" w:type="pct"/>
            <w:tcBorders>
              <w:tl2br w:val="nil"/>
              <w:tr2bl w:val="nil"/>
            </w:tcBorders>
            <w:vAlign w:val="center"/>
          </w:tcPr>
          <w:p w14:paraId="02491924">
            <w:pPr>
              <w:pStyle w:val="35"/>
              <w:ind w:firstLine="0" w:firstLineChars="0"/>
              <w:rPr>
                <w:rFonts w:hint="default" w:eastAsia="宋体"/>
                <w:color w:val="000000" w:themeColor="text1"/>
                <w:sz w:val="21"/>
                <w:szCs w:val="21"/>
                <w:u w:val="none" w:color="auto"/>
                <w:lang w:val="en-US" w:eastAsia="zh-CN"/>
                <w14:textFill>
                  <w14:solidFill>
                    <w14:schemeClr w14:val="tx1"/>
                  </w14:solidFill>
                </w14:textFill>
              </w:rPr>
            </w:pPr>
            <w:r>
              <w:rPr>
                <w:color w:val="000000" w:themeColor="text1"/>
                <w:sz w:val="21"/>
                <w:szCs w:val="21"/>
                <w:u w:val="none" w:color="auto"/>
                <w14:textFill>
                  <w14:solidFill>
                    <w14:schemeClr w14:val="tx1"/>
                  </w14:solidFill>
                </w14:textFill>
              </w:rPr>
              <w:t>颗粒物</w:t>
            </w:r>
            <w:r>
              <w:rPr>
                <w:rFonts w:hint="eastAsia"/>
                <w:color w:val="000000" w:themeColor="text1"/>
                <w:sz w:val="21"/>
                <w:szCs w:val="21"/>
                <w:u w:val="none" w:color="auto"/>
                <w:lang w:eastAsia="zh-CN"/>
                <w14:textFill>
                  <w14:solidFill>
                    <w14:schemeClr w14:val="tx1"/>
                  </w14:solidFill>
                </w14:textFill>
              </w:rPr>
              <w:t>、</w:t>
            </w:r>
            <w:r>
              <w:rPr>
                <w:rFonts w:hint="eastAsia"/>
                <w:color w:val="000000" w:themeColor="text1"/>
                <w:sz w:val="21"/>
                <w:szCs w:val="21"/>
                <w:u w:val="none" w:color="auto"/>
                <w:lang w:val="en-US" w:eastAsia="zh-CN"/>
                <w14:textFill>
                  <w14:solidFill>
                    <w14:schemeClr w14:val="tx1"/>
                  </w14:solidFill>
                </w14:textFill>
              </w:rPr>
              <w:t>非甲烷总烃和甲醛</w:t>
            </w:r>
          </w:p>
        </w:tc>
        <w:tc>
          <w:tcPr>
            <w:tcW w:w="2287" w:type="pct"/>
            <w:tcBorders>
              <w:tl2br w:val="nil"/>
              <w:tr2bl w:val="nil"/>
            </w:tcBorders>
            <w:vAlign w:val="center"/>
          </w:tcPr>
          <w:p w14:paraId="62AAFF9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u w:val="none" w:color="auto"/>
              </w:rPr>
            </w:pPr>
            <w:r>
              <w:rPr>
                <w:rFonts w:hint="eastAsia" w:eastAsia="宋体"/>
                <w:sz w:val="21"/>
                <w:szCs w:val="21"/>
                <w:u w:val="none" w:color="auto"/>
                <w:vertAlign w:val="baseline"/>
                <w:lang w:val="en-US" w:eastAsia="zh-CN"/>
              </w:rPr>
              <w:t>混砂机为全封闭设备，造型/浇注区、打磨区和切割区设置集气罩收集，经1套袋式除尘器+催化燃烧（RCO）处理后，经1根15m高排气筒排放</w:t>
            </w:r>
          </w:p>
        </w:tc>
        <w:tc>
          <w:tcPr>
            <w:tcW w:w="466" w:type="pct"/>
            <w:tcBorders>
              <w:tl2br w:val="nil"/>
              <w:tr2bl w:val="nil"/>
            </w:tcBorders>
            <w:vAlign w:val="center"/>
          </w:tcPr>
          <w:p w14:paraId="76F4186E">
            <w:pPr>
              <w:pStyle w:val="35"/>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70B2AA3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6BB316B0">
            <w:pPr>
              <w:pStyle w:val="35"/>
              <w:rPr>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30AA80F2">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1A517803">
            <w:pPr>
              <w:pStyle w:val="35"/>
              <w:ind w:firstLine="0" w:firstLineChars="0"/>
              <w:rPr>
                <w:rFonts w:hint="default" w:ascii="Times New Roman" w:hAnsi="Times New Roman" w:cs="Times New Roman"/>
                <w:b w:val="0"/>
                <w:bCs w:val="0"/>
                <w:color w:val="auto"/>
                <w:kern w:val="0"/>
                <w:sz w:val="21"/>
                <w:szCs w:val="21"/>
                <w:highlight w:val="none"/>
                <w:u w:val="none" w:color="auto"/>
                <w:lang w:val="en-US" w:eastAsia="zh-CN" w:bidi="ar-SA"/>
              </w:rPr>
            </w:pPr>
            <w:r>
              <w:rPr>
                <w:rFonts w:hint="eastAsia"/>
                <w:color w:val="000000"/>
                <w:sz w:val="21"/>
                <w:szCs w:val="21"/>
                <w:u w:val="none" w:color="auto"/>
                <w:lang w:val="en-US" w:eastAsia="zh-CN"/>
              </w:rPr>
              <w:t>落砂及砂处理工序</w:t>
            </w:r>
          </w:p>
        </w:tc>
        <w:tc>
          <w:tcPr>
            <w:tcW w:w="683" w:type="pct"/>
            <w:tcBorders>
              <w:tl2br w:val="nil"/>
              <w:tr2bl w:val="nil"/>
            </w:tcBorders>
            <w:vAlign w:val="center"/>
          </w:tcPr>
          <w:p w14:paraId="4228F1AE">
            <w:pPr>
              <w:pStyle w:val="35"/>
              <w:ind w:firstLine="0" w:firstLineChars="0"/>
              <w:rPr>
                <w:color w:val="000000" w:themeColor="text1"/>
                <w:sz w:val="21"/>
                <w:szCs w:val="21"/>
                <w:u w:val="none" w:color="auto"/>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0F5A43A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sz w:val="21"/>
                <w:szCs w:val="21"/>
                <w:u w:val="none" w:color="auto"/>
              </w:rPr>
            </w:pPr>
            <w:r>
              <w:rPr>
                <w:rFonts w:hint="eastAsia" w:eastAsia="宋体"/>
                <w:sz w:val="21"/>
                <w:szCs w:val="21"/>
                <w:u w:val="none" w:color="auto"/>
                <w:vertAlign w:val="baseline"/>
                <w:lang w:val="en-US" w:eastAsia="zh-CN"/>
              </w:rPr>
              <w:t>落砂机集气罩收集，砂处理系统为全封闭设备，落砂及砂处理工序分别经1套袋式除尘器处理后，经1根15m高排气筒排放</w:t>
            </w:r>
          </w:p>
        </w:tc>
        <w:tc>
          <w:tcPr>
            <w:tcW w:w="466" w:type="pct"/>
            <w:tcBorders>
              <w:tl2br w:val="nil"/>
              <w:tr2bl w:val="nil"/>
            </w:tcBorders>
            <w:vAlign w:val="center"/>
          </w:tcPr>
          <w:p w14:paraId="38243FBA">
            <w:pPr>
              <w:pStyle w:val="35"/>
              <w:ind w:firstLine="0" w:firstLineChars="0"/>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7AFE3C7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1D7D3678">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735B25C5">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5ECC8BE6">
            <w:pPr>
              <w:pStyle w:val="35"/>
              <w:ind w:firstLine="0" w:firstLineChars="0"/>
              <w:rPr>
                <w:rFonts w:hint="default"/>
                <w:color w:val="000000" w:themeColor="text1"/>
                <w:sz w:val="21"/>
                <w:szCs w:val="21"/>
                <w14:textFill>
                  <w14:solidFill>
                    <w14:schemeClr w14:val="tx1"/>
                  </w14:solidFill>
                </w14:textFill>
              </w:rPr>
            </w:pPr>
            <w:r>
              <w:rPr>
                <w:rFonts w:hint="eastAsia"/>
                <w:color w:val="000000"/>
                <w:sz w:val="21"/>
                <w:szCs w:val="21"/>
                <w:u w:val="none" w:color="auto"/>
                <w:lang w:val="en-US" w:eastAsia="zh-CN"/>
              </w:rPr>
              <w:t>抛丸工序</w:t>
            </w:r>
          </w:p>
        </w:tc>
        <w:tc>
          <w:tcPr>
            <w:tcW w:w="683" w:type="pct"/>
            <w:tcBorders>
              <w:tl2br w:val="nil"/>
              <w:tr2bl w:val="nil"/>
            </w:tcBorders>
            <w:vAlign w:val="center"/>
          </w:tcPr>
          <w:p w14:paraId="0AC37AC7">
            <w:pPr>
              <w:pStyle w:val="35"/>
              <w:ind w:firstLine="0" w:firstLineChars="0"/>
              <w:rPr>
                <w:rFonts w:hint="default"/>
                <w:color w:val="000000" w:themeColor="text1"/>
                <w:sz w:val="21"/>
                <w:szCs w:val="21"/>
                <w14:textFill>
                  <w14:solidFill>
                    <w14:schemeClr w14:val="tx1"/>
                  </w14:solidFill>
                </w14:textFill>
              </w:rPr>
            </w:pPr>
            <w:r>
              <w:rPr>
                <w:color w:val="000000" w:themeColor="text1"/>
                <w:sz w:val="21"/>
                <w:szCs w:val="21"/>
                <w:u w:val="none" w:color="auto"/>
                <w14:textFill>
                  <w14:solidFill>
                    <w14:schemeClr w14:val="tx1"/>
                  </w14:solidFill>
                </w14:textFill>
              </w:rPr>
              <w:t>颗粒物</w:t>
            </w:r>
          </w:p>
        </w:tc>
        <w:tc>
          <w:tcPr>
            <w:tcW w:w="2287" w:type="pct"/>
            <w:tcBorders>
              <w:tl2br w:val="nil"/>
              <w:tr2bl w:val="nil"/>
            </w:tcBorders>
            <w:vAlign w:val="center"/>
          </w:tcPr>
          <w:p w14:paraId="007F930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000000" w:themeColor="text1"/>
                <w:sz w:val="21"/>
                <w:szCs w:val="21"/>
                <w:lang w:val="en-GB"/>
                <w14:textFill>
                  <w14:solidFill>
                    <w14:schemeClr w14:val="tx1"/>
                  </w14:solidFill>
                </w14:textFill>
              </w:rPr>
            </w:pPr>
            <w:r>
              <w:rPr>
                <w:rFonts w:hint="eastAsia" w:eastAsia="宋体"/>
                <w:sz w:val="21"/>
                <w:szCs w:val="21"/>
                <w:u w:val="none" w:color="auto"/>
                <w:vertAlign w:val="baseline"/>
                <w:lang w:val="en-US" w:eastAsia="zh-CN"/>
              </w:rPr>
              <w:t>抛丸机为全封闭设备</w:t>
            </w:r>
            <w:r>
              <w:rPr>
                <w:rFonts w:hint="eastAsia"/>
                <w:sz w:val="21"/>
                <w:szCs w:val="21"/>
                <w:u w:val="none" w:color="auto"/>
                <w:vertAlign w:val="baseline"/>
                <w:lang w:val="en-US" w:eastAsia="zh-CN"/>
              </w:rPr>
              <w:t>，经1套袋式除尘器处理后，经1根15m高排气筒排放</w:t>
            </w:r>
          </w:p>
        </w:tc>
        <w:tc>
          <w:tcPr>
            <w:tcW w:w="466" w:type="pct"/>
            <w:tcBorders>
              <w:tl2br w:val="nil"/>
              <w:tr2bl w:val="nil"/>
            </w:tcBorders>
            <w:vAlign w:val="center"/>
          </w:tcPr>
          <w:p w14:paraId="6DEAF1B2">
            <w:pPr>
              <w:pStyle w:val="35"/>
              <w:ind w:firstLine="0" w:firstLineChars="0"/>
              <w:rPr>
                <w:rFonts w:hint="default"/>
                <w:color w:val="000000" w:themeColor="text1"/>
                <w:sz w:val="21"/>
                <w:szCs w:val="21"/>
                <w:lang w:val="en-GB"/>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205A6D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03FA365F">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5FA3DA8F">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废水治理</w:t>
            </w:r>
          </w:p>
        </w:tc>
        <w:tc>
          <w:tcPr>
            <w:tcW w:w="840" w:type="pct"/>
            <w:tcBorders>
              <w:tl2br w:val="nil"/>
              <w:tr2bl w:val="nil"/>
            </w:tcBorders>
            <w:vAlign w:val="center"/>
          </w:tcPr>
          <w:p w14:paraId="35A547D5">
            <w:pPr>
              <w:pStyle w:val="35"/>
              <w:ind w:firstLine="0" w:firstLineChars="0"/>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生活污水</w:t>
            </w:r>
          </w:p>
        </w:tc>
        <w:tc>
          <w:tcPr>
            <w:tcW w:w="683" w:type="pct"/>
            <w:tcBorders>
              <w:tl2br w:val="nil"/>
              <w:tr2bl w:val="nil"/>
            </w:tcBorders>
            <w:vAlign w:val="center"/>
          </w:tcPr>
          <w:p w14:paraId="2561BE3B">
            <w:pPr>
              <w:pStyle w:val="35"/>
              <w:ind w:firstLine="0" w:firstLineChars="0"/>
              <w:rPr>
                <w:rFonts w:hint="default"/>
                <w:color w:val="000000" w:themeColor="text1"/>
                <w:sz w:val="21"/>
                <w:szCs w:val="21"/>
                <w:u w:val="none"/>
                <w14:textFill>
                  <w14:solidFill>
                    <w14:schemeClr w14:val="tx1"/>
                  </w14:solidFill>
                </w14:textFill>
              </w:rPr>
            </w:pPr>
            <w:r>
              <w:rPr>
                <w:rFonts w:hint="eastAsia"/>
                <w:color w:val="000000" w:themeColor="text1"/>
                <w:kern w:val="0"/>
                <w:sz w:val="21"/>
                <w:szCs w:val="21"/>
                <w:u w:val="none"/>
                <w:lang w:val="en-US" w:eastAsia="zh-CN" w:bidi="ar"/>
                <w14:textFill>
                  <w14:solidFill>
                    <w14:schemeClr w14:val="tx1"/>
                  </w14:solidFill>
                </w14:textFill>
              </w:rPr>
              <w:t>pH、</w:t>
            </w:r>
            <w:r>
              <w:rPr>
                <w:color w:val="000000" w:themeColor="text1"/>
                <w:sz w:val="21"/>
                <w:szCs w:val="21"/>
                <w:u w:val="none"/>
                <w14:textFill>
                  <w14:solidFill>
                    <w14:schemeClr w14:val="tx1"/>
                  </w14:solidFill>
                </w14:textFill>
              </w:rPr>
              <w:t>COD、BOD</w:t>
            </w:r>
            <w:r>
              <w:rPr>
                <w:color w:val="000000" w:themeColor="text1"/>
                <w:sz w:val="21"/>
                <w:szCs w:val="21"/>
                <w:u w:val="none"/>
                <w:vertAlign w:val="subscript"/>
                <w14:textFill>
                  <w14:solidFill>
                    <w14:schemeClr w14:val="tx1"/>
                  </w14:solidFill>
                </w14:textFill>
              </w:rPr>
              <w:t>5</w:t>
            </w:r>
            <w:r>
              <w:rPr>
                <w:color w:val="000000" w:themeColor="text1"/>
                <w:sz w:val="21"/>
                <w:szCs w:val="21"/>
                <w:u w:val="none"/>
                <w14:textFill>
                  <w14:solidFill>
                    <w14:schemeClr w14:val="tx1"/>
                  </w14:solidFill>
                </w14:textFill>
              </w:rPr>
              <w:t>、SS、NH</w:t>
            </w:r>
            <w:r>
              <w:rPr>
                <w:color w:val="000000" w:themeColor="text1"/>
                <w:sz w:val="21"/>
                <w:szCs w:val="21"/>
                <w:u w:val="none"/>
                <w:vertAlign w:val="subscript"/>
                <w14:textFill>
                  <w14:solidFill>
                    <w14:schemeClr w14:val="tx1"/>
                  </w14:solidFill>
                </w14:textFill>
              </w:rPr>
              <w:t>3</w:t>
            </w:r>
            <w:r>
              <w:rPr>
                <w:color w:val="000000" w:themeColor="text1"/>
                <w:sz w:val="21"/>
                <w:szCs w:val="21"/>
                <w:u w:val="none"/>
                <w14:textFill>
                  <w14:solidFill>
                    <w14:schemeClr w14:val="tx1"/>
                  </w14:solidFill>
                </w14:textFill>
              </w:rPr>
              <w:t>-N</w:t>
            </w:r>
          </w:p>
        </w:tc>
        <w:tc>
          <w:tcPr>
            <w:tcW w:w="2287" w:type="pct"/>
            <w:tcBorders>
              <w:tl2br w:val="nil"/>
              <w:tr2bl w:val="nil"/>
            </w:tcBorders>
            <w:vAlign w:val="center"/>
          </w:tcPr>
          <w:p w14:paraId="4667840E">
            <w:pPr>
              <w:pStyle w:val="35"/>
              <w:rPr>
                <w:rFonts w:hint="eastAsia" w:eastAsia="宋体"/>
                <w:color w:val="000000" w:themeColor="text1"/>
                <w:sz w:val="21"/>
                <w:szCs w:val="21"/>
                <w:lang w:eastAsia="zh-CN"/>
                <w14:textFill>
                  <w14:solidFill>
                    <w14:schemeClr w14:val="tx1"/>
                  </w14:solidFill>
                </w14:textFill>
              </w:rPr>
            </w:pPr>
            <w:r>
              <w:rPr>
                <w:rFonts w:hint="eastAsia" w:eastAsia="宋体" w:cs="Times New Roman"/>
                <w:kern w:val="21"/>
                <w:sz w:val="21"/>
                <w:szCs w:val="21"/>
                <w:lang w:val="en-US" w:eastAsia="zh-CN"/>
              </w:rPr>
              <w:t>经1座10m</w:t>
            </w:r>
            <w:r>
              <w:rPr>
                <w:rFonts w:hint="eastAsia" w:eastAsia="宋体" w:cs="Times New Roman"/>
                <w:kern w:val="21"/>
                <w:sz w:val="21"/>
                <w:szCs w:val="21"/>
                <w:vertAlign w:val="superscript"/>
                <w:lang w:val="en-US" w:eastAsia="zh-CN"/>
              </w:rPr>
              <w:t>3</w:t>
            </w:r>
            <w:r>
              <w:rPr>
                <w:rFonts w:hint="eastAsia" w:eastAsia="宋体" w:cs="Times New Roman"/>
                <w:kern w:val="21"/>
                <w:sz w:val="21"/>
                <w:szCs w:val="21"/>
                <w:lang w:val="en-US" w:eastAsia="zh-CN"/>
              </w:rPr>
              <w:t>化粪池处理后通过厂区污水总排口进入市政管网</w:t>
            </w:r>
          </w:p>
        </w:tc>
        <w:tc>
          <w:tcPr>
            <w:tcW w:w="466" w:type="pct"/>
            <w:tcBorders>
              <w:tl2br w:val="nil"/>
              <w:tr2bl w:val="nil"/>
            </w:tcBorders>
            <w:vAlign w:val="center"/>
          </w:tcPr>
          <w:p w14:paraId="3433E2C8">
            <w:pPr>
              <w:pStyle w:val="35"/>
              <w:rPr>
                <w:rFonts w:hint="eastAsia" w:eastAsia="宋体"/>
                <w:color w:val="000000" w:themeColor="text1"/>
                <w:sz w:val="21"/>
                <w:szCs w:val="21"/>
                <w:lang w:eastAsia="zh-CN"/>
                <w14:textFill>
                  <w14:solidFill>
                    <w14:schemeClr w14:val="tx1"/>
                  </w14:solidFill>
                </w14:textFill>
              </w:rPr>
            </w:pPr>
            <w:r>
              <w:rPr>
                <w:rFonts w:hint="eastAsia" w:ascii="Times New Roman" w:hAnsi="Times New Roman" w:eastAsia="宋体" w:cs="Times New Roman"/>
                <w:bCs/>
                <w:color w:val="auto"/>
                <w:sz w:val="21"/>
                <w:szCs w:val="21"/>
                <w:highlight w:val="none"/>
                <w:u w:val="none" w:color="auto"/>
                <w:lang w:val="en-US" w:eastAsia="zh-CN"/>
              </w:rPr>
              <w:t>依托恒基混凝土公司已有设施</w:t>
            </w:r>
          </w:p>
        </w:tc>
      </w:tr>
      <w:tr w14:paraId="41D003C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20A8DBB0">
            <w:pPr>
              <w:pStyle w:val="35"/>
              <w:rPr>
                <w:rFonts w:hint="default"/>
                <w:color w:val="000000" w:themeColor="text1"/>
                <w:sz w:val="21"/>
                <w:szCs w:val="21"/>
                <w14:textFill>
                  <w14:solidFill>
                    <w14:schemeClr w14:val="tx1"/>
                  </w14:solidFill>
                </w14:textFill>
              </w:rPr>
            </w:pPr>
          </w:p>
        </w:tc>
        <w:tc>
          <w:tcPr>
            <w:tcW w:w="392" w:type="pct"/>
            <w:tcBorders>
              <w:tl2br w:val="nil"/>
              <w:tr2bl w:val="nil"/>
            </w:tcBorders>
            <w:vAlign w:val="center"/>
          </w:tcPr>
          <w:p w14:paraId="4BF04878">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噪声治理</w:t>
            </w:r>
          </w:p>
        </w:tc>
        <w:tc>
          <w:tcPr>
            <w:tcW w:w="3810" w:type="pct"/>
            <w:gridSpan w:val="3"/>
            <w:tcBorders>
              <w:tl2br w:val="nil"/>
              <w:tr2bl w:val="nil"/>
            </w:tcBorders>
            <w:vAlign w:val="center"/>
          </w:tcPr>
          <w:p w14:paraId="0BC05E28">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采用厂房隔声、设备基础减振、合理布局</w:t>
            </w:r>
          </w:p>
        </w:tc>
        <w:tc>
          <w:tcPr>
            <w:tcW w:w="799" w:type="dxa"/>
            <w:tcBorders>
              <w:tl2br w:val="nil"/>
              <w:tr2bl w:val="nil"/>
            </w:tcBorders>
            <w:vAlign w:val="center"/>
          </w:tcPr>
          <w:p w14:paraId="5DD3F3AF">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174CCDD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5240935">
            <w:pPr>
              <w:pStyle w:val="35"/>
              <w:rPr>
                <w:rFonts w:hint="default"/>
                <w:color w:val="000000" w:themeColor="text1"/>
                <w:sz w:val="21"/>
                <w:szCs w:val="21"/>
                <w14:textFill>
                  <w14:solidFill>
                    <w14:schemeClr w14:val="tx1"/>
                  </w14:solidFill>
                </w14:textFill>
              </w:rPr>
            </w:pPr>
          </w:p>
        </w:tc>
        <w:tc>
          <w:tcPr>
            <w:tcW w:w="392" w:type="pct"/>
            <w:vMerge w:val="restart"/>
            <w:tcBorders>
              <w:tl2br w:val="nil"/>
              <w:tr2bl w:val="nil"/>
            </w:tcBorders>
            <w:vAlign w:val="center"/>
          </w:tcPr>
          <w:p w14:paraId="64E26948">
            <w:pPr>
              <w:pStyle w:val="35"/>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固废治理</w:t>
            </w:r>
          </w:p>
        </w:tc>
        <w:tc>
          <w:tcPr>
            <w:tcW w:w="840" w:type="pct"/>
            <w:tcBorders>
              <w:tl2br w:val="nil"/>
              <w:tr2bl w:val="nil"/>
            </w:tcBorders>
            <w:vAlign w:val="center"/>
          </w:tcPr>
          <w:p w14:paraId="5036358B">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职工生活垃圾</w:t>
            </w:r>
          </w:p>
        </w:tc>
        <w:tc>
          <w:tcPr>
            <w:tcW w:w="2970" w:type="pct"/>
            <w:gridSpan w:val="2"/>
            <w:tcBorders>
              <w:tl2br w:val="nil"/>
              <w:tr2bl w:val="nil"/>
            </w:tcBorders>
            <w:vAlign w:val="center"/>
          </w:tcPr>
          <w:p w14:paraId="2135DE78">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垃圾箱（桶）若干</w:t>
            </w:r>
          </w:p>
        </w:tc>
        <w:tc>
          <w:tcPr>
            <w:tcW w:w="799" w:type="dxa"/>
            <w:tcBorders>
              <w:tl2br w:val="nil"/>
              <w:tr2bl w:val="nil"/>
            </w:tcBorders>
            <w:vAlign w:val="center"/>
          </w:tcPr>
          <w:p w14:paraId="0862D8F9">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0819E98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79D60DE3">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2D6B4CE3">
            <w:pPr>
              <w:pStyle w:val="35"/>
              <w:rPr>
                <w:color w:val="000000" w:themeColor="text1"/>
                <w:sz w:val="21"/>
                <w:szCs w:val="21"/>
                <w14:textFill>
                  <w14:solidFill>
                    <w14:schemeClr w14:val="tx1"/>
                  </w14:solidFill>
                </w14:textFill>
              </w:rPr>
            </w:pPr>
          </w:p>
        </w:tc>
        <w:tc>
          <w:tcPr>
            <w:tcW w:w="840" w:type="pct"/>
            <w:tcBorders>
              <w:tl2br w:val="nil"/>
              <w:tr2bl w:val="nil"/>
            </w:tcBorders>
            <w:vAlign w:val="center"/>
          </w:tcPr>
          <w:p w14:paraId="65ED795E">
            <w:pPr>
              <w:pStyle w:val="35"/>
              <w:ind w:firstLine="0" w:firstLineChars="0"/>
              <w:rPr>
                <w:color w:val="000000" w:themeColor="text1"/>
                <w:sz w:val="21"/>
                <w:szCs w:val="21"/>
                <w14:textFill>
                  <w14:solidFill>
                    <w14:schemeClr w14:val="tx1"/>
                  </w14:solidFill>
                </w14:textFill>
              </w:rPr>
            </w:pPr>
            <w:r>
              <w:rPr>
                <w:rFonts w:hint="eastAsia"/>
                <w:color w:val="000000" w:themeColor="text1"/>
                <w:lang w:val="en-US" w:eastAsia="zh-CN"/>
                <w14:textFill>
                  <w14:solidFill>
                    <w14:schemeClr w14:val="tx1"/>
                  </w14:solidFill>
                </w14:textFill>
              </w:rPr>
              <w:t>化粪池污泥</w:t>
            </w:r>
          </w:p>
        </w:tc>
        <w:tc>
          <w:tcPr>
            <w:tcW w:w="2970" w:type="pct"/>
            <w:gridSpan w:val="2"/>
            <w:tcBorders>
              <w:tl2br w:val="nil"/>
              <w:tr2bl w:val="nil"/>
            </w:tcBorders>
            <w:vAlign w:val="center"/>
          </w:tcPr>
          <w:p w14:paraId="69DB1D66">
            <w:pPr>
              <w:pStyle w:val="35"/>
              <w:ind w:firstLine="0" w:firstLineChars="0"/>
              <w:rPr>
                <w:color w:val="000000" w:themeColor="text1"/>
                <w:sz w:val="21"/>
                <w:szCs w:val="21"/>
                <w14:textFill>
                  <w14:solidFill>
                    <w14:schemeClr w14:val="tx1"/>
                  </w14:solidFill>
                </w14:textFill>
              </w:rPr>
            </w:pPr>
            <w:r>
              <w:rPr>
                <w:rFonts w:hint="default"/>
                <w:color w:val="000000" w:themeColor="text1"/>
                <w14:textFill>
                  <w14:solidFill>
                    <w14:schemeClr w14:val="tx1"/>
                  </w14:solidFill>
                </w14:textFill>
              </w:rPr>
              <w:t>由专用吸污车定期清掏，干化后委托环卫部门清运处理</w:t>
            </w:r>
          </w:p>
        </w:tc>
        <w:tc>
          <w:tcPr>
            <w:tcW w:w="799" w:type="dxa"/>
            <w:tcBorders>
              <w:tl2br w:val="nil"/>
              <w:tr2bl w:val="nil"/>
            </w:tcBorders>
            <w:vAlign w:val="center"/>
          </w:tcPr>
          <w:p w14:paraId="5111B604">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796EF07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1C8617FC">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28F85B42">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3E641DC9">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一般固废</w:t>
            </w:r>
          </w:p>
        </w:tc>
        <w:tc>
          <w:tcPr>
            <w:tcW w:w="2970" w:type="pct"/>
            <w:gridSpan w:val="2"/>
            <w:tcBorders>
              <w:tl2br w:val="nil"/>
              <w:tr2bl w:val="nil"/>
            </w:tcBorders>
            <w:vAlign w:val="center"/>
          </w:tcPr>
          <w:p w14:paraId="7166165B">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的一般固废暂存间</w:t>
            </w:r>
          </w:p>
        </w:tc>
        <w:tc>
          <w:tcPr>
            <w:tcW w:w="799" w:type="dxa"/>
            <w:tcBorders>
              <w:tl2br w:val="nil"/>
              <w:tr2bl w:val="nil"/>
            </w:tcBorders>
            <w:vAlign w:val="center"/>
          </w:tcPr>
          <w:p w14:paraId="310CDB3E">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r w14:paraId="61BF83E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57" w:type="dxa"/>
            <w:bottom w:w="0" w:type="dxa"/>
            <w:right w:w="57" w:type="dxa"/>
          </w:tblCellMar>
        </w:tblPrEx>
        <w:trPr>
          <w:trHeight w:val="454" w:hRule="atLeast"/>
          <w:jc w:val="center"/>
        </w:trPr>
        <w:tc>
          <w:tcPr>
            <w:tcW w:w="330" w:type="pct"/>
            <w:vMerge w:val="continue"/>
            <w:tcBorders>
              <w:tl2br w:val="nil"/>
              <w:tr2bl w:val="nil"/>
            </w:tcBorders>
            <w:vAlign w:val="center"/>
          </w:tcPr>
          <w:p w14:paraId="3894769E">
            <w:pPr>
              <w:pStyle w:val="35"/>
              <w:rPr>
                <w:rFonts w:hint="default"/>
                <w:color w:val="000000" w:themeColor="text1"/>
                <w:sz w:val="21"/>
                <w:szCs w:val="21"/>
                <w14:textFill>
                  <w14:solidFill>
                    <w14:schemeClr w14:val="tx1"/>
                  </w14:solidFill>
                </w14:textFill>
              </w:rPr>
            </w:pPr>
          </w:p>
        </w:tc>
        <w:tc>
          <w:tcPr>
            <w:tcW w:w="392" w:type="pct"/>
            <w:vMerge w:val="continue"/>
            <w:tcBorders>
              <w:tl2br w:val="nil"/>
              <w:tr2bl w:val="nil"/>
            </w:tcBorders>
            <w:vAlign w:val="center"/>
          </w:tcPr>
          <w:p w14:paraId="7B9752DE">
            <w:pPr>
              <w:pStyle w:val="35"/>
              <w:rPr>
                <w:rFonts w:hint="default"/>
                <w:color w:val="000000" w:themeColor="text1"/>
                <w:sz w:val="21"/>
                <w:szCs w:val="21"/>
                <w14:textFill>
                  <w14:solidFill>
                    <w14:schemeClr w14:val="tx1"/>
                  </w14:solidFill>
                </w14:textFill>
              </w:rPr>
            </w:pPr>
          </w:p>
        </w:tc>
        <w:tc>
          <w:tcPr>
            <w:tcW w:w="840" w:type="pct"/>
            <w:tcBorders>
              <w:tl2br w:val="nil"/>
              <w:tr2bl w:val="nil"/>
            </w:tcBorders>
            <w:vAlign w:val="center"/>
          </w:tcPr>
          <w:p w14:paraId="4C01AE5D">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危险废物</w:t>
            </w:r>
          </w:p>
        </w:tc>
        <w:tc>
          <w:tcPr>
            <w:tcW w:w="2970" w:type="pct"/>
            <w:gridSpan w:val="2"/>
            <w:tcBorders>
              <w:tl2br w:val="nil"/>
              <w:tr2bl w:val="nil"/>
            </w:tcBorders>
            <w:vAlign w:val="center"/>
          </w:tcPr>
          <w:p w14:paraId="5A1B470C">
            <w:pPr>
              <w:pStyle w:val="35"/>
              <w:ind w:firstLine="0" w:firstLineChars="0"/>
              <w:rPr>
                <w:rFonts w:hint="default"/>
                <w:color w:val="000000" w:themeColor="text1"/>
                <w:sz w:val="21"/>
                <w:szCs w:val="21"/>
                <w14:textFill>
                  <w14:solidFill>
                    <w14:schemeClr w14:val="tx1"/>
                  </w14:solidFill>
                </w14:textFill>
              </w:rPr>
            </w:pPr>
            <w:r>
              <w:rPr>
                <w:color w:val="000000" w:themeColor="text1"/>
                <w14:textFill>
                  <w14:solidFill>
                    <w14:schemeClr w14:val="tx1"/>
                  </w14:solidFill>
                </w14:textFill>
              </w:rPr>
              <w:t>1座</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有“六防”措施的危废暂存间</w:t>
            </w:r>
          </w:p>
        </w:tc>
        <w:tc>
          <w:tcPr>
            <w:tcW w:w="799" w:type="dxa"/>
            <w:tcBorders>
              <w:tl2br w:val="nil"/>
              <w:tr2bl w:val="nil"/>
            </w:tcBorders>
            <w:vAlign w:val="center"/>
          </w:tcPr>
          <w:p w14:paraId="5E28288C">
            <w:pPr>
              <w:pStyle w:val="35"/>
              <w:ind w:firstLine="0" w:firstLineChars="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新建</w:t>
            </w:r>
          </w:p>
        </w:tc>
      </w:tr>
    </w:tbl>
    <w:p w14:paraId="00B32838">
      <w:pPr>
        <w:bidi w:val="0"/>
        <w:ind w:left="0" w:leftChars="0" w:firstLine="0" w:firstLineChars="0"/>
        <w:rPr>
          <w:rFonts w:hint="eastAsia"/>
        </w:rPr>
      </w:pPr>
    </w:p>
    <w:p w14:paraId="642BA370">
      <w:pPr>
        <w:bidi w:val="0"/>
        <w:ind w:left="0" w:leftChars="0" w:firstLine="0" w:firstLineChars="0"/>
        <w:rPr>
          <w:rFonts w:hint="eastAsia"/>
        </w:rPr>
      </w:pPr>
    </w:p>
    <w:p w14:paraId="5AD37C9A">
      <w:pPr>
        <w:bidi w:val="0"/>
        <w:ind w:left="0" w:leftChars="0" w:firstLine="0" w:firstLineChars="0"/>
        <w:rPr>
          <w:rFonts w:hint="eastAsia"/>
        </w:rPr>
      </w:pPr>
    </w:p>
    <w:p w14:paraId="2F86E940">
      <w:pPr>
        <w:bidi w:val="0"/>
        <w:ind w:left="0" w:leftChars="0" w:firstLine="0" w:firstLineChars="0"/>
        <w:rPr>
          <w:rFonts w:hint="eastAsia"/>
        </w:rPr>
      </w:pPr>
    </w:p>
    <w:p w14:paraId="7206E7AD">
      <w:pPr>
        <w:bidi w:val="0"/>
        <w:ind w:left="0" w:leftChars="0" w:firstLine="0" w:firstLineChars="0"/>
        <w:rPr>
          <w:rFonts w:hint="eastAsia"/>
        </w:rPr>
      </w:pPr>
    </w:p>
    <w:p w14:paraId="4374E842">
      <w:pPr>
        <w:pStyle w:val="3"/>
      </w:pPr>
      <w:bookmarkStart w:id="161" w:name="_Toc26085"/>
      <w:bookmarkStart w:id="162" w:name="_Toc11975"/>
      <w:r>
        <w:rPr>
          <w:rFonts w:hint="eastAsia"/>
        </w:rPr>
        <w:t>2</w:t>
      </w:r>
      <w:r>
        <w:t>.4.工程分析</w:t>
      </w:r>
      <w:bookmarkEnd w:id="159"/>
      <w:bookmarkEnd w:id="160"/>
      <w:bookmarkEnd w:id="161"/>
      <w:bookmarkEnd w:id="162"/>
    </w:p>
    <w:p w14:paraId="70DD9B64">
      <w:pPr>
        <w:bidi w:val="0"/>
        <w:rPr>
          <w:rFonts w:hint="eastAsia"/>
          <w:lang w:val="en-US" w:eastAsia="zh-CN"/>
        </w:rPr>
      </w:pPr>
      <w:r>
        <w:rPr>
          <w:rFonts w:hint="eastAsia"/>
          <w:lang w:val="en-US" w:eastAsia="zh-CN"/>
        </w:rPr>
        <w:t>本项目运营期主要生产工艺流程及产污环节如下：</w:t>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5"/>
      </w:tblGrid>
      <w:tr w14:paraId="3E945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vAlign w:val="center"/>
          </w:tcPr>
          <w:p w14:paraId="1A314EE2">
            <w:pPr>
              <w:pStyle w:val="4"/>
              <w:jc w:val="center"/>
              <w:rPr>
                <w:rFonts w:hint="eastAsia"/>
                <w:vertAlign w:val="baseline"/>
                <w:lang w:val="en-US" w:eastAsia="zh-CN"/>
              </w:rPr>
            </w:pPr>
            <w:bookmarkStart w:id="163" w:name="_Toc5570"/>
            <w:r>
              <w:drawing>
                <wp:inline distT="0" distB="0" distL="114300" distR="114300">
                  <wp:extent cx="5621655" cy="4422140"/>
                  <wp:effectExtent l="0" t="0" r="17145" b="1651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16"/>
                          <a:stretch>
                            <a:fillRect/>
                          </a:stretch>
                        </pic:blipFill>
                        <pic:spPr>
                          <a:xfrm>
                            <a:off x="0" y="0"/>
                            <a:ext cx="5621655" cy="4422140"/>
                          </a:xfrm>
                          <a:prstGeom prst="rect">
                            <a:avLst/>
                          </a:prstGeom>
                          <a:noFill/>
                          <a:ln>
                            <a:noFill/>
                          </a:ln>
                        </pic:spPr>
                      </pic:pic>
                    </a:graphicData>
                  </a:graphic>
                </wp:inline>
              </w:drawing>
            </w:r>
            <w:bookmarkEnd w:id="163"/>
          </w:p>
        </w:tc>
      </w:tr>
      <w:tr w14:paraId="4D1A31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vAlign w:val="center"/>
          </w:tcPr>
          <w:p w14:paraId="61F605BF">
            <w:pPr>
              <w:pStyle w:val="4"/>
              <w:jc w:val="center"/>
              <w:rPr>
                <w:rFonts w:hint="eastAsia"/>
                <w:vertAlign w:val="baseline"/>
                <w:lang w:val="en-US" w:eastAsia="zh-CN"/>
              </w:rPr>
            </w:pPr>
            <w:bookmarkStart w:id="164" w:name="_Toc157"/>
            <w:r>
              <w:rPr>
                <w:rFonts w:hint="default" w:ascii="Times New Roman" w:hAnsi="Times New Roman" w:eastAsia="黑体" w:cs="Times New Roman"/>
                <w:b w:val="0"/>
                <w:bCs/>
                <w:vertAlign w:val="baseline"/>
                <w:lang w:val="en-US" w:eastAsia="zh-CN"/>
              </w:rPr>
              <w:t>图2</w:t>
            </w:r>
            <w:r>
              <w:rPr>
                <w:rFonts w:hint="eastAsia" w:ascii="Times New Roman" w:hAnsi="Times New Roman" w:eastAsia="黑体" w:cs="Times New Roman"/>
                <w:b w:val="0"/>
                <w:bCs/>
                <w:vertAlign w:val="baseline"/>
                <w:lang w:val="en-US" w:eastAsia="zh-CN"/>
              </w:rPr>
              <w:t>.4</w:t>
            </w:r>
            <w:r>
              <w:rPr>
                <w:rFonts w:hint="default" w:ascii="Times New Roman" w:hAnsi="Times New Roman" w:eastAsia="黑体" w:cs="Times New Roman"/>
                <w:b w:val="0"/>
                <w:bCs/>
                <w:vertAlign w:val="baseline"/>
                <w:lang w:val="en-US" w:eastAsia="zh-CN"/>
              </w:rPr>
              <w:t>-</w:t>
            </w:r>
            <w:r>
              <w:rPr>
                <w:rFonts w:hint="eastAsia" w:ascii="Times New Roman" w:hAnsi="Times New Roman" w:eastAsia="黑体" w:cs="Times New Roman"/>
                <w:b w:val="0"/>
                <w:bCs/>
                <w:vertAlign w:val="baseline"/>
                <w:lang w:val="en-US" w:eastAsia="zh-CN"/>
              </w:rPr>
              <w:t xml:space="preserve">1  </w:t>
            </w:r>
            <w:r>
              <w:rPr>
                <w:rFonts w:hint="default" w:ascii="Times New Roman" w:hAnsi="Times New Roman" w:eastAsia="黑体" w:cs="Times New Roman"/>
                <w:b w:val="0"/>
                <w:bCs/>
                <w:vertAlign w:val="baseline"/>
                <w:lang w:val="en-US" w:eastAsia="zh-CN"/>
              </w:rPr>
              <w:t>生产工艺流程及产污节点图</w:t>
            </w:r>
            <w:bookmarkEnd w:id="164"/>
          </w:p>
        </w:tc>
      </w:tr>
    </w:tbl>
    <w:p w14:paraId="37CAE9C3">
      <w:pPr>
        <w:bidi w:val="0"/>
        <w:rPr>
          <w:rFonts w:hint="default" w:ascii="Times New Roman" w:hAnsi="Times New Roman" w:eastAsia="黑体" w:cs="Times New Roman"/>
        </w:rPr>
      </w:pPr>
      <w:r>
        <w:rPr>
          <w:rFonts w:hint="default" w:ascii="Times New Roman" w:hAnsi="Times New Roman" w:eastAsia="黑体" w:cs="Times New Roman"/>
        </w:rPr>
        <w:t>工艺流程简述：</w:t>
      </w:r>
    </w:p>
    <w:p w14:paraId="2A5C8A18">
      <w:pPr>
        <w:bidi w:val="0"/>
        <w:rPr>
          <w:rFonts w:hint="eastAsia"/>
          <w:lang w:val="en-US" w:eastAsia="zh-CN"/>
        </w:rPr>
      </w:pPr>
      <w:r>
        <w:rPr>
          <w:rFonts w:hint="eastAsia"/>
          <w:lang w:val="en-US" w:eastAsia="zh-CN"/>
        </w:rPr>
        <w:t>1、砂模制造</w:t>
      </w:r>
    </w:p>
    <w:p w14:paraId="5D85D152">
      <w:pPr>
        <w:bidi w:val="0"/>
        <w:rPr>
          <w:rFonts w:hint="eastAsia"/>
          <w:lang w:val="en-US" w:eastAsia="zh-CN"/>
        </w:rPr>
      </w:pPr>
      <w:r>
        <w:rPr>
          <w:rFonts w:hint="eastAsia"/>
          <w:lang w:val="en-US" w:eastAsia="zh-CN"/>
        </w:rPr>
        <w:t>（1）混砂：本项目外购呋喃树脂、固化剂及石英砂等物料均采用汽运进入厂区原料库堆存，呋喃树脂、固化剂密闭桶装，石英砂袋装，装卸过程中无粉尘产生，装卸后均储存于半密闭原料仓库内，呋喃树脂、固化剂在非取用状态时保持密闭。因原料仓库与生产车间距离较短，原料取用采用人工搬运即可。将呋喃树脂、固化剂、石英砂（包括旧砂再生以及新石英砂）按照配比（树脂占树脂砂比例为1%，固化剂占树脂的50%）进行混合。呋喃树脂、固化剂均存放于密闭吨桶内，原料均采用密闭管道输送至入料漏斗和液体注料管。后进入混砂机的内部，密闭混砂机可以自由转动，然后通过螺旋混砂叶片混合搅拌。最终混合物通过出料口送出，流入砂箱。此工序产生混砂粉尘、废包装材料、废包装桶、噪声。</w:t>
      </w:r>
    </w:p>
    <w:p w14:paraId="6F72143B">
      <w:pPr>
        <w:bidi w:val="0"/>
        <w:rPr>
          <w:rFonts w:hint="eastAsia"/>
          <w:lang w:val="en-US" w:eastAsia="zh-CN"/>
        </w:rPr>
      </w:pPr>
      <w:r>
        <w:rPr>
          <w:rFonts w:hint="eastAsia"/>
          <w:lang w:val="en-US" w:eastAsia="zh-CN"/>
        </w:rPr>
        <w:t>（2）造型：将树脂砂倒入砂箱中，按工艺要求分层填加型砂，振实一段时间（一般30~60秒），增加型砂的堆积密度并使型砂充满模型的各个部位后，刮平箱口，待型砂硬化以维持浇注过程中型砂不崩溃。呋喃树脂固化原理：呋喃树脂固化为自硬原理。呋喃树脂是以糠醇等原料在一定条件下合成的，稳定的呋喃环在室温下可与酸性固化剂产生缩合反应，形成体型结构固化。其优点为硬化速度快，生产效率高，砂芯表面光洁、尺寸精确。此工序产生造型废气、噪声。</w:t>
      </w:r>
    </w:p>
    <w:p w14:paraId="560D964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树脂砂造型在常温下进行，在300℃以内呋喃树脂本身基本上不发生分解，根据建设单位提供的资料，本项目使用的呋喃树脂为一级铸造用自硬呋喃树脂，对照《铸造用自硬呋喃树脂》（JB/T7526-2008）表3中游离甲醛≤0.1%为一级，因此，本项目游离甲醛含量≤0.1%，该工序产生的挥发性有机物及甲醛量较小，混砂、造型工序不定量分析，在浇注工序考虑挥发性有机物及甲醛废气全部挥发。</w:t>
      </w:r>
    </w:p>
    <w:p w14:paraId="74F72DAA">
      <w:pPr>
        <w:bidi w:val="0"/>
        <w:rPr>
          <w:rFonts w:hint="eastAsia"/>
          <w:lang w:val="en-US" w:eastAsia="zh-CN"/>
        </w:rPr>
      </w:pPr>
      <w:r>
        <w:rPr>
          <w:rFonts w:hint="eastAsia"/>
          <w:lang w:val="en-US" w:eastAsia="zh-CN"/>
        </w:rPr>
        <w:t>2、熔炼浇注</w:t>
      </w:r>
    </w:p>
    <w:p w14:paraId="0B455C26">
      <w:pPr>
        <w:bidi w:val="0"/>
        <w:rPr>
          <w:rFonts w:hint="eastAsia"/>
          <w:lang w:val="en-US" w:eastAsia="zh-CN"/>
        </w:rPr>
      </w:pPr>
      <w:r>
        <w:rPr>
          <w:rFonts w:hint="eastAsia"/>
          <w:lang w:val="en-US" w:eastAsia="zh-CN"/>
        </w:rPr>
        <w:t>（1）熔炼：采用中频炉（采用炉盖一体化自动设备，增强集气效率）将生铁、废钢及除渣剂熔化成具有特定物理性能及化学性能的液态，中频炉配有检验设备，对其进行化学成分分析，把控铸件质量。该工段能源采用电能，加热温度约为1600℃。中频炉工作过程中，需用冷却水进行循环控制温度，在工作结束后也需要用冷却水冷却中频炉。该工序将产生熔炼废气（颗粒物）、炉渣及噪声。</w:t>
      </w:r>
    </w:p>
    <w:p w14:paraId="5AF23526">
      <w:pPr>
        <w:bidi w:val="0"/>
        <w:rPr>
          <w:rFonts w:hint="eastAsia"/>
          <w:lang w:val="en-US" w:eastAsia="zh-CN"/>
        </w:rPr>
      </w:pPr>
      <w:r>
        <w:rPr>
          <w:rFonts w:hint="eastAsia"/>
          <w:lang w:val="en-US" w:eastAsia="zh-CN"/>
        </w:rPr>
        <w:t>（2）浇注：将熔化的铁水用钢水包运至树脂砂浇注区，通过长柄小铁水包将铁水按工艺要求人工注入砂模中，在高温铁水与砂模接触时，会产生烟尘，同时树脂砂受热后会产生颗粒物、非甲烷总烃、甲醛。此工序产生浇注废气、噪声。</w:t>
      </w:r>
    </w:p>
    <w:p w14:paraId="2D076A4A">
      <w:pPr>
        <w:bidi w:val="0"/>
        <w:rPr>
          <w:rFonts w:hint="eastAsia"/>
          <w:lang w:val="en-US" w:eastAsia="zh-CN"/>
        </w:rPr>
      </w:pPr>
      <w:r>
        <w:rPr>
          <w:rFonts w:hint="eastAsia"/>
          <w:lang w:val="en-US" w:eastAsia="zh-CN"/>
        </w:rPr>
        <w:t>（3）冷却：进行自然冷却。</w:t>
      </w:r>
    </w:p>
    <w:p w14:paraId="5F86193C">
      <w:pPr>
        <w:bidi w:val="0"/>
        <w:rPr>
          <w:rFonts w:hint="eastAsia"/>
          <w:lang w:val="en-US" w:eastAsia="zh-CN"/>
        </w:rPr>
      </w:pPr>
      <w:r>
        <w:rPr>
          <w:rFonts w:hint="eastAsia"/>
          <w:lang w:val="en-US" w:eastAsia="zh-CN"/>
        </w:rPr>
        <w:t>3、出箱落砂</w:t>
      </w:r>
    </w:p>
    <w:p w14:paraId="4DFA7FE3">
      <w:pPr>
        <w:bidi w:val="0"/>
        <w:rPr>
          <w:rFonts w:hint="eastAsia"/>
          <w:lang w:val="en-US" w:eastAsia="zh-CN"/>
        </w:rPr>
      </w:pPr>
      <w:r>
        <w:rPr>
          <w:rFonts w:hint="eastAsia"/>
          <w:lang w:val="en-US" w:eastAsia="zh-CN"/>
        </w:rPr>
        <w:t>待铸型内的铁水自然冷却凝固形成铸件后通过行车将砂箱吊到振动落砂机上，落砂机将铸件和砂子分离完成机械落砂，</w:t>
      </w:r>
      <w:r>
        <w:rPr>
          <w:rFonts w:hint="eastAsia"/>
          <w:highlight w:val="none"/>
          <w:lang w:val="en-US" w:eastAsia="zh-CN"/>
        </w:rPr>
        <w:t>落下的砂子进入落砂机下方的输送装置输送到砂库中实现旧砂缓冲贮存。</w:t>
      </w:r>
      <w:r>
        <w:rPr>
          <w:rFonts w:hint="eastAsia"/>
          <w:lang w:val="en-US" w:eastAsia="zh-CN"/>
        </w:rPr>
        <w:t>毛坯件进入工件清理工序，废砂则进入废砂再生处理线进行再生。此工序产生落砂废气、噪声。</w:t>
      </w:r>
    </w:p>
    <w:p w14:paraId="3BED0867">
      <w:pPr>
        <w:bidi w:val="0"/>
        <w:rPr>
          <w:rFonts w:hint="eastAsia"/>
          <w:lang w:val="en-US" w:eastAsia="zh-CN"/>
        </w:rPr>
      </w:pPr>
      <w:r>
        <w:rPr>
          <w:rFonts w:hint="eastAsia"/>
          <w:lang w:val="en-US" w:eastAsia="zh-CN"/>
        </w:rPr>
        <w:t>4、砂再生</w:t>
      </w:r>
    </w:p>
    <w:p w14:paraId="3EB5FF00">
      <w:pPr>
        <w:bidi w:val="0"/>
        <w:rPr>
          <w:rFonts w:hint="default"/>
          <w:lang w:val="en-US" w:eastAsia="zh-CN"/>
        </w:rPr>
      </w:pPr>
      <w:r>
        <w:rPr>
          <w:rFonts w:hint="eastAsia"/>
          <w:lang w:val="en-US" w:eastAsia="zh-CN"/>
        </w:rPr>
        <w:t>（1）破碎</w:t>
      </w:r>
    </w:p>
    <w:p w14:paraId="073C602B">
      <w:pPr>
        <w:bidi w:val="0"/>
        <w:rPr>
          <w:rFonts w:hint="default"/>
          <w:lang w:val="en-US" w:eastAsia="zh-CN"/>
        </w:rPr>
      </w:pPr>
      <w:r>
        <w:rPr>
          <w:rFonts w:hint="eastAsia"/>
          <w:lang w:val="en-US" w:eastAsia="zh-CN"/>
        </w:rPr>
        <w:t>旧砂经密闭式输送带送入振动破碎机进料口，通过高频振动使砂料产生剧烈运动，结合锤头的冲击、筛板的挤压，实现结块树脂砂的破碎与砂粒表面粘结膜的初步剥离。此工序会产生</w:t>
      </w:r>
    </w:p>
    <w:p w14:paraId="0F8201C7">
      <w:pPr>
        <w:bidi w:val="0"/>
        <w:rPr>
          <w:rFonts w:hint="default"/>
          <w:lang w:val="en-US" w:eastAsia="zh-CN"/>
        </w:rPr>
      </w:pPr>
      <w:r>
        <w:rPr>
          <w:rFonts w:hint="eastAsia"/>
          <w:lang w:val="en-US" w:eastAsia="zh-CN"/>
        </w:rPr>
        <w:t>（2）磁选、再生</w:t>
      </w:r>
    </w:p>
    <w:p w14:paraId="4C4F9B1D">
      <w:pPr>
        <w:bidi w:val="0"/>
        <w:rPr>
          <w:rFonts w:hint="default"/>
          <w:lang w:val="en-US" w:eastAsia="zh-CN"/>
        </w:rPr>
      </w:pPr>
      <w:r>
        <w:rPr>
          <w:rFonts w:hint="eastAsia"/>
          <w:lang w:val="en-US" w:eastAsia="zh-CN"/>
        </w:rPr>
        <w:t>贯通式磁选机通过固定磁场形成贯通的磁吸通道，破碎后的砂料通过密闭提升机匀速进入贯通式磁场通道，砂料中的铁磁性杂质（金属碎屑、铁粉）在磁场力作用下，被吸附在通道内壁的磁吸板上，非磁性砂料不受影响，继续沿通道排出至下一道工序。磁吸板采用自动卸料设计，定期断电退磁。磁选后的砂料匀速进入离心涡流再生风选机，风选机进料口与贯通式磁选机出料口密闭衔接，通过气流与物料的相对运动，实现“合格砂粒</w:t>
      </w:r>
      <w:r>
        <w:rPr>
          <w:rFonts w:hint="default" w:ascii="Times New Roman" w:hAnsi="Times New Roman" w:cs="Times New Roman"/>
          <w:lang w:val="en-US" w:eastAsia="zh-CN"/>
        </w:rPr>
        <w:t>（≤140目）”与“粉尘/超细砂”（﹥140目）的高效分离，同时在砂粒之间的摩擦、碰撞作用下，砂粒表面的树脂膜脱除并圆整砂粒。因剥离后的废砂温度较高，项目</w:t>
      </w:r>
      <w:r>
        <w:rPr>
          <w:rFonts w:hint="eastAsia" w:ascii="Times New Roman" w:hAnsi="Times New Roman" w:cs="Times New Roman"/>
          <w:lang w:val="en-US" w:eastAsia="zh-CN"/>
        </w:rPr>
        <w:t>在磁选后设置振动沸腾冷却分离机</w:t>
      </w:r>
      <w:r>
        <w:rPr>
          <w:rFonts w:hint="default" w:ascii="Times New Roman" w:hAnsi="Times New Roman" w:cs="Times New Roman"/>
          <w:lang w:val="en-US" w:eastAsia="zh-CN"/>
        </w:rPr>
        <w:t>对废砂进行冷却，通过孔板的冷风与振动输送中的湿热旧砂在沸腾状态下进行热交换，带走大量汽化潜热从而冷却旧砂。树脂砂工艺废砂回用率为</w:t>
      </w:r>
      <w:r>
        <w:rPr>
          <w:rFonts w:hint="eastAsia" w:cs="Times New Roman"/>
          <w:lang w:val="en-US" w:eastAsia="zh-CN"/>
        </w:rPr>
        <w:t>95</w:t>
      </w:r>
      <w:r>
        <w:rPr>
          <w:rFonts w:hint="default" w:ascii="Times New Roman" w:hAnsi="Times New Roman" w:cs="Times New Roman"/>
          <w:lang w:val="en-US" w:eastAsia="zh-CN"/>
        </w:rPr>
        <w:t>%。</w:t>
      </w:r>
      <w:r>
        <w:rPr>
          <w:rFonts w:hint="eastAsia"/>
          <w:lang w:val="en-US" w:eastAsia="zh-CN"/>
        </w:rPr>
        <w:t>此工序产生</w:t>
      </w:r>
      <w:r>
        <w:rPr>
          <w:rFonts w:hint="eastAsia" w:ascii="Times New Roman" w:hAnsi="Times New Roman" w:cs="Times New Roman"/>
          <w:lang w:val="en-US" w:eastAsia="zh-CN"/>
        </w:rPr>
        <w:t>磁选、再生废气、噪声。</w:t>
      </w:r>
    </w:p>
    <w:p w14:paraId="389919F2">
      <w:pPr>
        <w:bidi w:val="0"/>
        <w:rPr>
          <w:rFonts w:hint="default"/>
          <w:lang w:val="en-US" w:eastAsia="zh-CN"/>
        </w:rPr>
      </w:pPr>
      <w:r>
        <w:rPr>
          <w:rFonts w:hint="eastAsia"/>
          <w:lang w:val="en-US" w:eastAsia="zh-CN"/>
        </w:rPr>
        <w:t>（3）筛分</w:t>
      </w:r>
    </w:p>
    <w:p w14:paraId="3A56D0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经过再生后的砂料进入振动式筛分机，采用双层筛网设计，机身全密闭结构，上层筛网拦截粗杂质，下层筛网筛除细微粉尘，≤140目的合格砂落入筛灰机底部出料口，经提升机进入</w:t>
      </w:r>
      <w:r>
        <w:rPr>
          <w:rFonts w:hint="eastAsia" w:ascii="Times New Roman" w:hAnsi="Times New Roman" w:cs="Times New Roman"/>
          <w:lang w:val="en-US" w:eastAsia="zh-CN"/>
        </w:rPr>
        <w:t>砂库</w:t>
      </w:r>
      <w:r>
        <w:rPr>
          <w:rFonts w:hint="default" w:ascii="Times New Roman" w:hAnsi="Times New Roman" w:eastAsia="宋体" w:cs="Times New Roman"/>
          <w:lang w:val="en-US" w:eastAsia="zh-CN"/>
        </w:rPr>
        <w:t>暂存，﹥140目的粉砂作为一般固废处置。筛分过程中会产生颗粒物废气、固废和噪声污染。</w:t>
      </w:r>
    </w:p>
    <w:p w14:paraId="22502B84">
      <w:pPr>
        <w:bidi w:val="0"/>
        <w:rPr>
          <w:rFonts w:hint="default"/>
          <w:lang w:val="en-US" w:eastAsia="zh-CN"/>
        </w:rPr>
      </w:pPr>
      <w:r>
        <w:rPr>
          <w:rFonts w:hint="eastAsia"/>
          <w:lang w:val="en-US" w:eastAsia="zh-CN"/>
        </w:rPr>
        <w:t>5、工件清理</w:t>
      </w:r>
    </w:p>
    <w:p w14:paraId="19E2BB73">
      <w:pPr>
        <w:bidi w:val="0"/>
      </w:pPr>
      <w:r>
        <w:t>落砂后的铸件进入清理工段后，</w:t>
      </w:r>
      <w:r>
        <w:rPr>
          <w:rFonts w:hint="eastAsia"/>
          <w:lang w:val="en-US" w:eastAsia="zh-CN"/>
        </w:rPr>
        <w:t>采用</w:t>
      </w:r>
      <w:r>
        <w:t>打磨机对铸件表面进行处理。</w:t>
      </w:r>
      <w:r>
        <w:rPr>
          <w:rFonts w:hint="eastAsia"/>
          <w:lang w:val="en-US" w:eastAsia="zh-CN"/>
        </w:rPr>
        <w:t>此工序</w:t>
      </w:r>
      <w:r>
        <w:t>会产生</w:t>
      </w:r>
      <w:r>
        <w:rPr>
          <w:rFonts w:hint="eastAsia"/>
          <w:lang w:val="en-US" w:eastAsia="zh-CN"/>
        </w:rPr>
        <w:t>打磨废气、噪声</w:t>
      </w:r>
      <w:r>
        <w:t>。</w:t>
      </w:r>
    </w:p>
    <w:p w14:paraId="046178C1">
      <w:pPr>
        <w:bidi w:val="0"/>
        <w:rPr>
          <w:rFonts w:hint="eastAsia"/>
          <w:highlight w:val="none"/>
          <w:lang w:val="en-US" w:eastAsia="zh-CN"/>
        </w:rPr>
      </w:pPr>
      <w:r>
        <w:rPr>
          <w:rFonts w:hint="eastAsia"/>
          <w:highlight w:val="none"/>
          <w:lang w:val="en-US" w:eastAsia="zh-CN"/>
        </w:rPr>
        <w:t>6、热处理</w:t>
      </w:r>
    </w:p>
    <w:p w14:paraId="1370FD92">
      <w:pPr>
        <w:bidi w:val="0"/>
        <w:rPr>
          <w:bCs/>
          <w:color w:val="000000"/>
          <w:kern w:val="52"/>
          <w:sz w:val="24"/>
        </w:rPr>
      </w:pPr>
      <w:r>
        <w:rPr>
          <w:bCs/>
          <w:color w:val="000000"/>
          <w:kern w:val="52"/>
          <w:sz w:val="24"/>
        </w:rPr>
        <w:t>将铸件放入</w:t>
      </w:r>
      <w:r>
        <w:rPr>
          <w:rFonts w:hint="eastAsia"/>
          <w:bCs/>
          <w:color w:val="000000"/>
          <w:kern w:val="52"/>
          <w:sz w:val="24"/>
          <w:lang w:val="en-US" w:eastAsia="zh-CN"/>
        </w:rPr>
        <w:t>全纤维中温台车炉</w:t>
      </w:r>
      <w:r>
        <w:rPr>
          <w:bCs/>
          <w:color w:val="000000"/>
          <w:kern w:val="52"/>
          <w:sz w:val="24"/>
        </w:rPr>
        <w:t>进行热处理，从而以除去铸件内部的应力，提高材料的机械性能。根据建设单位提供的资料，项目热处理工序采用电加热，</w:t>
      </w:r>
      <w:r>
        <w:rPr>
          <w:rFonts w:hint="eastAsia"/>
          <w:bCs/>
          <w:color w:val="000000"/>
          <w:kern w:val="52"/>
          <w:sz w:val="24"/>
          <w:lang w:val="en-US" w:eastAsia="zh-CN"/>
        </w:rPr>
        <w:t>最高工作</w:t>
      </w:r>
      <w:r>
        <w:rPr>
          <w:bCs/>
          <w:color w:val="000000"/>
          <w:kern w:val="52"/>
          <w:sz w:val="24"/>
        </w:rPr>
        <w:t>温度</w:t>
      </w:r>
      <w:r>
        <w:rPr>
          <w:rFonts w:hint="eastAsia"/>
          <w:bCs/>
          <w:color w:val="000000"/>
          <w:kern w:val="52"/>
          <w:sz w:val="24"/>
          <w:lang w:val="en-US" w:eastAsia="zh-CN"/>
        </w:rPr>
        <w:t>可达900</w:t>
      </w:r>
      <w:r>
        <w:rPr>
          <w:bCs/>
          <w:color w:val="000000"/>
          <w:kern w:val="52"/>
          <w:sz w:val="24"/>
        </w:rPr>
        <w:t>℃。</w:t>
      </w:r>
    </w:p>
    <w:p w14:paraId="7F3DF9B4">
      <w:pPr>
        <w:bidi w:val="0"/>
        <w:rPr>
          <w:rFonts w:hint="default"/>
          <w:bCs/>
          <w:color w:val="000000"/>
          <w:kern w:val="52"/>
          <w:sz w:val="24"/>
          <w:lang w:val="en-US" w:eastAsia="zh-CN"/>
        </w:rPr>
      </w:pPr>
      <w:r>
        <w:rPr>
          <w:rFonts w:hint="eastAsia"/>
          <w:bCs/>
          <w:color w:val="000000"/>
          <w:kern w:val="52"/>
          <w:sz w:val="24"/>
          <w:lang w:val="en-US" w:eastAsia="zh-CN"/>
        </w:rPr>
        <w:t>7、抛丸</w:t>
      </w:r>
    </w:p>
    <w:p w14:paraId="1D223C1D">
      <w:pPr>
        <w:bidi w:val="0"/>
        <w:rPr>
          <w:rFonts w:hint="eastAsia"/>
          <w:bCs/>
          <w:color w:val="000000"/>
          <w:kern w:val="52"/>
          <w:sz w:val="24"/>
          <w:lang w:val="en-US" w:eastAsia="zh-CN"/>
        </w:rPr>
      </w:pPr>
      <w:r>
        <w:rPr>
          <w:rFonts w:hint="eastAsia" w:ascii="宋体" w:hAnsi="宋体" w:eastAsia="宋体" w:cs="宋体"/>
          <w:color w:val="000000"/>
          <w:kern w:val="0"/>
          <w:sz w:val="24"/>
          <w:szCs w:val="24"/>
          <w:lang w:val="en-US" w:eastAsia="zh-CN" w:bidi="ar"/>
        </w:rPr>
        <w:t>铸件冷却后，表面有部分粘砂和氧化铁皮，通过抛丸机进行清理表面，同时对铸件上的缺陷进行清理。本项目铸件的表面清理采用抛丸机完成，抛丸清理使用高速旋转的叶轮将钢丸高速抛射到铸件表面，清除粘附在铸件表面的砂皮、氧化铁皮等。</w:t>
      </w:r>
      <w:r>
        <w:rPr>
          <w:rFonts w:hint="eastAsia"/>
          <w:lang w:val="en-US" w:eastAsia="zh-CN"/>
        </w:rPr>
        <w:t>此工序</w:t>
      </w:r>
      <w:r>
        <w:t>会产生</w:t>
      </w:r>
      <w:r>
        <w:rPr>
          <w:rFonts w:hint="eastAsia"/>
          <w:lang w:val="en-US" w:eastAsia="zh-CN"/>
        </w:rPr>
        <w:t>抛丸废气、固废及噪声</w:t>
      </w:r>
      <w:r>
        <w:t>。</w:t>
      </w:r>
    </w:p>
    <w:p w14:paraId="741A2C61">
      <w:pPr>
        <w:bidi w:val="0"/>
        <w:rPr>
          <w:rFonts w:hint="eastAsia"/>
          <w:lang w:val="en-US" w:eastAsia="zh-CN"/>
        </w:rPr>
      </w:pPr>
      <w:r>
        <w:rPr>
          <w:rFonts w:hint="eastAsia"/>
          <w:lang w:val="en-US" w:eastAsia="zh-CN"/>
        </w:rPr>
        <w:t>8、检验</w:t>
      </w:r>
    </w:p>
    <w:p w14:paraId="62BC5B6A">
      <w:pPr>
        <w:bidi w:val="0"/>
        <w:rPr>
          <w:bCs/>
          <w:color w:val="000000"/>
          <w:kern w:val="52"/>
          <w:sz w:val="24"/>
        </w:rPr>
      </w:pPr>
      <w:r>
        <w:rPr>
          <w:rFonts w:hint="eastAsia"/>
          <w:lang w:val="en-US" w:eastAsia="zh-CN"/>
        </w:rPr>
        <w:t>人工检验组装后的产品外观，合格产品入库待售；不合格品经切割后回用于熔炼工序。此工序产生切割废气、噪声。</w:t>
      </w:r>
    </w:p>
    <w:p w14:paraId="0088A3FE">
      <w:pPr>
        <w:spacing w:line="360" w:lineRule="auto"/>
        <w:ind w:firstLine="480" w:firstLineChars="200"/>
        <w:rPr>
          <w:color w:val="000000"/>
          <w:sz w:val="24"/>
        </w:rPr>
      </w:pPr>
      <w:r>
        <w:rPr>
          <w:color w:val="000000"/>
          <w:sz w:val="24"/>
        </w:rPr>
        <w:t>项目主要产污工序及污染物汇总情况详见下表：</w:t>
      </w:r>
    </w:p>
    <w:p w14:paraId="6054BC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表2.4-1 大气污染物产生环节分析结果</w:t>
      </w:r>
    </w:p>
    <w:tbl>
      <w:tblPr>
        <w:tblStyle w:val="2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2341"/>
        <w:gridCol w:w="2864"/>
        <w:gridCol w:w="3994"/>
      </w:tblGrid>
      <w:tr w14:paraId="12870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14:paraId="542223BA">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类别</w:t>
            </w:r>
          </w:p>
        </w:tc>
        <w:tc>
          <w:tcPr>
            <w:tcW w:w="1177" w:type="pct"/>
            <w:noWrap w:val="0"/>
            <w:vAlign w:val="center"/>
          </w:tcPr>
          <w:p w14:paraId="74F0E802">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主要产生环节</w:t>
            </w:r>
          </w:p>
        </w:tc>
        <w:tc>
          <w:tcPr>
            <w:tcW w:w="1440" w:type="pct"/>
            <w:noWrap w:val="0"/>
            <w:vAlign w:val="center"/>
          </w:tcPr>
          <w:p w14:paraId="6436B450">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主要污染因子</w:t>
            </w:r>
          </w:p>
        </w:tc>
        <w:tc>
          <w:tcPr>
            <w:tcW w:w="2008" w:type="pct"/>
            <w:noWrap w:val="0"/>
            <w:vAlign w:val="center"/>
          </w:tcPr>
          <w:p w14:paraId="21A81F5A">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配套的治理措施</w:t>
            </w:r>
          </w:p>
        </w:tc>
      </w:tr>
      <w:tr w14:paraId="6B089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restart"/>
            <w:noWrap w:val="0"/>
            <w:vAlign w:val="center"/>
          </w:tcPr>
          <w:p w14:paraId="2A8590C8">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color w:val="000000"/>
                <w:sz w:val="21"/>
                <w:szCs w:val="21"/>
              </w:rPr>
              <w:t>废气</w:t>
            </w:r>
          </w:p>
        </w:tc>
        <w:tc>
          <w:tcPr>
            <w:tcW w:w="1177" w:type="pct"/>
            <w:noWrap w:val="0"/>
            <w:vAlign w:val="center"/>
          </w:tcPr>
          <w:p w14:paraId="7429ECE0">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熔炼工序</w:t>
            </w:r>
          </w:p>
        </w:tc>
        <w:tc>
          <w:tcPr>
            <w:tcW w:w="1440" w:type="pct"/>
            <w:noWrap w:val="0"/>
            <w:vAlign w:val="center"/>
          </w:tcPr>
          <w:p w14:paraId="115662F2">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eastAsia="宋体"/>
                <w:color w:val="000000"/>
                <w:sz w:val="21"/>
                <w:szCs w:val="21"/>
                <w:lang w:val="en-US" w:eastAsia="zh-CN"/>
              </w:rPr>
            </w:pPr>
            <w:r>
              <w:rPr>
                <w:rFonts w:hint="eastAsia"/>
                <w:color w:val="000000"/>
                <w:sz w:val="21"/>
                <w:szCs w:val="21"/>
                <w:lang w:val="en-US" w:eastAsia="zh-CN"/>
              </w:rPr>
              <w:t>颗粒物</w:t>
            </w:r>
          </w:p>
        </w:tc>
        <w:tc>
          <w:tcPr>
            <w:tcW w:w="2008" w:type="pct"/>
            <w:noWrap w:val="0"/>
            <w:vAlign w:val="center"/>
          </w:tcPr>
          <w:p w14:paraId="4B882294">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rPr>
              <w:t>集气罩收集，经1套耐高温袋式除尘器处理后，经1根15m高排气筒排放</w:t>
            </w:r>
          </w:p>
        </w:tc>
      </w:tr>
      <w:tr w14:paraId="47F42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6E3142C6">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32923BEB">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混砂工序</w:t>
            </w:r>
          </w:p>
        </w:tc>
        <w:tc>
          <w:tcPr>
            <w:tcW w:w="1440" w:type="pct"/>
            <w:noWrap w:val="0"/>
            <w:vAlign w:val="center"/>
          </w:tcPr>
          <w:p w14:paraId="3E5E410F">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color w:val="000000"/>
                <w:sz w:val="21"/>
                <w:szCs w:val="21"/>
              </w:rPr>
            </w:pPr>
            <w:r>
              <w:rPr>
                <w:rFonts w:hint="eastAsia"/>
                <w:color w:val="000000"/>
                <w:sz w:val="21"/>
                <w:szCs w:val="21"/>
                <w:lang w:val="en-US" w:eastAsia="zh-CN"/>
              </w:rPr>
              <w:t>颗粒物</w:t>
            </w:r>
          </w:p>
        </w:tc>
        <w:tc>
          <w:tcPr>
            <w:tcW w:w="2008" w:type="pct"/>
            <w:vMerge w:val="restart"/>
            <w:noWrap w:val="0"/>
            <w:vAlign w:val="center"/>
          </w:tcPr>
          <w:p w14:paraId="54ECD6A4">
            <w:pPr>
              <w:pStyle w:val="43"/>
              <w:keepNext w:val="0"/>
              <w:keepLines w:val="0"/>
              <w:pageBreakBefore w:val="0"/>
              <w:widowControl w:val="0"/>
              <w:kinsoku/>
              <w:wordWrap/>
              <w:overflowPunct/>
              <w:topLinePunct w:val="0"/>
              <w:bidi w:val="0"/>
              <w:adjustRightInd w:val="0"/>
              <w:snapToGrid w:val="0"/>
              <w:spacing w:line="240" w:lineRule="auto"/>
              <w:ind w:firstLine="0" w:firstLineChars="0"/>
              <w:rPr>
                <w:rFonts w:hint="eastAsia"/>
                <w:color w:val="000000"/>
                <w:sz w:val="21"/>
                <w:szCs w:val="21"/>
              </w:rPr>
            </w:pPr>
            <w:r>
              <w:rPr>
                <w:rFonts w:hint="eastAsia" w:eastAsia="宋体"/>
                <w:sz w:val="21"/>
                <w:szCs w:val="21"/>
                <w:vertAlign w:val="baseline"/>
                <w:lang w:val="en-US" w:eastAsia="zh-CN"/>
              </w:rPr>
              <w:t>混砂机为全封闭设备，造型/浇注区、打磨区和切割区设置集气罩收集，经1套袋式除尘器+催化燃烧（RCO）处理后，经1根15m高排气筒排放</w:t>
            </w:r>
          </w:p>
        </w:tc>
      </w:tr>
      <w:tr w14:paraId="6802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0AF210AE">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313046A0">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造型/浇注工序</w:t>
            </w:r>
          </w:p>
        </w:tc>
        <w:tc>
          <w:tcPr>
            <w:tcW w:w="1440" w:type="pct"/>
            <w:noWrap w:val="0"/>
            <w:vAlign w:val="center"/>
          </w:tcPr>
          <w:p w14:paraId="2C326278">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color w:val="000000"/>
                <w:sz w:val="21"/>
                <w:szCs w:val="21"/>
              </w:rPr>
              <w:t>颗粒物</w:t>
            </w:r>
            <w:r>
              <w:rPr>
                <w:rFonts w:hint="eastAsia"/>
                <w:color w:val="000000"/>
                <w:sz w:val="21"/>
                <w:szCs w:val="21"/>
              </w:rPr>
              <w:t>、</w:t>
            </w:r>
            <w:r>
              <w:rPr>
                <w:color w:val="000000"/>
                <w:sz w:val="21"/>
                <w:szCs w:val="21"/>
              </w:rPr>
              <w:t>非甲烷总烃</w:t>
            </w:r>
            <w:r>
              <w:rPr>
                <w:rFonts w:hint="eastAsia"/>
                <w:color w:val="000000"/>
                <w:sz w:val="21"/>
                <w:szCs w:val="21"/>
              </w:rPr>
              <w:t>、甲醛</w:t>
            </w:r>
          </w:p>
        </w:tc>
        <w:tc>
          <w:tcPr>
            <w:tcW w:w="2008" w:type="pct"/>
            <w:vMerge w:val="continue"/>
            <w:noWrap w:val="0"/>
            <w:vAlign w:val="center"/>
          </w:tcPr>
          <w:p w14:paraId="27EEFA6A">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293E6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53370E25">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1D1D7FAA">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工件清理工序</w:t>
            </w:r>
          </w:p>
        </w:tc>
        <w:tc>
          <w:tcPr>
            <w:tcW w:w="1440" w:type="pct"/>
            <w:noWrap w:val="0"/>
            <w:vAlign w:val="center"/>
          </w:tcPr>
          <w:p w14:paraId="4C1ACADF">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2008" w:type="pct"/>
            <w:vMerge w:val="continue"/>
            <w:noWrap w:val="0"/>
            <w:vAlign w:val="center"/>
          </w:tcPr>
          <w:p w14:paraId="1F0749DC">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7037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0C38AB3A">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3BF5DBC5">
            <w:pPr>
              <w:keepNext w:val="0"/>
              <w:keepLines w:val="0"/>
              <w:pageBreakBefore w:val="0"/>
              <w:widowControl w:val="0"/>
              <w:kinsoku/>
              <w:wordWrap/>
              <w:overflowPunct/>
              <w:topLinePunct w:val="0"/>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不合格品回用切割工序</w:t>
            </w:r>
          </w:p>
        </w:tc>
        <w:tc>
          <w:tcPr>
            <w:tcW w:w="1440" w:type="pct"/>
            <w:noWrap w:val="0"/>
            <w:vAlign w:val="center"/>
          </w:tcPr>
          <w:p w14:paraId="179DB81E">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2008" w:type="pct"/>
            <w:vMerge w:val="continue"/>
            <w:noWrap w:val="0"/>
            <w:vAlign w:val="center"/>
          </w:tcPr>
          <w:p w14:paraId="5923714D">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p>
        </w:tc>
      </w:tr>
      <w:tr w14:paraId="6C304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2E58743B">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4224C556">
            <w:pPr>
              <w:keepNext w:val="0"/>
              <w:keepLines w:val="0"/>
              <w:pageBreakBefore w:val="0"/>
              <w:widowControl w:val="0"/>
              <w:kinsoku/>
              <w:wordWrap/>
              <w:overflowPunct/>
              <w:topLinePunct w:val="0"/>
              <w:bidi w:val="0"/>
              <w:spacing w:line="240" w:lineRule="auto"/>
              <w:ind w:firstLine="0" w:firstLineChars="0"/>
              <w:jc w:val="center"/>
              <w:rPr>
                <w:rFonts w:hint="eastAsia" w:eastAsia="宋体"/>
                <w:color w:val="000000"/>
                <w:sz w:val="21"/>
                <w:szCs w:val="21"/>
                <w:lang w:val="en-US" w:eastAsia="zh-CN"/>
              </w:rPr>
            </w:pPr>
            <w:r>
              <w:rPr>
                <w:rFonts w:hint="eastAsia"/>
                <w:color w:val="000000"/>
                <w:sz w:val="21"/>
                <w:szCs w:val="21"/>
                <w:lang w:val="en-US" w:eastAsia="zh-CN"/>
              </w:rPr>
              <w:t>落砂及砂处理工序</w:t>
            </w:r>
          </w:p>
        </w:tc>
        <w:tc>
          <w:tcPr>
            <w:tcW w:w="1440" w:type="pct"/>
            <w:noWrap w:val="0"/>
            <w:vAlign w:val="center"/>
          </w:tcPr>
          <w:p w14:paraId="01E44C9A">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2008" w:type="pct"/>
            <w:noWrap w:val="0"/>
            <w:vAlign w:val="center"/>
          </w:tcPr>
          <w:p w14:paraId="7B0653CE">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eastAsia="宋体"/>
                <w:sz w:val="21"/>
                <w:szCs w:val="21"/>
                <w:vertAlign w:val="baseline"/>
                <w:lang w:val="en-US" w:eastAsia="zh-CN"/>
              </w:rPr>
              <w:t>落砂机集气罩收集，砂处理系统为全封闭设备，落砂及砂处理工序分别经1套袋式除尘器处理后，经1根15m高排气筒排放</w:t>
            </w:r>
          </w:p>
        </w:tc>
      </w:tr>
      <w:tr w14:paraId="36393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6352A903">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p>
        </w:tc>
        <w:tc>
          <w:tcPr>
            <w:tcW w:w="1177" w:type="pct"/>
            <w:noWrap w:val="0"/>
            <w:vAlign w:val="center"/>
          </w:tcPr>
          <w:p w14:paraId="1B85EFE0">
            <w:pPr>
              <w:keepNext w:val="0"/>
              <w:keepLines w:val="0"/>
              <w:pageBreakBefore w:val="0"/>
              <w:widowControl w:val="0"/>
              <w:kinsoku/>
              <w:wordWrap/>
              <w:overflowPunct/>
              <w:topLinePunct w:val="0"/>
              <w:bidi w:val="0"/>
              <w:spacing w:line="240" w:lineRule="auto"/>
              <w:ind w:firstLine="0" w:firstLineChars="0"/>
              <w:jc w:val="center"/>
              <w:rPr>
                <w:color w:val="000000"/>
                <w:sz w:val="21"/>
                <w:szCs w:val="21"/>
              </w:rPr>
            </w:pPr>
            <w:r>
              <w:rPr>
                <w:rFonts w:hint="eastAsia"/>
                <w:color w:val="000000"/>
                <w:sz w:val="21"/>
                <w:szCs w:val="21"/>
                <w:lang w:val="en-US" w:eastAsia="zh-CN"/>
              </w:rPr>
              <w:t>抛丸工序</w:t>
            </w:r>
          </w:p>
        </w:tc>
        <w:tc>
          <w:tcPr>
            <w:tcW w:w="1440" w:type="pct"/>
            <w:noWrap w:val="0"/>
            <w:vAlign w:val="center"/>
          </w:tcPr>
          <w:p w14:paraId="0C54CC16">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color w:val="000000"/>
                <w:sz w:val="21"/>
                <w:szCs w:val="21"/>
                <w:lang w:val="en-US" w:eastAsia="zh-CN"/>
              </w:rPr>
              <w:t>颗粒物</w:t>
            </w:r>
          </w:p>
        </w:tc>
        <w:tc>
          <w:tcPr>
            <w:tcW w:w="2008" w:type="pct"/>
            <w:noWrap w:val="0"/>
            <w:vAlign w:val="center"/>
          </w:tcPr>
          <w:p w14:paraId="33B93F8E">
            <w:pPr>
              <w:pStyle w:val="43"/>
              <w:keepNext w:val="0"/>
              <w:keepLines w:val="0"/>
              <w:pageBreakBefore w:val="0"/>
              <w:widowControl w:val="0"/>
              <w:kinsoku/>
              <w:wordWrap/>
              <w:overflowPunct/>
              <w:topLinePunct w:val="0"/>
              <w:bidi w:val="0"/>
              <w:adjustRightInd w:val="0"/>
              <w:snapToGrid w:val="0"/>
              <w:spacing w:line="240" w:lineRule="auto"/>
              <w:ind w:firstLine="0" w:firstLineChars="0"/>
              <w:rPr>
                <w:color w:val="000000"/>
                <w:sz w:val="21"/>
                <w:szCs w:val="21"/>
              </w:rPr>
            </w:pPr>
            <w:r>
              <w:rPr>
                <w:rFonts w:hint="eastAsia" w:eastAsia="宋体"/>
                <w:sz w:val="21"/>
                <w:szCs w:val="21"/>
                <w:vertAlign w:val="baseline"/>
                <w:lang w:val="en-US" w:eastAsia="zh-CN"/>
              </w:rPr>
              <w:t>抛丸机为全封闭设备</w:t>
            </w:r>
            <w:r>
              <w:rPr>
                <w:rFonts w:hint="eastAsia"/>
                <w:sz w:val="21"/>
                <w:szCs w:val="21"/>
                <w:vertAlign w:val="baseline"/>
                <w:lang w:val="en-US" w:eastAsia="zh-CN"/>
              </w:rPr>
              <w:t>，经1套袋式除尘器处理后，经1根15m高排气筒排放</w:t>
            </w:r>
          </w:p>
        </w:tc>
      </w:tr>
    </w:tbl>
    <w:p w14:paraId="08AE910D">
      <w:pPr>
        <w:pStyle w:val="3"/>
        <w:rPr>
          <w:color w:val="000000"/>
        </w:rPr>
      </w:pPr>
      <w:bookmarkStart w:id="165" w:name="_Toc5670"/>
      <w:bookmarkStart w:id="166" w:name="_Toc7276"/>
      <w:bookmarkStart w:id="167" w:name="_Toc32"/>
      <w:bookmarkStart w:id="168" w:name="_Toc161600308"/>
      <w:r>
        <w:rPr>
          <w:rFonts w:hint="eastAsia"/>
          <w:color w:val="000000"/>
        </w:rPr>
        <w:t>2</w:t>
      </w:r>
      <w:r>
        <w:rPr>
          <w:color w:val="000000"/>
        </w:rPr>
        <w:t>.5.污染源源强分析</w:t>
      </w:r>
      <w:bookmarkEnd w:id="165"/>
      <w:bookmarkEnd w:id="166"/>
      <w:bookmarkEnd w:id="167"/>
      <w:bookmarkEnd w:id="168"/>
    </w:p>
    <w:p w14:paraId="0E22987B">
      <w:pPr>
        <w:pStyle w:val="4"/>
        <w:rPr>
          <w:color w:val="000000"/>
        </w:rPr>
      </w:pPr>
      <w:bookmarkStart w:id="169" w:name="_Toc28519"/>
      <w:bookmarkStart w:id="170" w:name="_Toc7229"/>
      <w:bookmarkStart w:id="171" w:name="_Toc17366"/>
      <w:bookmarkStart w:id="172" w:name="_Toc16763"/>
      <w:bookmarkStart w:id="173" w:name="_Toc161600309"/>
      <w:bookmarkStart w:id="174" w:name="_Toc15416"/>
      <w:bookmarkStart w:id="175" w:name="_Toc18772"/>
      <w:bookmarkStart w:id="176" w:name="_Toc17139"/>
      <w:r>
        <w:rPr>
          <w:rFonts w:hint="eastAsia"/>
          <w:color w:val="000000"/>
        </w:rPr>
        <w:t>2</w:t>
      </w:r>
      <w:r>
        <w:rPr>
          <w:color w:val="000000"/>
        </w:rPr>
        <w:t>.5.1.正常工况下废气污染源源强分析</w:t>
      </w:r>
      <w:bookmarkEnd w:id="169"/>
      <w:bookmarkEnd w:id="170"/>
      <w:bookmarkEnd w:id="171"/>
      <w:bookmarkEnd w:id="172"/>
      <w:bookmarkEnd w:id="173"/>
      <w:bookmarkEnd w:id="174"/>
      <w:bookmarkEnd w:id="175"/>
      <w:bookmarkEnd w:id="176"/>
    </w:p>
    <w:p w14:paraId="3B5C0ED0">
      <w:pPr>
        <w:rPr>
          <w:color w:val="000000"/>
          <w:sz w:val="24"/>
        </w:rPr>
      </w:pPr>
      <w:r>
        <w:rPr>
          <w:color w:val="000000"/>
          <w:sz w:val="24"/>
        </w:rPr>
        <w:t>（1）</w:t>
      </w:r>
      <w:r>
        <w:rPr>
          <w:rFonts w:hint="eastAsia"/>
          <w:color w:val="000000"/>
          <w:sz w:val="24"/>
          <w:lang w:val="en-US" w:eastAsia="zh-CN"/>
        </w:rPr>
        <w:t>中频炉熔炼工序</w:t>
      </w:r>
      <w:r>
        <w:rPr>
          <w:color w:val="000000"/>
          <w:sz w:val="24"/>
        </w:rPr>
        <w:t>排气筒（</w:t>
      </w:r>
      <w:r>
        <w:rPr>
          <w:snapToGrid w:val="0"/>
          <w:color w:val="000000"/>
          <w:kern w:val="0"/>
          <w:sz w:val="24"/>
        </w:rPr>
        <w:t>DA001</w:t>
      </w:r>
      <w:r>
        <w:rPr>
          <w:color w:val="000000"/>
          <w:sz w:val="24"/>
        </w:rPr>
        <w:t>）排放废气源强分析</w:t>
      </w:r>
    </w:p>
    <w:p w14:paraId="5F1B177F">
      <w:pPr>
        <w:spacing w:line="360" w:lineRule="auto"/>
        <w:ind w:firstLine="440" w:firstLineChars="200"/>
        <w:rPr>
          <w:bCs/>
          <w:color w:val="000000"/>
          <w:spacing w:val="-10"/>
          <w:sz w:val="24"/>
        </w:rPr>
      </w:pPr>
      <w:r>
        <w:rPr>
          <w:rFonts w:hint="eastAsia"/>
          <w:bCs/>
          <w:color w:val="000000"/>
          <w:spacing w:val="-10"/>
          <w:sz w:val="24"/>
          <w:lang w:val="en-US" w:eastAsia="zh-CN"/>
        </w:rPr>
        <w:t>本项目设置</w:t>
      </w:r>
      <w:r>
        <w:rPr>
          <w:rFonts w:hint="default"/>
          <w:bCs/>
          <w:color w:val="000000"/>
          <w:spacing w:val="-10"/>
          <w:sz w:val="24"/>
          <w:lang w:val="en-US" w:eastAsia="zh-CN"/>
        </w:rPr>
        <w:t>2</w:t>
      </w:r>
      <w:r>
        <w:rPr>
          <w:rFonts w:hint="eastAsia"/>
          <w:bCs/>
          <w:color w:val="000000"/>
          <w:spacing w:val="-10"/>
          <w:sz w:val="24"/>
          <w:lang w:val="en-US" w:eastAsia="zh-CN"/>
        </w:rPr>
        <w:t>台3</w:t>
      </w:r>
      <w:r>
        <w:rPr>
          <w:rFonts w:hint="default"/>
          <w:bCs/>
          <w:color w:val="000000"/>
          <w:spacing w:val="-10"/>
          <w:sz w:val="24"/>
          <w:lang w:val="en-US" w:eastAsia="zh-CN"/>
        </w:rPr>
        <w:t>t/h</w:t>
      </w:r>
      <w:r>
        <w:rPr>
          <w:rFonts w:hint="eastAsia"/>
          <w:bCs/>
          <w:color w:val="000000"/>
          <w:spacing w:val="-10"/>
          <w:sz w:val="24"/>
          <w:lang w:val="en-US" w:eastAsia="zh-CN"/>
        </w:rPr>
        <w:t>中频炉进行熔炼，熔化过程会产生一定量的污染源，根据中华人民共和国生态环境部印发《排放源统计调查产排污核算方法和系数手册》机械行业系数手册中“</w:t>
      </w:r>
      <w:r>
        <w:rPr>
          <w:rFonts w:hint="default"/>
          <w:bCs/>
          <w:color w:val="000000"/>
          <w:spacing w:val="-10"/>
          <w:sz w:val="24"/>
          <w:lang w:val="en-US" w:eastAsia="zh-CN"/>
        </w:rPr>
        <w:t xml:space="preserve">01 </w:t>
      </w:r>
      <w:r>
        <w:rPr>
          <w:rFonts w:hint="eastAsia"/>
          <w:bCs/>
          <w:color w:val="000000"/>
          <w:spacing w:val="-10"/>
          <w:sz w:val="24"/>
          <w:lang w:val="en-US" w:eastAsia="zh-CN"/>
        </w:rPr>
        <w:t>铸造</w:t>
      </w:r>
      <w:r>
        <w:rPr>
          <w:rFonts w:hint="default"/>
          <w:bCs/>
          <w:color w:val="000000"/>
          <w:spacing w:val="-10"/>
          <w:sz w:val="24"/>
          <w:lang w:val="en-US" w:eastAsia="zh-CN"/>
        </w:rPr>
        <w:t>-</w:t>
      </w:r>
      <w:r>
        <w:rPr>
          <w:rFonts w:hint="eastAsia"/>
          <w:bCs/>
          <w:color w:val="000000"/>
          <w:spacing w:val="-10"/>
          <w:sz w:val="24"/>
          <w:lang w:val="en-US" w:eastAsia="zh-CN"/>
        </w:rPr>
        <w:t>熔炼（感应电炉/电阻炉及其他）”中污染物的产排污系数可知产污情况见下表。</w:t>
      </w:r>
    </w:p>
    <w:p w14:paraId="4DD4C79B">
      <w:pPr>
        <w:spacing w:line="360" w:lineRule="auto"/>
        <w:ind w:left="0" w:leftChars="0" w:firstLine="0" w:firstLineChars="0"/>
        <w:jc w:val="center"/>
        <w:rPr>
          <w:bCs/>
          <w:color w:val="000000"/>
          <w:spacing w:val="-10"/>
          <w:sz w:val="24"/>
        </w:rPr>
      </w:pPr>
      <w:r>
        <w:rPr>
          <w:rFonts w:hint="default" w:ascii="Times New Roman" w:hAnsi="Times New Roman" w:eastAsia="黑体" w:cs="Times New Roman"/>
          <w:bCs/>
          <w:color w:val="000000"/>
          <w:spacing w:val="-10"/>
          <w:sz w:val="24"/>
          <w:lang w:val="en-US" w:eastAsia="zh-CN"/>
        </w:rPr>
        <w:t>表</w:t>
      </w:r>
      <w:r>
        <w:rPr>
          <w:rFonts w:hint="eastAsia" w:ascii="Times New Roman" w:hAnsi="Times New Roman" w:eastAsia="黑体" w:cs="Times New Roman"/>
          <w:bCs/>
          <w:color w:val="000000"/>
          <w:spacing w:val="-10"/>
          <w:sz w:val="24"/>
          <w:lang w:val="en-US" w:eastAsia="zh-CN"/>
        </w:rPr>
        <w:t>2.5</w:t>
      </w:r>
      <w:r>
        <w:rPr>
          <w:rFonts w:hint="default" w:ascii="Times New Roman" w:hAnsi="Times New Roman" w:eastAsia="黑体" w:cs="Times New Roman"/>
          <w:bCs/>
          <w:color w:val="000000"/>
          <w:spacing w:val="-10"/>
          <w:sz w:val="24"/>
          <w:lang w:val="en-US" w:eastAsia="zh-CN"/>
        </w:rPr>
        <w:t>-</w:t>
      </w:r>
      <w:r>
        <w:rPr>
          <w:rFonts w:hint="eastAsia" w:ascii="Times New Roman" w:hAnsi="Times New Roman" w:eastAsia="黑体" w:cs="Times New Roman"/>
          <w:bCs/>
          <w:color w:val="000000"/>
          <w:spacing w:val="-10"/>
          <w:sz w:val="24"/>
          <w:lang w:val="en-US" w:eastAsia="zh-CN"/>
        </w:rPr>
        <w:t xml:space="preserve">1 </w:t>
      </w:r>
      <w:r>
        <w:rPr>
          <w:rFonts w:hint="default" w:ascii="Times New Roman" w:hAnsi="Times New Roman" w:eastAsia="黑体" w:cs="Times New Roman"/>
          <w:bCs/>
          <w:color w:val="000000"/>
          <w:spacing w:val="-10"/>
          <w:sz w:val="24"/>
          <w:lang w:val="en-US" w:eastAsia="zh-CN"/>
        </w:rPr>
        <w:t xml:space="preserve"> 铸造-熔炼（感应电炉/电阻炉及其他）产污系数表</w:t>
      </w:r>
    </w:p>
    <w:tbl>
      <w:tblPr>
        <w:tblStyle w:val="29"/>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1503"/>
        <w:gridCol w:w="1242"/>
        <w:gridCol w:w="978"/>
        <w:gridCol w:w="1187"/>
        <w:gridCol w:w="1433"/>
        <w:gridCol w:w="1256"/>
        <w:gridCol w:w="1360"/>
      </w:tblGrid>
      <w:tr w14:paraId="743EA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9" w:type="pct"/>
            <w:vAlign w:val="center"/>
          </w:tcPr>
          <w:p w14:paraId="093950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产品名称</w:t>
            </w:r>
          </w:p>
        </w:tc>
        <w:tc>
          <w:tcPr>
            <w:tcW w:w="756" w:type="pct"/>
            <w:vAlign w:val="center"/>
          </w:tcPr>
          <w:p w14:paraId="2E5B66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25" w:type="pct"/>
            <w:vAlign w:val="center"/>
          </w:tcPr>
          <w:p w14:paraId="69AEF3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工艺名称</w:t>
            </w:r>
          </w:p>
        </w:tc>
        <w:tc>
          <w:tcPr>
            <w:tcW w:w="492" w:type="pct"/>
            <w:vAlign w:val="center"/>
          </w:tcPr>
          <w:p w14:paraId="647E8F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597" w:type="pct"/>
            <w:vAlign w:val="center"/>
          </w:tcPr>
          <w:p w14:paraId="1A2EAD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1" w:type="pct"/>
            <w:vAlign w:val="center"/>
          </w:tcPr>
          <w:p w14:paraId="44DDB3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632" w:type="pct"/>
            <w:vAlign w:val="center"/>
          </w:tcPr>
          <w:p w14:paraId="6F7ED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产品规模</w:t>
            </w:r>
          </w:p>
        </w:tc>
        <w:tc>
          <w:tcPr>
            <w:tcW w:w="684" w:type="pct"/>
            <w:vAlign w:val="center"/>
          </w:tcPr>
          <w:p w14:paraId="31D55B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59F27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89" w:type="pct"/>
            <w:vAlign w:val="center"/>
          </w:tcPr>
          <w:p w14:paraId="6DC90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铸件</w:t>
            </w:r>
          </w:p>
        </w:tc>
        <w:tc>
          <w:tcPr>
            <w:tcW w:w="756" w:type="pct"/>
            <w:vAlign w:val="center"/>
          </w:tcPr>
          <w:p w14:paraId="018BF5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生铁、废钢、铁合金、中间合金锭、石灰石、增碳剂、电铜</w:t>
            </w:r>
          </w:p>
        </w:tc>
        <w:tc>
          <w:tcPr>
            <w:tcW w:w="625" w:type="pct"/>
            <w:vAlign w:val="center"/>
          </w:tcPr>
          <w:p w14:paraId="10A089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default"/>
                <w:bCs/>
                <w:color w:val="000000"/>
                <w:spacing w:val="-10"/>
                <w:sz w:val="21"/>
                <w:szCs w:val="21"/>
                <w:vertAlign w:val="baseline"/>
                <w:lang w:val="en-US" w:eastAsia="zh-CN"/>
              </w:rPr>
              <w:t>熔炼（感应电炉/电阻炉及其他）</w:t>
            </w:r>
          </w:p>
        </w:tc>
        <w:tc>
          <w:tcPr>
            <w:tcW w:w="492" w:type="pct"/>
            <w:vAlign w:val="center"/>
          </w:tcPr>
          <w:p w14:paraId="12E94E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597" w:type="pct"/>
            <w:vAlign w:val="center"/>
          </w:tcPr>
          <w:p w14:paraId="552229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rPr>
            </w:pPr>
            <w:r>
              <w:rPr>
                <w:rFonts w:hint="eastAsia"/>
                <w:bCs/>
                <w:color w:val="000000"/>
                <w:spacing w:val="-10"/>
                <w:sz w:val="21"/>
                <w:szCs w:val="21"/>
                <w:vertAlign w:val="baseline"/>
                <w:lang w:val="en-US" w:eastAsia="zh-CN"/>
              </w:rPr>
              <w:t>颗粒物</w:t>
            </w:r>
          </w:p>
        </w:tc>
        <w:tc>
          <w:tcPr>
            <w:tcW w:w="721" w:type="pct"/>
            <w:vAlign w:val="center"/>
          </w:tcPr>
          <w:p w14:paraId="12DD4F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rPr>
            </w:pPr>
            <w:r>
              <w:rPr>
                <w:rFonts w:hint="eastAsia"/>
                <w:bCs/>
                <w:color w:val="000000"/>
                <w:spacing w:val="-10"/>
                <w:sz w:val="21"/>
                <w:szCs w:val="21"/>
                <w:vertAlign w:val="baseline"/>
                <w:lang w:val="en-US" w:eastAsia="zh-CN"/>
              </w:rPr>
              <w:t>0.479kg/t-产品</w:t>
            </w:r>
          </w:p>
        </w:tc>
        <w:tc>
          <w:tcPr>
            <w:tcW w:w="632" w:type="pct"/>
            <w:vAlign w:val="center"/>
          </w:tcPr>
          <w:p w14:paraId="4C6964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12000t/a</w:t>
            </w:r>
          </w:p>
        </w:tc>
        <w:tc>
          <w:tcPr>
            <w:tcW w:w="684" w:type="pct"/>
            <w:vAlign w:val="center"/>
          </w:tcPr>
          <w:p w14:paraId="14ACBB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5.748t/a</w:t>
            </w:r>
          </w:p>
        </w:tc>
      </w:tr>
    </w:tbl>
    <w:p w14:paraId="6C523724">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Cs/>
          <w:color w:val="000000"/>
          <w:spacing w:val="-10"/>
          <w:sz w:val="24"/>
        </w:rPr>
      </w:pPr>
      <w:r>
        <w:rPr>
          <w:rFonts w:hint="default" w:ascii="Times New Roman" w:hAnsi="Times New Roman" w:eastAsia="宋体" w:cs="Times New Roman"/>
          <w:color w:val="000000"/>
          <w:kern w:val="0"/>
          <w:sz w:val="24"/>
          <w:szCs w:val="24"/>
          <w:lang w:val="en-US" w:eastAsia="zh-CN" w:bidi="ar"/>
        </w:rPr>
        <w:t>本次环评要求</w:t>
      </w:r>
      <w:r>
        <w:rPr>
          <w:rFonts w:hint="default" w:ascii="Times New Roman" w:hAnsi="Times New Roman" w:eastAsia="宋体" w:cs="Times New Roman"/>
          <w:bCs/>
          <w:color w:val="000000"/>
          <w:spacing w:val="-10"/>
          <w:sz w:val="24"/>
          <w:lang w:val="en-US" w:eastAsia="zh-CN"/>
        </w:rPr>
        <w:t>在中频炉上安装集尘罩（收集效率以9</w:t>
      </w:r>
      <w:r>
        <w:rPr>
          <w:rFonts w:hint="eastAsia" w:ascii="Times New Roman" w:hAnsi="Times New Roman" w:eastAsia="宋体" w:cs="Times New Roman"/>
          <w:bCs/>
          <w:color w:val="000000"/>
          <w:spacing w:val="-10"/>
          <w:sz w:val="24"/>
          <w:lang w:val="en-US" w:eastAsia="zh-CN"/>
        </w:rPr>
        <w:t>0</w:t>
      </w:r>
      <w:r>
        <w:rPr>
          <w:rFonts w:hint="default" w:ascii="Times New Roman" w:hAnsi="Times New Roman" w:eastAsia="宋体" w:cs="Times New Roman"/>
          <w:bCs/>
          <w:color w:val="000000"/>
          <w:spacing w:val="-10"/>
          <w:sz w:val="24"/>
          <w:lang w:val="en-US" w:eastAsia="zh-CN"/>
        </w:rPr>
        <w:t>%计）将中频炉熔炼过程中产生的热烟废气及时收集，烟气经排气管道送入耐高温袋式除尘器进行除尘处理，袋式除尘器处理效率取99%，而后通过1根15米高排气筒排放。中频炉年</w:t>
      </w:r>
      <w:r>
        <w:rPr>
          <w:rFonts w:hint="default" w:ascii="Times New Roman" w:hAnsi="Times New Roman" w:eastAsia="宋体" w:cs="Times New Roman"/>
          <w:color w:val="000000"/>
          <w:kern w:val="0"/>
          <w:sz w:val="24"/>
          <w:szCs w:val="24"/>
          <w:lang w:val="en-US" w:eastAsia="zh-CN" w:bidi="ar"/>
        </w:rPr>
        <w:t>工作时间为</w:t>
      </w:r>
      <w:r>
        <w:rPr>
          <w:rFonts w:hint="eastAsia" w:ascii="Times New Roman" w:hAnsi="Times New Roman" w:eastAsia="宋体" w:cs="Times New Roman"/>
          <w:color w:val="000000"/>
          <w:kern w:val="0"/>
          <w:sz w:val="24"/>
          <w:szCs w:val="24"/>
          <w:highlight w:val="none"/>
          <w:lang w:val="en-US" w:eastAsia="zh-CN" w:bidi="ar"/>
        </w:rPr>
        <w:t>528</w:t>
      </w:r>
      <w:r>
        <w:rPr>
          <w:rFonts w:hint="default" w:ascii="Times New Roman" w:hAnsi="Times New Roman" w:eastAsia="宋体" w:cs="Times New Roman"/>
          <w:color w:val="000000"/>
          <w:kern w:val="0"/>
          <w:sz w:val="24"/>
          <w:szCs w:val="24"/>
          <w:highlight w:val="none"/>
          <w:lang w:val="en-US" w:eastAsia="zh-CN" w:bidi="ar"/>
        </w:rPr>
        <w:t>0</w:t>
      </w:r>
      <w:r>
        <w:rPr>
          <w:rFonts w:hint="default" w:ascii="Times New Roman" w:hAnsi="Times New Roman" w:eastAsia="宋体" w:cs="Times New Roman"/>
          <w:color w:val="000000"/>
          <w:kern w:val="0"/>
          <w:sz w:val="24"/>
          <w:szCs w:val="24"/>
          <w:lang w:val="en-US" w:eastAsia="zh-CN" w:bidi="ar"/>
        </w:rPr>
        <w:t>h/a，考虑车间对颗粒物的阻隔效率为70%，</w:t>
      </w:r>
      <w:r>
        <w:rPr>
          <w:rFonts w:hint="default" w:ascii="Times New Roman" w:hAnsi="Times New Roman" w:eastAsia="宋体" w:cs="Times New Roman"/>
          <w:bCs/>
          <w:color w:val="000000"/>
          <w:spacing w:val="-10"/>
          <w:sz w:val="24"/>
          <w:lang w:val="en-US" w:eastAsia="zh-CN"/>
        </w:rPr>
        <w:t>则中频炉熔炼废气排放情况见表2.5-2。</w:t>
      </w:r>
    </w:p>
    <w:p w14:paraId="759C9351">
      <w:pPr>
        <w:spacing w:line="360" w:lineRule="auto"/>
        <w:ind w:left="0" w:leftChars="0" w:firstLine="0" w:firstLineChars="0"/>
        <w:jc w:val="center"/>
        <w:rPr>
          <w:rFonts w:hint="default" w:ascii="Times New Roman" w:hAnsi="Times New Roman" w:eastAsia="黑体" w:cs="Times New Roman"/>
          <w:bCs/>
          <w:color w:val="000000"/>
          <w:spacing w:val="-10"/>
          <w:sz w:val="24"/>
          <w:lang w:val="en-US" w:eastAsia="zh-CN"/>
        </w:rPr>
      </w:pPr>
      <w:r>
        <w:rPr>
          <w:rFonts w:hint="default" w:ascii="Times New Roman" w:hAnsi="Times New Roman" w:eastAsia="黑体" w:cs="Times New Roman"/>
          <w:bCs/>
          <w:color w:val="000000"/>
          <w:spacing w:val="-10"/>
          <w:sz w:val="24"/>
          <w:lang w:val="en-US" w:eastAsia="zh-CN"/>
        </w:rPr>
        <w:t>表</w:t>
      </w:r>
      <w:r>
        <w:rPr>
          <w:rFonts w:hint="eastAsia" w:ascii="Times New Roman" w:hAnsi="Times New Roman" w:eastAsia="黑体" w:cs="Times New Roman"/>
          <w:bCs/>
          <w:color w:val="000000"/>
          <w:spacing w:val="-10"/>
          <w:sz w:val="24"/>
          <w:lang w:val="en-US" w:eastAsia="zh-CN"/>
        </w:rPr>
        <w:t>2.5</w:t>
      </w:r>
      <w:r>
        <w:rPr>
          <w:rFonts w:hint="default" w:ascii="Times New Roman" w:hAnsi="Times New Roman" w:eastAsia="黑体" w:cs="Times New Roman"/>
          <w:bCs/>
          <w:color w:val="000000"/>
          <w:spacing w:val="-10"/>
          <w:sz w:val="24"/>
          <w:lang w:val="en-US" w:eastAsia="zh-CN"/>
        </w:rPr>
        <w:t>-</w:t>
      </w:r>
      <w:r>
        <w:rPr>
          <w:rFonts w:hint="eastAsia" w:ascii="Times New Roman" w:hAnsi="Times New Roman" w:eastAsia="黑体" w:cs="Times New Roman"/>
          <w:bCs/>
          <w:color w:val="000000"/>
          <w:spacing w:val="-10"/>
          <w:sz w:val="24"/>
          <w:lang w:val="en-US" w:eastAsia="zh-CN"/>
        </w:rPr>
        <w:t xml:space="preserve">2 </w:t>
      </w:r>
      <w:r>
        <w:rPr>
          <w:rFonts w:hint="default" w:ascii="Times New Roman" w:hAnsi="Times New Roman" w:eastAsia="黑体" w:cs="Times New Roman"/>
          <w:bCs/>
          <w:color w:val="000000"/>
          <w:spacing w:val="-10"/>
          <w:sz w:val="24"/>
          <w:lang w:val="en-US" w:eastAsia="zh-CN"/>
        </w:rPr>
        <w:t xml:space="preserve"> 中频炉熔炼废气产排情况表</w:t>
      </w: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667"/>
        <w:gridCol w:w="716"/>
        <w:gridCol w:w="718"/>
        <w:gridCol w:w="750"/>
        <w:gridCol w:w="900"/>
        <w:gridCol w:w="1729"/>
        <w:gridCol w:w="710"/>
        <w:gridCol w:w="722"/>
        <w:gridCol w:w="805"/>
        <w:gridCol w:w="914"/>
        <w:gridCol w:w="943"/>
      </w:tblGrid>
      <w:tr w14:paraId="76D7D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 w:type="pct"/>
            <w:vMerge w:val="restart"/>
            <w:vAlign w:val="center"/>
          </w:tcPr>
          <w:p w14:paraId="432927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污染物</w:t>
            </w:r>
          </w:p>
        </w:tc>
        <w:tc>
          <w:tcPr>
            <w:tcW w:w="335" w:type="pct"/>
            <w:vMerge w:val="restart"/>
            <w:vAlign w:val="center"/>
          </w:tcPr>
          <w:p w14:paraId="079A67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总产生量</w:t>
            </w:r>
          </w:p>
        </w:tc>
        <w:tc>
          <w:tcPr>
            <w:tcW w:w="359" w:type="pct"/>
            <w:vMerge w:val="restart"/>
            <w:vAlign w:val="center"/>
          </w:tcPr>
          <w:p w14:paraId="1EA979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风机风量</w:t>
            </w:r>
          </w:p>
        </w:tc>
        <w:tc>
          <w:tcPr>
            <w:tcW w:w="1190" w:type="pct"/>
            <w:gridSpan w:val="3"/>
            <w:vAlign w:val="center"/>
          </w:tcPr>
          <w:p w14:paraId="46E023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有组织</w:t>
            </w:r>
          </w:p>
        </w:tc>
        <w:tc>
          <w:tcPr>
            <w:tcW w:w="869" w:type="pct"/>
            <w:vMerge w:val="restart"/>
            <w:vAlign w:val="center"/>
          </w:tcPr>
          <w:p w14:paraId="6B98CB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治理措施</w:t>
            </w:r>
          </w:p>
        </w:tc>
        <w:tc>
          <w:tcPr>
            <w:tcW w:w="1124" w:type="pct"/>
            <w:gridSpan w:val="3"/>
            <w:vAlign w:val="center"/>
          </w:tcPr>
          <w:p w14:paraId="5D1E97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有组织</w:t>
            </w:r>
          </w:p>
        </w:tc>
        <w:tc>
          <w:tcPr>
            <w:tcW w:w="459" w:type="pct"/>
            <w:vMerge w:val="restart"/>
            <w:vAlign w:val="center"/>
          </w:tcPr>
          <w:p w14:paraId="3EDBE0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无组织</w:t>
            </w:r>
            <w:r>
              <w:rPr>
                <w:rFonts w:hint="eastAsia"/>
                <w:sz w:val="21"/>
                <w:szCs w:val="21"/>
                <w:vertAlign w:val="baseline"/>
                <w:lang w:val="en-US" w:eastAsia="zh-CN"/>
              </w:rPr>
              <w:t>产生</w:t>
            </w:r>
            <w:r>
              <w:rPr>
                <w:rFonts w:hint="eastAsia" w:eastAsia="宋体"/>
                <w:sz w:val="21"/>
                <w:szCs w:val="21"/>
                <w:vertAlign w:val="baseline"/>
                <w:lang w:val="en-US" w:eastAsia="zh-CN"/>
              </w:rPr>
              <w:t>量</w:t>
            </w:r>
          </w:p>
        </w:tc>
        <w:tc>
          <w:tcPr>
            <w:tcW w:w="474" w:type="pct"/>
            <w:vMerge w:val="restart"/>
            <w:vAlign w:val="center"/>
          </w:tcPr>
          <w:p w14:paraId="1713C2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无组织排放量</w:t>
            </w:r>
          </w:p>
        </w:tc>
      </w:tr>
      <w:tr w14:paraId="30524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 w:type="pct"/>
            <w:vMerge w:val="continue"/>
            <w:vAlign w:val="center"/>
          </w:tcPr>
          <w:p w14:paraId="1FC3DB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35" w:type="pct"/>
            <w:vMerge w:val="continue"/>
            <w:vAlign w:val="center"/>
          </w:tcPr>
          <w:p w14:paraId="16219D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59" w:type="pct"/>
            <w:vMerge w:val="continue"/>
            <w:vAlign w:val="center"/>
          </w:tcPr>
          <w:p w14:paraId="657A4F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p>
        </w:tc>
        <w:tc>
          <w:tcPr>
            <w:tcW w:w="360" w:type="pct"/>
            <w:vAlign w:val="center"/>
          </w:tcPr>
          <w:p w14:paraId="3275BC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产生量</w:t>
            </w:r>
          </w:p>
        </w:tc>
        <w:tc>
          <w:tcPr>
            <w:tcW w:w="376" w:type="pct"/>
            <w:vAlign w:val="center"/>
          </w:tcPr>
          <w:p w14:paraId="07F87E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产生速率</w:t>
            </w:r>
          </w:p>
        </w:tc>
        <w:tc>
          <w:tcPr>
            <w:tcW w:w="452" w:type="pct"/>
            <w:vAlign w:val="center"/>
          </w:tcPr>
          <w:p w14:paraId="4D5B8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产生浓度</w:t>
            </w:r>
          </w:p>
        </w:tc>
        <w:tc>
          <w:tcPr>
            <w:tcW w:w="869" w:type="pct"/>
            <w:vMerge w:val="continue"/>
            <w:vAlign w:val="center"/>
          </w:tcPr>
          <w:p w14:paraId="2C5D72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56" w:type="pct"/>
            <w:vAlign w:val="center"/>
          </w:tcPr>
          <w:p w14:paraId="5D4EA2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排放量</w:t>
            </w:r>
          </w:p>
        </w:tc>
        <w:tc>
          <w:tcPr>
            <w:tcW w:w="362" w:type="pct"/>
            <w:vAlign w:val="center"/>
          </w:tcPr>
          <w:p w14:paraId="442B6D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排放速率</w:t>
            </w:r>
          </w:p>
        </w:tc>
        <w:tc>
          <w:tcPr>
            <w:tcW w:w="404" w:type="pct"/>
            <w:vAlign w:val="center"/>
          </w:tcPr>
          <w:p w14:paraId="11FE37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排放浓度</w:t>
            </w:r>
          </w:p>
        </w:tc>
        <w:tc>
          <w:tcPr>
            <w:tcW w:w="459" w:type="pct"/>
            <w:vMerge w:val="continue"/>
            <w:vAlign w:val="center"/>
          </w:tcPr>
          <w:p w14:paraId="25941A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474" w:type="pct"/>
            <w:vMerge w:val="continue"/>
            <w:vAlign w:val="center"/>
          </w:tcPr>
          <w:p w14:paraId="0AE00D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r>
      <w:tr w14:paraId="3ADB9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7" w:type="pct"/>
            <w:vAlign w:val="center"/>
          </w:tcPr>
          <w:p w14:paraId="55A9C0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颗粒物</w:t>
            </w:r>
          </w:p>
        </w:tc>
        <w:tc>
          <w:tcPr>
            <w:tcW w:w="335" w:type="pct"/>
            <w:vAlign w:val="center"/>
          </w:tcPr>
          <w:p w14:paraId="7C7176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sz w:val="21"/>
                <w:szCs w:val="21"/>
                <w:vertAlign w:val="baseline"/>
                <w:lang w:eastAsia="zh-CN"/>
              </w:rPr>
            </w:pPr>
            <w:r>
              <w:rPr>
                <w:rFonts w:hint="eastAsia"/>
                <w:bCs/>
                <w:color w:val="000000"/>
                <w:spacing w:val="-10"/>
                <w:sz w:val="21"/>
                <w:szCs w:val="21"/>
                <w:vertAlign w:val="baseline"/>
                <w:lang w:val="en-US" w:eastAsia="zh-CN"/>
              </w:rPr>
              <w:t>5.748t/a</w:t>
            </w:r>
          </w:p>
        </w:tc>
        <w:tc>
          <w:tcPr>
            <w:tcW w:w="359" w:type="pct"/>
            <w:vAlign w:val="center"/>
          </w:tcPr>
          <w:p w14:paraId="3CB942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4000m</w:t>
            </w:r>
            <w:r>
              <w:rPr>
                <w:rFonts w:hint="eastAsia" w:eastAsia="宋体"/>
                <w:sz w:val="21"/>
                <w:szCs w:val="21"/>
                <w:vertAlign w:val="superscript"/>
                <w:lang w:val="en-US" w:eastAsia="zh-CN"/>
              </w:rPr>
              <w:t>3</w:t>
            </w:r>
            <w:r>
              <w:rPr>
                <w:rFonts w:hint="eastAsia" w:eastAsia="宋体"/>
                <w:sz w:val="21"/>
                <w:szCs w:val="21"/>
                <w:vertAlign w:val="baseline"/>
                <w:lang w:val="en-US" w:eastAsia="zh-CN"/>
              </w:rPr>
              <w:t>/h</w:t>
            </w:r>
          </w:p>
        </w:tc>
        <w:tc>
          <w:tcPr>
            <w:tcW w:w="360" w:type="pct"/>
            <w:vAlign w:val="center"/>
          </w:tcPr>
          <w:p w14:paraId="014E25F2">
            <w:pPr>
              <w:pStyle w:val="35"/>
              <w:bidi w:val="0"/>
              <w:rPr>
                <w:rFonts w:hint="eastAsia"/>
                <w:lang w:eastAsia="zh-CN"/>
              </w:rPr>
            </w:pPr>
            <w:r>
              <w:rPr>
                <w:rFonts w:hint="default"/>
                <w:lang w:val="en-US" w:eastAsia="zh-CN"/>
              </w:rPr>
              <w:t>5.173</w:t>
            </w:r>
            <w:r>
              <w:rPr>
                <w:color w:val="000000" w:themeColor="text1"/>
                <w:sz w:val="21"/>
                <w:szCs w:val="21"/>
                <w:u w:val="none"/>
                <w14:textFill>
                  <w14:solidFill>
                    <w14:schemeClr w14:val="tx1"/>
                  </w14:solidFill>
                </w14:textFill>
              </w:rPr>
              <w:t>t/a</w:t>
            </w:r>
          </w:p>
        </w:tc>
        <w:tc>
          <w:tcPr>
            <w:tcW w:w="376" w:type="pct"/>
            <w:vAlign w:val="center"/>
          </w:tcPr>
          <w:p w14:paraId="281199A3">
            <w:pPr>
              <w:pStyle w:val="35"/>
              <w:bidi w:val="0"/>
              <w:rPr>
                <w:rFonts w:hint="default"/>
                <w:lang w:val="en-US" w:eastAsia="zh-CN"/>
              </w:rPr>
            </w:pPr>
            <w:r>
              <w:rPr>
                <w:rFonts w:hint="default"/>
                <w:lang w:val="en-US" w:eastAsia="zh-CN"/>
              </w:rPr>
              <w:t>0.980</w:t>
            </w:r>
            <w:r>
              <w:rPr>
                <w:color w:val="000000" w:themeColor="text1"/>
                <w:sz w:val="21"/>
                <w:szCs w:val="21"/>
                <w:u w:val="none"/>
                <w14:textFill>
                  <w14:solidFill>
                    <w14:schemeClr w14:val="tx1"/>
                  </w14:solidFill>
                </w14:textFill>
              </w:rPr>
              <w:t>kg/h</w:t>
            </w:r>
          </w:p>
        </w:tc>
        <w:tc>
          <w:tcPr>
            <w:tcW w:w="452" w:type="pct"/>
            <w:vAlign w:val="center"/>
          </w:tcPr>
          <w:p w14:paraId="52C2E62D">
            <w:pPr>
              <w:pStyle w:val="35"/>
              <w:bidi w:val="0"/>
              <w:rPr>
                <w:rFonts w:hint="default"/>
                <w:lang w:val="en-US" w:eastAsia="zh-CN"/>
              </w:rPr>
            </w:pPr>
            <w:r>
              <w:rPr>
                <w:rFonts w:hint="default"/>
                <w:lang w:val="en-US" w:eastAsia="zh-CN"/>
              </w:rPr>
              <w:t>244.934</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869" w:type="pct"/>
            <w:vAlign w:val="center"/>
          </w:tcPr>
          <w:p w14:paraId="4FE046BA">
            <w:pPr>
              <w:pStyle w:val="35"/>
              <w:bidi w:val="0"/>
              <w:rPr>
                <w:rFonts w:hint="eastAsia"/>
                <w:lang w:eastAsia="zh-CN"/>
              </w:rPr>
            </w:pPr>
            <w:r>
              <w:rPr>
                <w:lang w:val="en-US" w:eastAsia="zh-CN"/>
              </w:rPr>
              <w:t>集气罩收集，经1套耐高温袋式除尘器处理后，经1根15m高排气筒排放</w:t>
            </w:r>
          </w:p>
        </w:tc>
        <w:tc>
          <w:tcPr>
            <w:tcW w:w="356" w:type="pct"/>
            <w:vAlign w:val="center"/>
          </w:tcPr>
          <w:p w14:paraId="1F9FCB90">
            <w:pPr>
              <w:pStyle w:val="35"/>
              <w:bidi w:val="0"/>
              <w:rPr>
                <w:rFonts w:hint="default"/>
                <w:lang w:val="en-US" w:eastAsia="zh-CN"/>
              </w:rPr>
            </w:pPr>
            <w:r>
              <w:rPr>
                <w:rFonts w:hint="default"/>
                <w:lang w:val="en-US" w:eastAsia="zh-CN"/>
              </w:rPr>
              <w:t>0.052</w:t>
            </w:r>
            <w:r>
              <w:rPr>
                <w:color w:val="000000" w:themeColor="text1"/>
                <w:sz w:val="21"/>
                <w:szCs w:val="21"/>
                <w:u w:val="none"/>
                <w14:textFill>
                  <w14:solidFill>
                    <w14:schemeClr w14:val="tx1"/>
                  </w14:solidFill>
                </w14:textFill>
              </w:rPr>
              <w:t>t/a</w:t>
            </w:r>
          </w:p>
        </w:tc>
        <w:tc>
          <w:tcPr>
            <w:tcW w:w="362" w:type="pct"/>
            <w:vAlign w:val="center"/>
          </w:tcPr>
          <w:p w14:paraId="1C8AF6D3">
            <w:pPr>
              <w:pStyle w:val="35"/>
              <w:bidi w:val="0"/>
              <w:rPr>
                <w:rFonts w:hint="default"/>
                <w:lang w:val="en-US" w:eastAsia="zh-CN"/>
              </w:rPr>
            </w:pPr>
            <w:r>
              <w:rPr>
                <w:rFonts w:hint="default"/>
                <w:lang w:val="en-US" w:eastAsia="zh-CN"/>
              </w:rPr>
              <w:t>0.010</w:t>
            </w:r>
            <w:r>
              <w:rPr>
                <w:color w:val="000000" w:themeColor="text1"/>
                <w:sz w:val="21"/>
                <w:szCs w:val="21"/>
                <w:u w:val="none"/>
                <w14:textFill>
                  <w14:solidFill>
                    <w14:schemeClr w14:val="tx1"/>
                  </w14:solidFill>
                </w14:textFill>
              </w:rPr>
              <w:t>kg/h</w:t>
            </w:r>
          </w:p>
        </w:tc>
        <w:tc>
          <w:tcPr>
            <w:tcW w:w="404" w:type="pct"/>
            <w:vAlign w:val="center"/>
          </w:tcPr>
          <w:p w14:paraId="61396D02">
            <w:pPr>
              <w:pStyle w:val="35"/>
              <w:bidi w:val="0"/>
              <w:rPr>
                <w:rFonts w:hint="default"/>
                <w:lang w:val="en-US" w:eastAsia="zh-CN"/>
              </w:rPr>
            </w:pPr>
            <w:r>
              <w:rPr>
                <w:rFonts w:hint="default"/>
                <w:lang w:val="en-US" w:eastAsia="zh-CN"/>
              </w:rPr>
              <w:t>2.449</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459" w:type="pct"/>
            <w:vAlign w:val="center"/>
          </w:tcPr>
          <w:p w14:paraId="66991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0.575t/a</w:t>
            </w:r>
          </w:p>
        </w:tc>
        <w:tc>
          <w:tcPr>
            <w:tcW w:w="474" w:type="pct"/>
            <w:vAlign w:val="center"/>
          </w:tcPr>
          <w:p w14:paraId="1E9761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0.173</w:t>
            </w:r>
            <w:r>
              <w:rPr>
                <w:rFonts w:hint="eastAsia" w:eastAsia="宋体"/>
                <w:sz w:val="21"/>
                <w:szCs w:val="21"/>
                <w:vertAlign w:val="baseline"/>
                <w:lang w:val="en-US" w:eastAsia="zh-CN"/>
              </w:rPr>
              <w:t>t/a</w:t>
            </w:r>
          </w:p>
        </w:tc>
      </w:tr>
    </w:tbl>
    <w:p w14:paraId="61D69A0F">
      <w:pPr>
        <w:bidi w:val="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混砂、造型/浇注、工件清理和不合格品回用切割</w:t>
      </w:r>
      <w:r>
        <w:rPr>
          <w:rFonts w:hint="eastAsia"/>
          <w:color w:val="000000"/>
          <w:sz w:val="24"/>
          <w:lang w:val="en-US" w:eastAsia="zh-CN"/>
        </w:rPr>
        <w:t>工序</w:t>
      </w:r>
      <w:r>
        <w:rPr>
          <w:color w:val="000000"/>
          <w:sz w:val="24"/>
        </w:rPr>
        <w:t>排气筒（</w:t>
      </w:r>
      <w:r>
        <w:rPr>
          <w:snapToGrid w:val="0"/>
          <w:color w:val="000000"/>
          <w:kern w:val="0"/>
          <w:sz w:val="24"/>
        </w:rPr>
        <w:t>DA00</w:t>
      </w:r>
      <w:r>
        <w:rPr>
          <w:rFonts w:hint="eastAsia"/>
          <w:snapToGrid w:val="0"/>
          <w:color w:val="000000"/>
          <w:kern w:val="0"/>
          <w:sz w:val="24"/>
          <w:lang w:val="en-US" w:eastAsia="zh-CN"/>
        </w:rPr>
        <w:t>2</w:t>
      </w:r>
      <w:r>
        <w:rPr>
          <w:color w:val="000000"/>
          <w:sz w:val="24"/>
        </w:rPr>
        <w:t>）排放废气源强分析</w:t>
      </w:r>
    </w:p>
    <w:p w14:paraId="103EF38D">
      <w:pPr>
        <w:bidi w:val="0"/>
        <w:rPr>
          <w:rFonts w:hint="default" w:ascii="Times New Roman" w:hAnsi="Times New Roman" w:eastAsia="宋体" w:cs="Times New Roman"/>
          <w:lang w:val="en-US" w:eastAsia="zh-CN"/>
        </w:rPr>
      </w:pPr>
      <w:r>
        <w:rPr>
          <w:rFonts w:hint="default" w:ascii="Times New Roman" w:hAnsi="Times New Roman" w:eastAsia="宋体" w:cs="Times New Roman"/>
        </w:rPr>
        <w:t>①</w:t>
      </w:r>
      <w:r>
        <w:rPr>
          <w:rFonts w:hint="eastAsia" w:ascii="Times New Roman" w:hAnsi="Times New Roman" w:eastAsia="宋体" w:cs="Times New Roman"/>
          <w:lang w:val="en-US" w:eastAsia="zh-CN"/>
        </w:rPr>
        <w:t>混砂工序</w:t>
      </w:r>
    </w:p>
    <w:p w14:paraId="0CECFD25">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lang w:val="en-US" w:eastAsia="zh-CN"/>
        </w:rPr>
        <w:t>本项目将新砂、旧砂、呋喃树脂、固化剂等原料按照一定比例在混砂机内进行混合，作为铸型原料。</w:t>
      </w:r>
      <w:r>
        <w:rPr>
          <w:rFonts w:hint="default" w:ascii="Times New Roman" w:hAnsi="Times New Roman" w:eastAsia="宋体" w:cs="Times New Roman"/>
          <w:color w:val="000000"/>
          <w:kern w:val="0"/>
          <w:sz w:val="24"/>
          <w:szCs w:val="24"/>
          <w:lang w:val="en-US" w:eastAsia="zh-CN" w:bidi="ar"/>
        </w:rPr>
        <w:t>混砂废气根据《逸散性工业粉尘控制技术》（美国J.A.奥里蒙等编著；张良璧、刘敬严编译）</w:t>
      </w:r>
      <w:r>
        <w:rPr>
          <w:rFonts w:hint="eastAsia" w:ascii="Times New Roman" w:hAnsi="Times New Roman" w:eastAsia="宋体" w:cs="Times New Roman"/>
          <w:color w:val="000000"/>
          <w:kern w:val="0"/>
          <w:sz w:val="24"/>
          <w:szCs w:val="24"/>
          <w:lang w:val="en-US" w:eastAsia="zh-CN" w:bidi="ar"/>
        </w:rPr>
        <w:t>中“铸铁厂”中“泥芯用砂和粘接剂的混合”</w:t>
      </w:r>
      <w:r>
        <w:rPr>
          <w:rFonts w:hint="eastAsia" w:ascii="宋体" w:hAnsi="宋体" w:eastAsia="宋体" w:cs="宋体"/>
          <w:color w:val="000000"/>
          <w:kern w:val="0"/>
          <w:sz w:val="24"/>
          <w:szCs w:val="24"/>
          <w:lang w:val="en-US" w:eastAsia="zh-CN" w:bidi="ar"/>
        </w:rPr>
        <w:t>的产污系数进行计算，具体见表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黑体" w:cs="Times New Roman"/>
          <w:bCs/>
          <w:color w:val="000000"/>
          <w:spacing w:val="-10"/>
          <w:sz w:val="24"/>
          <w:highlight w:val="none"/>
          <w:lang w:val="en-US" w:eastAsia="zh-CN"/>
        </w:rPr>
        <w:t>-</w:t>
      </w:r>
      <w:r>
        <w:rPr>
          <w:rFonts w:hint="eastAsia" w:eastAsia="黑体" w:cs="Times New Roman"/>
          <w:bCs/>
          <w:color w:val="000000"/>
          <w:spacing w:val="-10"/>
          <w:sz w:val="24"/>
          <w:highlight w:val="none"/>
          <w:lang w:val="en-US" w:eastAsia="zh-CN"/>
        </w:rPr>
        <w:t>3</w:t>
      </w:r>
      <w:r>
        <w:rPr>
          <w:rFonts w:hint="eastAsia" w:ascii="宋体" w:hAnsi="宋体" w:eastAsia="宋体" w:cs="宋体"/>
          <w:color w:val="000000"/>
          <w:kern w:val="0"/>
          <w:sz w:val="24"/>
          <w:szCs w:val="24"/>
          <w:lang w:val="en-US" w:eastAsia="zh-CN" w:bidi="ar"/>
        </w:rPr>
        <w:t>。</w:t>
      </w:r>
    </w:p>
    <w:p w14:paraId="75B5A24A">
      <w:pPr>
        <w:spacing w:line="360" w:lineRule="auto"/>
        <w:ind w:left="0" w:leftChars="0" w:firstLine="0" w:firstLineChars="0"/>
        <w:jc w:val="center"/>
        <w:rPr>
          <w:bCs/>
          <w:color w:val="000000"/>
          <w:spacing w:val="-10"/>
          <w:sz w:val="24"/>
        </w:rPr>
      </w:pPr>
      <w:r>
        <w:rPr>
          <w:rFonts w:hint="default" w:ascii="Times New Roman" w:hAnsi="Times New Roman" w:eastAsia="黑体" w:cs="Times New Roman"/>
          <w:bCs/>
          <w:color w:val="000000"/>
          <w:spacing w:val="-10"/>
          <w:sz w:val="24"/>
          <w:lang w:val="en-US" w:eastAsia="zh-CN"/>
        </w:rPr>
        <w:t>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黑体" w:cs="Times New Roman"/>
          <w:bCs/>
          <w:color w:val="000000"/>
          <w:spacing w:val="-10"/>
          <w:sz w:val="24"/>
          <w:highlight w:val="none"/>
          <w:lang w:val="en-US" w:eastAsia="zh-CN"/>
        </w:rPr>
        <w:t>-</w:t>
      </w:r>
      <w:r>
        <w:rPr>
          <w:rFonts w:hint="eastAsia" w:eastAsia="黑体" w:cs="Times New Roman"/>
          <w:bCs/>
          <w:color w:val="000000"/>
          <w:spacing w:val="-10"/>
          <w:sz w:val="24"/>
          <w:highlight w:val="none"/>
          <w:lang w:val="en-US" w:eastAsia="zh-CN"/>
        </w:rPr>
        <w:t>3</w:t>
      </w:r>
      <w:r>
        <w:rPr>
          <w:rFonts w:hint="eastAsia" w:ascii="Times New Roman" w:hAnsi="Times New Roman" w:eastAsia="黑体" w:cs="Times New Roman"/>
          <w:bCs/>
          <w:color w:val="000000"/>
          <w:spacing w:val="-10"/>
          <w:sz w:val="24"/>
          <w:lang w:val="en-US" w:eastAsia="zh-CN"/>
        </w:rPr>
        <w:t xml:space="preserve"> </w:t>
      </w:r>
      <w:r>
        <w:rPr>
          <w:rFonts w:hint="default" w:ascii="Times New Roman" w:hAnsi="Times New Roman" w:eastAsia="黑体" w:cs="Times New Roman"/>
          <w:bCs/>
          <w:color w:val="000000"/>
          <w:spacing w:val="-10"/>
          <w:sz w:val="24"/>
          <w:lang w:val="en-US" w:eastAsia="zh-CN"/>
        </w:rPr>
        <w:t xml:space="preserve"> </w:t>
      </w:r>
      <w:r>
        <w:rPr>
          <w:rFonts w:hint="eastAsia" w:ascii="Times New Roman" w:hAnsi="Times New Roman" w:eastAsia="黑体" w:cs="Times New Roman"/>
          <w:bCs/>
          <w:color w:val="000000"/>
          <w:spacing w:val="-10"/>
          <w:sz w:val="24"/>
          <w:lang w:val="en-US" w:eastAsia="zh-CN"/>
        </w:rPr>
        <w:t>混砂废气</w:t>
      </w:r>
      <w:r>
        <w:rPr>
          <w:rFonts w:hint="default" w:ascii="Times New Roman" w:hAnsi="Times New Roman" w:eastAsia="黑体" w:cs="Times New Roman"/>
          <w:bCs/>
          <w:color w:val="000000"/>
          <w:spacing w:val="-10"/>
          <w:sz w:val="24"/>
          <w:lang w:val="en-US" w:eastAsia="zh-CN"/>
        </w:rPr>
        <w:t>产污系数表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1596"/>
        <w:gridCol w:w="1209"/>
        <w:gridCol w:w="1461"/>
        <w:gridCol w:w="1420"/>
        <w:gridCol w:w="1420"/>
        <w:gridCol w:w="1420"/>
      </w:tblGrid>
      <w:tr w14:paraId="71E09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1" w:type="pct"/>
            <w:vAlign w:val="center"/>
          </w:tcPr>
          <w:p w14:paraId="69B0A7C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7" w:type="pct"/>
            <w:vAlign w:val="center"/>
          </w:tcPr>
          <w:p w14:paraId="157983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9" w:type="pct"/>
            <w:vAlign w:val="center"/>
          </w:tcPr>
          <w:p w14:paraId="691BC6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02E51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7D4148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727" w:type="pct"/>
            <w:vAlign w:val="center"/>
          </w:tcPr>
          <w:p w14:paraId="5072BD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原料规模</w:t>
            </w:r>
          </w:p>
        </w:tc>
        <w:tc>
          <w:tcPr>
            <w:tcW w:w="727" w:type="pct"/>
            <w:vAlign w:val="center"/>
          </w:tcPr>
          <w:p w14:paraId="52C26B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28EA6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Align w:val="center"/>
          </w:tcPr>
          <w:p w14:paraId="5F114D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混砂</w:t>
            </w:r>
          </w:p>
        </w:tc>
        <w:tc>
          <w:tcPr>
            <w:tcW w:w="817" w:type="pct"/>
            <w:vAlign w:val="center"/>
          </w:tcPr>
          <w:p w14:paraId="2FAAE8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default"/>
                <w:bCs/>
                <w:color w:val="000000"/>
                <w:spacing w:val="-10"/>
                <w:sz w:val="21"/>
                <w:szCs w:val="21"/>
                <w:vertAlign w:val="baseline"/>
                <w:lang w:val="en-US" w:eastAsia="zh-CN"/>
              </w:rPr>
              <w:t>新砂、旧砂、呋喃树脂、固化剂</w:t>
            </w:r>
          </w:p>
        </w:tc>
        <w:tc>
          <w:tcPr>
            <w:tcW w:w="619" w:type="pct"/>
            <w:vAlign w:val="center"/>
          </w:tcPr>
          <w:p w14:paraId="365F5F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7FCEDD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14AA54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0.15kg/t（混砂）</w:t>
            </w:r>
          </w:p>
        </w:tc>
        <w:tc>
          <w:tcPr>
            <w:tcW w:w="727" w:type="pct"/>
            <w:vAlign w:val="center"/>
          </w:tcPr>
          <w:p w14:paraId="6F6C2C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highlight w:val="none"/>
                <w:vertAlign w:val="baseline"/>
                <w:lang w:val="en-US" w:eastAsia="zh-CN"/>
              </w:rPr>
            </w:pPr>
            <w:r>
              <w:rPr>
                <w:rFonts w:hint="eastAsia"/>
                <w:bCs/>
                <w:color w:val="000000"/>
                <w:spacing w:val="-10"/>
                <w:sz w:val="21"/>
                <w:szCs w:val="21"/>
                <w:highlight w:val="none"/>
                <w:vertAlign w:val="baseline"/>
                <w:lang w:val="en-US" w:eastAsia="zh-CN"/>
              </w:rPr>
              <w:t>36000t/a</w:t>
            </w:r>
          </w:p>
        </w:tc>
        <w:tc>
          <w:tcPr>
            <w:tcW w:w="727" w:type="pct"/>
            <w:vAlign w:val="center"/>
          </w:tcPr>
          <w:p w14:paraId="1E8C36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highlight w:val="none"/>
                <w:vertAlign w:val="baseline"/>
                <w:lang w:val="en-US" w:eastAsia="zh-CN"/>
              </w:rPr>
            </w:pPr>
            <w:r>
              <w:rPr>
                <w:rFonts w:hint="eastAsia"/>
                <w:bCs/>
                <w:color w:val="000000"/>
                <w:spacing w:val="-10"/>
                <w:sz w:val="21"/>
                <w:szCs w:val="21"/>
                <w:highlight w:val="none"/>
                <w:vertAlign w:val="baseline"/>
                <w:lang w:val="en-US" w:eastAsia="zh-CN"/>
              </w:rPr>
              <w:t>5.4t/a</w:t>
            </w:r>
          </w:p>
        </w:tc>
      </w:tr>
    </w:tbl>
    <w:p w14:paraId="06AE6E58">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造型/浇注工序</w:t>
      </w:r>
    </w:p>
    <w:p w14:paraId="574D161B">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在造型前会在模具表面喷涂脱模剂、在浇注前会在树脂砂砂型表面喷涂醇基涂料后点火约15s燃烧使砂型固化，该过程产生擦拭有机废气；根据《排放源统计调查产排污核算方法和系数手册-金属制品业系数手册》（生态环境部办公厅2021年6月11日印发）中的</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33-3，431-434 机械行业系数手册</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中</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01 铸造</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中</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造型/浇注（树脂砂）-所有规模</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的产污系数已涵盖</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涂料、脱模剂</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产生的挥发性有机物；同时，模具表面喷涂脱模剂和树脂砂砂型表面喷涂醇基涂料后点火燃烧，醇基涂料完全燃烧后基本不产生有机废气。且喷涂脱模剂和醇基涂料均在造型/浇注区进行，因此脱模、涂层和造型/浇注废气一并收集</w:t>
      </w:r>
      <w:r>
        <w:rPr>
          <w:rFonts w:hint="eastAsia" w:ascii="Times New Roman" w:hAnsi="Times New Roman" w:eastAsia="宋体" w:cs="Times New Roman"/>
          <w:color w:val="000000"/>
          <w:kern w:val="0"/>
          <w:sz w:val="24"/>
          <w:szCs w:val="24"/>
          <w:lang w:val="en-US" w:eastAsia="zh-CN" w:bidi="ar"/>
        </w:rPr>
        <w:t>处理</w:t>
      </w:r>
      <w:r>
        <w:rPr>
          <w:rFonts w:hint="default" w:ascii="Times New Roman" w:hAnsi="Times New Roman" w:eastAsia="宋体" w:cs="Times New Roman"/>
          <w:color w:val="000000"/>
          <w:kern w:val="0"/>
          <w:sz w:val="24"/>
          <w:szCs w:val="24"/>
          <w:lang w:val="en-US" w:eastAsia="zh-CN" w:bidi="ar"/>
        </w:rPr>
        <w:t>，则脱模、涂层和造型/浇注废气产生源强</w:t>
      </w:r>
      <w:r>
        <w:rPr>
          <w:rFonts w:hint="eastAsia" w:ascii="Times New Roman" w:hAnsi="Times New Roman" w:eastAsia="宋体" w:cs="Times New Roman"/>
          <w:color w:val="000000"/>
          <w:kern w:val="0"/>
          <w:sz w:val="24"/>
          <w:szCs w:val="24"/>
          <w:lang w:val="en-US" w:eastAsia="zh-CN" w:bidi="ar"/>
        </w:rPr>
        <w:t>具体</w:t>
      </w:r>
      <w:r>
        <w:rPr>
          <w:rFonts w:hint="default" w:ascii="Times New Roman" w:hAnsi="Times New Roman" w:eastAsia="宋体" w:cs="Times New Roman"/>
          <w:color w:val="000000"/>
          <w:kern w:val="0"/>
          <w:sz w:val="24"/>
          <w:szCs w:val="24"/>
          <w:lang w:val="en-US" w:eastAsia="zh-CN" w:bidi="ar"/>
        </w:rPr>
        <w:t>见表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-4</w:t>
      </w:r>
      <w:r>
        <w:rPr>
          <w:rFonts w:hint="default" w:ascii="Times New Roman" w:hAnsi="Times New Roman" w:eastAsia="宋体" w:cs="Times New Roman"/>
          <w:color w:val="000000"/>
          <w:kern w:val="0"/>
          <w:sz w:val="24"/>
          <w:szCs w:val="24"/>
          <w:lang w:val="en-US" w:eastAsia="zh-CN" w:bidi="ar"/>
        </w:rPr>
        <w:t>。</w:t>
      </w:r>
    </w:p>
    <w:p w14:paraId="2D0B02FB">
      <w:pPr>
        <w:keepNext w:val="0"/>
        <w:keepLines w:val="0"/>
        <w:widowControl/>
        <w:suppressLineNumbers w:val="0"/>
        <w:ind w:left="0" w:leftChars="0" w:firstLine="0" w:firstLineChars="0"/>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黑体" w:cs="Times New Roman"/>
          <w:color w:val="000000"/>
          <w:kern w:val="0"/>
          <w:sz w:val="24"/>
          <w:szCs w:val="24"/>
          <w:lang w:val="en-US" w:eastAsia="zh-CN" w:bidi="ar"/>
        </w:rPr>
        <w:t xml:space="preserve">表2.5-4 </w:t>
      </w:r>
      <w:r>
        <w:rPr>
          <w:rFonts w:hint="eastAsia" w:ascii="Times New Roman" w:hAnsi="Times New Roman" w:eastAsia="黑体" w:cs="Times New Roman"/>
          <w:color w:val="000000"/>
          <w:kern w:val="0"/>
          <w:sz w:val="24"/>
          <w:szCs w:val="24"/>
          <w:lang w:val="en-US" w:eastAsia="zh-CN" w:bidi="ar"/>
        </w:rPr>
        <w:t xml:space="preserve"> </w:t>
      </w:r>
      <w:r>
        <w:rPr>
          <w:rFonts w:hint="default" w:ascii="Times New Roman" w:hAnsi="Times New Roman" w:eastAsia="黑体" w:cs="Times New Roman"/>
          <w:color w:val="000000"/>
          <w:kern w:val="0"/>
          <w:sz w:val="24"/>
          <w:szCs w:val="24"/>
          <w:lang w:val="en-US" w:eastAsia="zh-CN" w:bidi="ar"/>
        </w:rPr>
        <w:t>造型/浇注废气产生情况表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594"/>
        <w:gridCol w:w="1208"/>
        <w:gridCol w:w="1460"/>
        <w:gridCol w:w="1419"/>
        <w:gridCol w:w="1427"/>
        <w:gridCol w:w="1419"/>
      </w:tblGrid>
      <w:tr w14:paraId="0A744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631" w:type="pct"/>
            <w:vAlign w:val="center"/>
          </w:tcPr>
          <w:p w14:paraId="5814EC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7" w:type="pct"/>
            <w:vAlign w:val="center"/>
          </w:tcPr>
          <w:p w14:paraId="3E6F85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9" w:type="pct"/>
            <w:vAlign w:val="center"/>
          </w:tcPr>
          <w:p w14:paraId="78671A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071A63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43A5F7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1420" w:type="dxa"/>
            <w:vAlign w:val="center"/>
          </w:tcPr>
          <w:p w14:paraId="4D9285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产品规模</w:t>
            </w:r>
          </w:p>
        </w:tc>
        <w:tc>
          <w:tcPr>
            <w:tcW w:w="727" w:type="pct"/>
            <w:vAlign w:val="center"/>
          </w:tcPr>
          <w:p w14:paraId="3BA65A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66EBB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Merge w:val="restart"/>
            <w:vAlign w:val="center"/>
          </w:tcPr>
          <w:p w14:paraId="77FB30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造型/浇注</w:t>
            </w:r>
          </w:p>
        </w:tc>
        <w:tc>
          <w:tcPr>
            <w:tcW w:w="817" w:type="pct"/>
            <w:vMerge w:val="restart"/>
            <w:vAlign w:val="center"/>
          </w:tcPr>
          <w:p w14:paraId="3666B6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原砂、再生砂、树脂、硬化剂、涂料、脱模剂</w:t>
            </w:r>
          </w:p>
        </w:tc>
        <w:tc>
          <w:tcPr>
            <w:tcW w:w="619" w:type="pct"/>
            <w:vMerge w:val="restart"/>
            <w:vAlign w:val="center"/>
          </w:tcPr>
          <w:p w14:paraId="47CFE0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423F43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1832A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default" w:eastAsia="宋体"/>
                <w:bCs/>
                <w:color w:val="000000"/>
                <w:spacing w:val="-10"/>
                <w:sz w:val="21"/>
                <w:szCs w:val="21"/>
                <w:vertAlign w:val="baseline"/>
                <w:lang w:val="en-US" w:eastAsia="zh-CN"/>
              </w:rPr>
              <w:t>1.03kg/t-产品</w:t>
            </w:r>
          </w:p>
        </w:tc>
        <w:tc>
          <w:tcPr>
            <w:tcW w:w="1420" w:type="dxa"/>
            <w:vMerge w:val="restart"/>
            <w:vAlign w:val="center"/>
          </w:tcPr>
          <w:p w14:paraId="34E139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12000t/a</w:t>
            </w:r>
          </w:p>
        </w:tc>
        <w:tc>
          <w:tcPr>
            <w:tcW w:w="727" w:type="pct"/>
            <w:vAlign w:val="center"/>
          </w:tcPr>
          <w:p w14:paraId="503277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vertAlign w:val="baseline"/>
                <w:lang w:val="en-US" w:eastAsia="zh-CN"/>
              </w:rPr>
            </w:pPr>
            <w:r>
              <w:rPr>
                <w:rFonts w:hint="eastAsia"/>
                <w:bCs/>
                <w:color w:val="000000"/>
                <w:spacing w:val="-10"/>
                <w:sz w:val="21"/>
                <w:szCs w:val="21"/>
                <w:vertAlign w:val="baseline"/>
                <w:lang w:val="en-US" w:eastAsia="zh-CN"/>
              </w:rPr>
              <w:t>12.36t/a</w:t>
            </w:r>
          </w:p>
        </w:tc>
      </w:tr>
      <w:tr w14:paraId="0E1FE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Merge w:val="continue"/>
            <w:vAlign w:val="center"/>
          </w:tcPr>
          <w:p w14:paraId="1A4A8D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817" w:type="pct"/>
            <w:vMerge w:val="continue"/>
            <w:vAlign w:val="center"/>
          </w:tcPr>
          <w:p w14:paraId="19E346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619" w:type="pct"/>
            <w:vMerge w:val="continue"/>
            <w:vAlign w:val="center"/>
          </w:tcPr>
          <w:p w14:paraId="3BE33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748" w:type="pct"/>
            <w:vAlign w:val="center"/>
          </w:tcPr>
          <w:p w14:paraId="60957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挥发性有机物</w:t>
            </w:r>
          </w:p>
        </w:tc>
        <w:tc>
          <w:tcPr>
            <w:tcW w:w="727" w:type="pct"/>
            <w:vAlign w:val="center"/>
          </w:tcPr>
          <w:p w14:paraId="45CFAC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0.495kg/t-产品</w:t>
            </w:r>
          </w:p>
        </w:tc>
        <w:tc>
          <w:tcPr>
            <w:tcW w:w="727" w:type="pct"/>
            <w:vMerge w:val="continue"/>
            <w:vAlign w:val="center"/>
          </w:tcPr>
          <w:p w14:paraId="73A26A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highlight w:val="yellow"/>
                <w:vertAlign w:val="baseline"/>
                <w:lang w:val="en-US" w:eastAsia="zh-CN"/>
              </w:rPr>
            </w:pPr>
          </w:p>
        </w:tc>
        <w:tc>
          <w:tcPr>
            <w:tcW w:w="727" w:type="pct"/>
            <w:vAlign w:val="center"/>
          </w:tcPr>
          <w:p w14:paraId="497366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highlight w:val="yellow"/>
                <w:vertAlign w:val="baseline"/>
                <w:lang w:val="en-US" w:eastAsia="zh-CN"/>
              </w:rPr>
            </w:pPr>
            <w:r>
              <w:rPr>
                <w:rFonts w:hint="eastAsia"/>
                <w:bCs/>
                <w:color w:val="000000"/>
                <w:spacing w:val="-10"/>
                <w:sz w:val="21"/>
                <w:szCs w:val="21"/>
                <w:highlight w:val="none"/>
                <w:vertAlign w:val="baseline"/>
                <w:lang w:val="en-US" w:eastAsia="zh-CN"/>
              </w:rPr>
              <w:t>5.94</w:t>
            </w:r>
            <w:r>
              <w:rPr>
                <w:rFonts w:hint="eastAsia"/>
                <w:bCs/>
                <w:color w:val="000000"/>
                <w:spacing w:val="-10"/>
                <w:sz w:val="21"/>
                <w:szCs w:val="21"/>
                <w:vertAlign w:val="baseline"/>
                <w:lang w:val="en-US" w:eastAsia="zh-CN"/>
              </w:rPr>
              <w:t>t/a</w:t>
            </w:r>
          </w:p>
        </w:tc>
      </w:tr>
    </w:tbl>
    <w:p w14:paraId="58EEA52D">
      <w:pPr>
        <w:bidi w:val="0"/>
      </w:pPr>
      <w:r>
        <w:t>根据</w:t>
      </w:r>
      <w:r>
        <w:rPr>
          <w:rFonts w:hint="eastAsia"/>
        </w:rPr>
        <w:t>建设单位</w:t>
      </w:r>
      <w:r>
        <w:t>提供</w:t>
      </w:r>
      <w:r>
        <w:rPr>
          <w:rFonts w:hint="eastAsia"/>
        </w:rPr>
        <w:t>呋喃树脂及硫磺固化剂的化学品安全技术说明书可知</w:t>
      </w:r>
      <w:r>
        <w:t>，项目</w:t>
      </w:r>
      <w:r>
        <w:rPr>
          <w:rFonts w:hint="eastAsia"/>
        </w:rPr>
        <w:t>呋喃</w:t>
      </w:r>
      <w:r>
        <w:t>树脂主要成分为</w:t>
      </w:r>
      <w:r>
        <w:rPr>
          <w:rFonts w:hint="eastAsia"/>
          <w:lang w:val="en-US" w:eastAsia="zh-CN"/>
        </w:rPr>
        <w:t>收集效率以</w:t>
      </w:r>
      <w:r>
        <w:rPr>
          <w:rFonts w:hint="default"/>
          <w:lang w:val="en-US" w:eastAsia="zh-CN"/>
        </w:rPr>
        <w:t>9</w:t>
      </w:r>
      <w:r>
        <w:rPr>
          <w:rFonts w:hint="eastAsia"/>
          <w:lang w:val="en-US" w:eastAsia="zh-CN"/>
        </w:rPr>
        <w:t>0</w:t>
      </w:r>
      <w:r>
        <w:rPr>
          <w:rFonts w:hint="default"/>
          <w:lang w:val="en-US" w:eastAsia="zh-CN"/>
        </w:rPr>
        <w:t>%</w:t>
      </w:r>
      <w:r>
        <w:rPr>
          <w:rFonts w:hint="eastAsia"/>
          <w:lang w:val="en-US" w:eastAsia="zh-CN"/>
        </w:rPr>
        <w:t>计</w:t>
      </w:r>
      <w:r>
        <w:t>，固化剂主要成分为2</w:t>
      </w:r>
      <w:r>
        <w:rPr>
          <w:rFonts w:hint="eastAsia"/>
        </w:rPr>
        <w:t>，</w:t>
      </w:r>
      <w:r>
        <w:t>4-二甲苯磺酸（二甲基苯磺酸）</w:t>
      </w:r>
      <w:r>
        <w:rPr>
          <w:rFonts w:hint="eastAsia"/>
          <w:lang w:val="en-US" w:eastAsia="zh-CN"/>
        </w:rPr>
        <w:t>75</w:t>
      </w:r>
      <w:r>
        <w:t>%、水</w:t>
      </w:r>
      <w:r>
        <w:rPr>
          <w:rFonts w:hint="eastAsia"/>
          <w:lang w:val="en-US" w:eastAsia="zh-CN"/>
        </w:rPr>
        <w:t>25</w:t>
      </w:r>
      <w:r>
        <w:t>%</w:t>
      </w:r>
      <w:r>
        <w:rPr>
          <w:rFonts w:hint="eastAsia"/>
          <w:lang w:eastAsia="zh-CN"/>
        </w:rPr>
        <w:t>；</w:t>
      </w:r>
      <w:r>
        <w:rPr>
          <w:rFonts w:hint="eastAsia"/>
          <w:lang w:val="en-US" w:eastAsia="zh-CN"/>
        </w:rPr>
        <w:t>根据建设单位提供的资料，本项目使用的呋喃树脂为一级铸造用自硬呋喃树脂，对照《铸造用自硬呋喃树脂》（JB/T7526-2008）表3中游离甲醛≤0.1%为一级，因此，本项目游离甲醛含量≤0.1%，则</w:t>
      </w:r>
      <w:r>
        <w:rPr>
          <w:rFonts w:hint="eastAsia"/>
        </w:rPr>
        <w:t>呋喃树脂中游离甲醛含量为0.</w:t>
      </w:r>
      <w:r>
        <w:rPr>
          <w:rFonts w:hint="eastAsia"/>
          <w:lang w:val="en-US" w:eastAsia="zh-CN"/>
        </w:rPr>
        <w:t>1</w:t>
      </w:r>
      <w:r>
        <w:rPr>
          <w:rFonts w:hint="eastAsia"/>
        </w:rPr>
        <w:t>%</w:t>
      </w:r>
      <w:r>
        <w:t>，树脂砂</w:t>
      </w:r>
      <w:r>
        <w:rPr>
          <w:rFonts w:hint="eastAsia"/>
          <w:lang w:val="en-US" w:eastAsia="zh-CN"/>
        </w:rPr>
        <w:t>造型</w:t>
      </w:r>
      <w:r>
        <w:t>过程中使用的</w:t>
      </w:r>
      <w:r>
        <w:rPr>
          <w:rFonts w:hint="eastAsia"/>
        </w:rPr>
        <w:t>呋喃</w:t>
      </w:r>
      <w:r>
        <w:t>树脂量为</w:t>
      </w:r>
      <w:r>
        <w:rPr>
          <w:rFonts w:hint="eastAsia"/>
          <w:lang w:val="en-US" w:eastAsia="zh-CN"/>
        </w:rPr>
        <w:t>360</w:t>
      </w:r>
      <w:r>
        <w:t>t/a，则</w:t>
      </w:r>
      <w:r>
        <w:rPr>
          <w:rFonts w:hint="eastAsia"/>
        </w:rPr>
        <w:t>甲醛产生量为</w:t>
      </w:r>
      <w:r>
        <w:rPr>
          <w:rFonts w:hint="eastAsia"/>
          <w:lang w:val="en-US" w:eastAsia="zh-CN"/>
        </w:rPr>
        <w:t>360</w:t>
      </w:r>
      <w:r>
        <w:t>t/a</w:t>
      </w:r>
      <w:r>
        <w:rPr>
          <w:rFonts w:hint="eastAsia"/>
        </w:rPr>
        <w:t>*0.</w:t>
      </w:r>
      <w:r>
        <w:rPr>
          <w:rFonts w:hint="eastAsia"/>
          <w:lang w:val="en-US" w:eastAsia="zh-CN"/>
        </w:rPr>
        <w:t>1</w:t>
      </w:r>
      <w:r>
        <w:t>%</w:t>
      </w:r>
      <w:r>
        <w:rPr>
          <w:rFonts w:hint="eastAsia"/>
        </w:rPr>
        <w:t>=</w:t>
      </w:r>
      <w:r>
        <w:rPr>
          <w:rFonts w:hint="eastAsia"/>
          <w:lang w:val="en-US" w:eastAsia="zh-CN"/>
        </w:rPr>
        <w:t>0.36</w:t>
      </w:r>
      <w:r>
        <w:t>t/a。</w:t>
      </w:r>
    </w:p>
    <w:p w14:paraId="22619F06">
      <w:pPr>
        <w:bidi w:val="0"/>
        <w:rPr>
          <w:rFonts w:hint="eastAsia" w:ascii="宋体" w:hAnsi="宋体" w:eastAsia="宋体" w:cs="宋体"/>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综上所述，项目</w:t>
      </w:r>
      <w:r>
        <w:rPr>
          <w:rFonts w:hint="default" w:ascii="Times New Roman" w:hAnsi="Times New Roman" w:eastAsia="宋体" w:cs="Times New Roman"/>
          <w:color w:val="000000"/>
          <w:kern w:val="0"/>
          <w:sz w:val="24"/>
          <w:szCs w:val="24"/>
          <w:lang w:val="en-US" w:eastAsia="zh-CN" w:bidi="ar"/>
        </w:rPr>
        <w:t>造型/浇注工序挥发性有机物产生量为5.94t/a</w:t>
      </w:r>
      <w:r>
        <w:rPr>
          <w:rFonts w:hint="eastAsia" w:ascii="Times New Roman" w:hAnsi="Times New Roman" w:eastAsia="宋体" w:cs="Times New Roman"/>
          <w:color w:val="000000"/>
          <w:kern w:val="0"/>
          <w:sz w:val="24"/>
          <w:szCs w:val="24"/>
          <w:lang w:val="en-US" w:eastAsia="zh-CN" w:bidi="ar"/>
        </w:rPr>
        <w:t>，其中甲醛产生量为</w:t>
      </w:r>
      <w:r>
        <w:rPr>
          <w:rFonts w:hint="eastAsia"/>
          <w:lang w:val="en-US" w:eastAsia="zh-CN"/>
        </w:rPr>
        <w:t>0.36</w:t>
      </w:r>
      <w:r>
        <w:t>t/a</w:t>
      </w:r>
      <w:r>
        <w:rPr>
          <w:rFonts w:hint="eastAsia"/>
          <w:lang w:eastAsia="zh-CN"/>
        </w:rPr>
        <w:t>；</w:t>
      </w:r>
      <w:r>
        <w:rPr>
          <w:rFonts w:hint="eastAsia"/>
          <w:lang w:val="en-US" w:eastAsia="zh-CN"/>
        </w:rPr>
        <w:t>剩余以非甲烷总烃计，产生量为5.58t/a。</w:t>
      </w:r>
    </w:p>
    <w:p w14:paraId="2FE029D7">
      <w:pPr>
        <w:bidi w:val="0"/>
        <w:rPr>
          <w:rFonts w:hint="default"/>
          <w:lang w:val="en-US"/>
        </w:rPr>
      </w:pPr>
      <w:r>
        <w:rPr>
          <w:rFonts w:hint="eastAsia" w:ascii="宋体" w:hAnsi="宋体" w:eastAsia="宋体" w:cs="宋体"/>
          <w:color w:val="000000"/>
          <w:kern w:val="0"/>
          <w:sz w:val="24"/>
          <w:szCs w:val="24"/>
          <w:lang w:val="en-US" w:eastAsia="zh-CN" w:bidi="ar"/>
        </w:rPr>
        <w:t>③工件清理工序</w:t>
      </w:r>
    </w:p>
    <w:p w14:paraId="660274EE">
      <w:pPr>
        <w:keepNext w:val="0"/>
        <w:keepLines w:val="0"/>
        <w:widowControl/>
        <w:suppressLineNumbers w:val="0"/>
        <w:jc w:val="left"/>
      </w:pPr>
      <w:r>
        <w:rPr>
          <w:rFonts w:hint="default" w:ascii="Times New Roman" w:hAnsi="Times New Roman" w:cs="Times New Roman"/>
          <w:lang w:val="en-US" w:eastAsia="zh-CN"/>
        </w:rPr>
        <w:t>铸件冷却后，</w:t>
      </w:r>
      <w:r>
        <w:rPr>
          <w:rFonts w:hint="default" w:ascii="Times New Roman" w:hAnsi="Times New Roman" w:eastAsia="宋体" w:cs="Times New Roman"/>
          <w:color w:val="000000"/>
          <w:kern w:val="0"/>
          <w:sz w:val="24"/>
          <w:szCs w:val="24"/>
          <w:lang w:val="en-US" w:eastAsia="zh-CN" w:bidi="ar"/>
        </w:rPr>
        <w:t>表面有部分粘砂和氧化铁皮，需要通过打磨机进行清理表面，同时对铸件上的缺陷进行清理。工件清理粉尘根据《排放源统计调查产排污核算方法和系数手册-金属制品业系数手册》（生态环境部办公厅2021年6月11日印发）中的“33-3，431-434 机械行业系数手册”中“06 预处理”中“抛丸、喷砂、打磨、滚筒-所有规模”的产污系数进行计算，打磨原料用量约占打磨工件量的</w:t>
      </w:r>
      <w:r>
        <w:rPr>
          <w:rFonts w:hint="eastAsia" w:ascii="Times New Roman" w:hAnsi="Times New Roman"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，具体见表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5</w:t>
      </w:r>
      <w:r>
        <w:rPr>
          <w:rFonts w:hint="eastAsia" w:ascii="宋体" w:hAnsi="宋体" w:eastAsia="宋体" w:cs="宋体"/>
          <w:color w:val="000000"/>
          <w:kern w:val="0"/>
          <w:sz w:val="24"/>
          <w:szCs w:val="24"/>
          <w:lang w:val="en-US" w:eastAsia="zh-CN" w:bidi="ar"/>
        </w:rPr>
        <w:t>。</w:t>
      </w:r>
    </w:p>
    <w:p w14:paraId="72DADE80">
      <w:pPr>
        <w:bidi w:val="0"/>
        <w:ind w:left="0" w:leftChars="0" w:firstLine="0" w:firstLineChars="0"/>
        <w:jc w:val="center"/>
        <w:rPr>
          <w:rFonts w:hint="eastAsia" w:eastAsia="宋体"/>
          <w:lang w:eastAsia="zh-CN"/>
        </w:rPr>
      </w:pPr>
      <w:r>
        <w:rPr>
          <w:rFonts w:hint="default" w:ascii="Times New Roman" w:hAnsi="Times New Roman" w:eastAsia="黑体" w:cs="Times New Roman"/>
          <w:lang w:val="en-US" w:eastAsia="zh-CN"/>
        </w:rPr>
        <w:t xml:space="preserve">表2.5-5 </w:t>
      </w:r>
      <w:r>
        <w:rPr>
          <w:rFonts w:hint="eastAsia" w:ascii="Times New Roman" w:hAnsi="Times New Roman" w:eastAsia="黑体" w:cs="Times New Roman"/>
          <w:lang w:val="en-US" w:eastAsia="zh-CN"/>
        </w:rPr>
        <w:t xml:space="preserve"> 打磨</w:t>
      </w:r>
      <w:r>
        <w:rPr>
          <w:rFonts w:hint="default" w:ascii="Times New Roman" w:hAnsi="Times New Roman" w:eastAsia="黑体" w:cs="Times New Roman"/>
          <w:lang w:val="en-US" w:eastAsia="zh-CN"/>
        </w:rPr>
        <w:t>废气</w:t>
      </w:r>
      <w:r>
        <w:rPr>
          <w:rFonts w:hint="default" w:ascii="Times New Roman" w:hAnsi="Times New Roman" w:eastAsia="黑体" w:cs="Times New Roman"/>
          <w:bCs/>
          <w:color w:val="000000"/>
          <w:spacing w:val="-10"/>
          <w:sz w:val="24"/>
          <w:lang w:val="en-US" w:eastAsia="zh-CN"/>
        </w:rPr>
        <w:t>产污系数</w:t>
      </w:r>
      <w:r>
        <w:rPr>
          <w:rFonts w:hint="default" w:ascii="Times New Roman" w:hAnsi="Times New Roman" w:eastAsia="黑体" w:cs="Times New Roman"/>
          <w:lang w:val="en-US" w:eastAsia="zh-CN"/>
        </w:rPr>
        <w:t>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429"/>
        <w:gridCol w:w="1041"/>
        <w:gridCol w:w="1295"/>
        <w:gridCol w:w="1782"/>
        <w:gridCol w:w="1650"/>
        <w:gridCol w:w="1497"/>
      </w:tblGrid>
      <w:tr w14:paraId="2EE04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5" w:type="pct"/>
            <w:vAlign w:val="center"/>
          </w:tcPr>
          <w:p w14:paraId="615126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核算环节</w:t>
            </w:r>
          </w:p>
        </w:tc>
        <w:tc>
          <w:tcPr>
            <w:tcW w:w="732" w:type="pct"/>
            <w:vAlign w:val="center"/>
          </w:tcPr>
          <w:p w14:paraId="040F10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原料名称</w:t>
            </w:r>
          </w:p>
        </w:tc>
        <w:tc>
          <w:tcPr>
            <w:tcW w:w="533" w:type="pct"/>
            <w:vAlign w:val="center"/>
          </w:tcPr>
          <w:p w14:paraId="69AE3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规模等级</w:t>
            </w:r>
          </w:p>
        </w:tc>
        <w:tc>
          <w:tcPr>
            <w:tcW w:w="663" w:type="pct"/>
            <w:vAlign w:val="center"/>
          </w:tcPr>
          <w:p w14:paraId="0E335A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污染物指标</w:t>
            </w:r>
          </w:p>
        </w:tc>
        <w:tc>
          <w:tcPr>
            <w:tcW w:w="913" w:type="pct"/>
            <w:vAlign w:val="center"/>
          </w:tcPr>
          <w:p w14:paraId="2DAE6D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产污系数</w:t>
            </w:r>
          </w:p>
        </w:tc>
        <w:tc>
          <w:tcPr>
            <w:tcW w:w="845" w:type="pct"/>
            <w:vAlign w:val="center"/>
          </w:tcPr>
          <w:p w14:paraId="2334D3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lang w:val="en-US" w:eastAsia="zh-CN"/>
              </w:rPr>
            </w:pPr>
            <w:r>
              <w:rPr>
                <w:rFonts w:hint="default" w:ascii="Times New Roman" w:hAnsi="Times New Roman" w:cs="Times New Roman"/>
                <w:bCs/>
                <w:color w:val="000000"/>
                <w:spacing w:val="-10"/>
                <w:sz w:val="21"/>
                <w:szCs w:val="21"/>
                <w:vertAlign w:val="baseline"/>
                <w:lang w:val="en-US" w:eastAsia="zh-CN"/>
              </w:rPr>
              <w:t>原料规模</w:t>
            </w:r>
          </w:p>
        </w:tc>
        <w:tc>
          <w:tcPr>
            <w:tcW w:w="767" w:type="pct"/>
            <w:vAlign w:val="center"/>
          </w:tcPr>
          <w:p w14:paraId="5BF313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lang w:val="en-US" w:eastAsia="zh-CN"/>
              </w:rPr>
            </w:pPr>
            <w:r>
              <w:rPr>
                <w:rFonts w:hint="default" w:ascii="Times New Roman" w:hAnsi="Times New Roman" w:cs="Times New Roman"/>
                <w:bCs/>
                <w:color w:val="000000"/>
                <w:spacing w:val="-10"/>
                <w:sz w:val="21"/>
                <w:szCs w:val="21"/>
                <w:vertAlign w:val="baseline"/>
                <w:lang w:val="en-US" w:eastAsia="zh-CN"/>
              </w:rPr>
              <w:t>污染物产生量</w:t>
            </w:r>
          </w:p>
        </w:tc>
      </w:tr>
      <w:tr w14:paraId="48160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545" w:type="pct"/>
            <w:vAlign w:val="center"/>
          </w:tcPr>
          <w:p w14:paraId="349867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spacing w:val="-10"/>
                <w:sz w:val="21"/>
                <w:szCs w:val="21"/>
                <w:vertAlign w:val="baseline"/>
                <w:lang w:val="en-US" w:eastAsia="zh-CN"/>
              </w:rPr>
            </w:pPr>
            <w:r>
              <w:rPr>
                <w:rFonts w:hint="default" w:ascii="Times New Roman" w:hAnsi="Times New Roman" w:cs="Times New Roman"/>
                <w:bCs/>
                <w:color w:val="000000"/>
                <w:spacing w:val="-10"/>
                <w:sz w:val="21"/>
                <w:szCs w:val="21"/>
                <w:vertAlign w:val="baseline"/>
                <w:lang w:val="en-US" w:eastAsia="zh-CN"/>
              </w:rPr>
              <w:t>打磨</w:t>
            </w:r>
          </w:p>
        </w:tc>
        <w:tc>
          <w:tcPr>
            <w:tcW w:w="732" w:type="pct"/>
            <w:vAlign w:val="center"/>
          </w:tcPr>
          <w:p w14:paraId="362D3E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铸件</w:t>
            </w:r>
          </w:p>
        </w:tc>
        <w:tc>
          <w:tcPr>
            <w:tcW w:w="533" w:type="pct"/>
            <w:vAlign w:val="center"/>
          </w:tcPr>
          <w:p w14:paraId="0087E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spacing w:val="-10"/>
                <w:sz w:val="21"/>
                <w:szCs w:val="21"/>
                <w:vertAlign w:val="baseline"/>
                <w:lang w:val="en-US" w:eastAsia="zh-CN"/>
              </w:rPr>
            </w:pPr>
            <w:r>
              <w:rPr>
                <w:rFonts w:hint="default" w:ascii="Times New Roman" w:hAnsi="Times New Roman" w:cs="Times New Roman"/>
                <w:bCs/>
                <w:color w:val="000000"/>
                <w:spacing w:val="-10"/>
                <w:sz w:val="21"/>
                <w:szCs w:val="21"/>
                <w:vertAlign w:val="baseline"/>
                <w:lang w:val="en-US" w:eastAsia="zh-CN"/>
              </w:rPr>
              <w:t>所有规模</w:t>
            </w:r>
          </w:p>
        </w:tc>
        <w:tc>
          <w:tcPr>
            <w:tcW w:w="663" w:type="pct"/>
            <w:vAlign w:val="center"/>
          </w:tcPr>
          <w:p w14:paraId="648486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vertAlign w:val="baseline"/>
              </w:rPr>
            </w:pPr>
            <w:r>
              <w:rPr>
                <w:rFonts w:hint="default" w:ascii="Times New Roman" w:hAnsi="Times New Roman" w:cs="Times New Roman"/>
                <w:bCs/>
                <w:color w:val="000000"/>
                <w:spacing w:val="-10"/>
                <w:sz w:val="21"/>
                <w:szCs w:val="21"/>
                <w:vertAlign w:val="baseline"/>
                <w:lang w:val="en-US" w:eastAsia="zh-CN"/>
              </w:rPr>
              <w:t>颗粒物</w:t>
            </w:r>
          </w:p>
        </w:tc>
        <w:tc>
          <w:tcPr>
            <w:tcW w:w="913" w:type="pct"/>
            <w:vAlign w:val="center"/>
          </w:tcPr>
          <w:p w14:paraId="360E6E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00"/>
                <w:spacing w:val="-10"/>
                <w:sz w:val="21"/>
                <w:szCs w:val="21"/>
                <w:vertAlign w:val="baseline"/>
                <w:lang w:val="en-US" w:eastAsia="zh-CN"/>
              </w:rPr>
            </w:pPr>
            <w:r>
              <w:rPr>
                <w:rFonts w:hint="default" w:ascii="Times New Roman" w:hAnsi="Times New Roman" w:cs="Times New Roman"/>
                <w:bCs/>
                <w:color w:val="000000"/>
                <w:spacing w:val="-10"/>
                <w:sz w:val="21"/>
                <w:szCs w:val="21"/>
                <w:vertAlign w:val="baseline"/>
                <w:lang w:val="en-US" w:eastAsia="zh-CN"/>
              </w:rPr>
              <w:t>2.19kg/t-原料</w:t>
            </w:r>
          </w:p>
        </w:tc>
        <w:tc>
          <w:tcPr>
            <w:tcW w:w="845" w:type="pct"/>
            <w:vAlign w:val="center"/>
          </w:tcPr>
          <w:p w14:paraId="10C6ED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000000"/>
                <w:spacing w:val="-10"/>
                <w:sz w:val="21"/>
                <w:szCs w:val="21"/>
                <w:highlight w:val="none"/>
                <w:vertAlign w:val="baseline"/>
                <w:lang w:val="en-US" w:eastAsia="zh-CN"/>
              </w:rPr>
            </w:pPr>
            <w:r>
              <w:rPr>
                <w:rFonts w:hint="default" w:ascii="Times New Roman" w:hAnsi="Times New Roman" w:cs="Times New Roman"/>
                <w:bCs/>
                <w:color w:val="000000"/>
                <w:spacing w:val="-10"/>
                <w:sz w:val="21"/>
                <w:szCs w:val="21"/>
                <w:highlight w:val="none"/>
                <w:vertAlign w:val="baseline"/>
                <w:lang w:val="en-US" w:eastAsia="zh-CN"/>
              </w:rPr>
              <w:t>12629.038/a×5%=631.452t/a</w:t>
            </w:r>
          </w:p>
        </w:tc>
        <w:tc>
          <w:tcPr>
            <w:tcW w:w="767" w:type="pct"/>
            <w:vAlign w:val="center"/>
          </w:tcPr>
          <w:p w14:paraId="275F58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val="0"/>
                <w:color w:val="000000"/>
                <w:spacing w:val="-10"/>
                <w:sz w:val="21"/>
                <w:szCs w:val="21"/>
                <w:highlight w:val="none"/>
                <w:vertAlign w:val="baseline"/>
                <w:lang w:val="en-US" w:eastAsia="zh-CN"/>
              </w:rPr>
            </w:pPr>
            <w:r>
              <w:rPr>
                <w:rFonts w:hint="eastAsia" w:ascii="Times New Roman" w:hAnsi="Times New Roman" w:cs="Times New Roman"/>
                <w:bCs/>
                <w:color w:val="000000"/>
                <w:spacing w:val="-10"/>
                <w:sz w:val="21"/>
                <w:szCs w:val="21"/>
                <w:highlight w:val="none"/>
                <w:vertAlign w:val="baseline"/>
                <w:lang w:val="en-US" w:eastAsia="zh-CN"/>
              </w:rPr>
              <w:t>1.383</w:t>
            </w:r>
            <w:r>
              <w:rPr>
                <w:rFonts w:hint="default" w:ascii="Times New Roman" w:hAnsi="Times New Roman" w:cs="Times New Roman"/>
                <w:bCs/>
                <w:color w:val="000000"/>
                <w:spacing w:val="-10"/>
                <w:sz w:val="21"/>
                <w:szCs w:val="21"/>
                <w:highlight w:val="none"/>
                <w:vertAlign w:val="baseline"/>
                <w:lang w:val="en-US" w:eastAsia="zh-CN"/>
              </w:rPr>
              <w:t>t/a</w:t>
            </w:r>
          </w:p>
        </w:tc>
      </w:tr>
    </w:tbl>
    <w:p w14:paraId="3845E104">
      <w:pPr>
        <w:bidi w:val="0"/>
        <w:rPr>
          <w:rFonts w:hint="default"/>
          <w:lang w:val="en-US" w:eastAsia="zh-CN"/>
        </w:rPr>
      </w:pPr>
      <w:r>
        <w:rPr>
          <w:rFonts w:hint="eastAsia" w:ascii="宋体" w:hAnsi="宋体" w:eastAsia="宋体" w:cs="宋体"/>
          <w:lang w:val="en-US" w:eastAsia="zh-CN"/>
        </w:rPr>
        <w:t>④</w:t>
      </w:r>
      <w:r>
        <w:rPr>
          <w:rFonts w:hint="eastAsia"/>
          <w:lang w:val="en-US" w:eastAsia="zh-CN"/>
        </w:rPr>
        <w:t>不合格品回用切割工序</w:t>
      </w:r>
    </w:p>
    <w:p w14:paraId="429EE67E">
      <w:pPr>
        <w:bidi w:val="0"/>
        <w:rPr>
          <w:rFonts w:hint="default" w:eastAsia="宋体"/>
          <w:lang w:val="en-US" w:eastAsia="zh-CN"/>
        </w:rPr>
      </w:pPr>
      <w:r>
        <w:rPr>
          <w:rFonts w:hint="eastAsia"/>
          <w:lang w:val="en-US" w:eastAsia="zh-CN"/>
        </w:rPr>
        <w:t>项目检验过程会产生不合格品需要回用于熔炼工序，需要通过切割机切割后才能回用于生产。切割粉尘根据</w:t>
      </w:r>
      <w:r>
        <w:rPr>
          <w:rFonts w:hint="eastAsia" w:ascii="宋体" w:hAnsi="宋体" w:eastAsia="宋体" w:cs="宋体"/>
          <w:color w:val="000000"/>
          <w:kern w:val="0"/>
          <w:sz w:val="24"/>
          <w:szCs w:val="24"/>
          <w:lang w:val="en-US" w:eastAsia="zh-CN" w:bidi="ar"/>
        </w:rPr>
        <w:t>《排放源统计调查产排污核算方法和系数手册</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金属制品业系数手册》（生态环境部办公厅</w:t>
      </w:r>
      <w:r>
        <w:rPr>
          <w:rFonts w:hint="default" w:ascii="Times New Roman" w:hAnsi="Times New Roman" w:eastAsia="宋体" w:cs="Times New Roman"/>
          <w:color w:val="000000"/>
          <w:kern w:val="0"/>
          <w:sz w:val="24"/>
          <w:szCs w:val="24"/>
          <w:lang w:val="en-US" w:eastAsia="zh-CN" w:bidi="ar"/>
        </w:rPr>
        <w:t>2021</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11</w:t>
      </w:r>
      <w:r>
        <w:rPr>
          <w:rFonts w:hint="eastAsia" w:ascii="宋体" w:hAnsi="宋体" w:eastAsia="宋体" w:cs="宋体"/>
          <w:color w:val="000000"/>
          <w:kern w:val="0"/>
          <w:sz w:val="24"/>
          <w:szCs w:val="24"/>
          <w:lang w:val="en-US" w:eastAsia="zh-CN" w:bidi="ar"/>
        </w:rPr>
        <w:t>日印发）中的“</w:t>
      </w:r>
      <w:r>
        <w:rPr>
          <w:rFonts w:hint="default" w:ascii="Times New Roman" w:hAnsi="Times New Roman" w:eastAsia="宋体" w:cs="Times New Roman"/>
          <w:color w:val="000000"/>
          <w:kern w:val="0"/>
          <w:sz w:val="24"/>
          <w:szCs w:val="24"/>
          <w:lang w:val="en-US" w:eastAsia="zh-CN" w:bidi="ar"/>
        </w:rPr>
        <w:t>33-3</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431-434 </w:t>
      </w:r>
      <w:r>
        <w:rPr>
          <w:rFonts w:hint="eastAsia" w:ascii="宋体" w:hAnsi="宋体" w:eastAsia="宋体" w:cs="宋体"/>
          <w:color w:val="000000"/>
          <w:kern w:val="0"/>
          <w:sz w:val="24"/>
          <w:szCs w:val="24"/>
          <w:lang w:val="en-US" w:eastAsia="zh-CN" w:bidi="ar"/>
        </w:rPr>
        <w:t>机械行业系数手册”中“</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下料”中“锯床、砂轮切割机切割</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所有规模”的产污系数进行计算，具体见表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6。</w:t>
      </w:r>
    </w:p>
    <w:p w14:paraId="76196D22">
      <w:pPr>
        <w:bidi w:val="0"/>
        <w:ind w:left="0" w:leftChars="0" w:firstLine="0" w:firstLineChars="0"/>
        <w:jc w:val="center"/>
        <w:rPr>
          <w:rFonts w:hint="eastAsia" w:eastAsia="宋体"/>
          <w:lang w:eastAsia="zh-CN"/>
        </w:rPr>
      </w:pPr>
      <w:r>
        <w:rPr>
          <w:rFonts w:hint="default" w:ascii="Times New Roman" w:hAnsi="Times New Roman" w:eastAsia="黑体" w:cs="Times New Roman"/>
          <w:lang w:val="en-US" w:eastAsia="zh-CN"/>
        </w:rPr>
        <w:t>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6</w:t>
      </w:r>
      <w:r>
        <w:rPr>
          <w:rFonts w:hint="default" w:ascii="Times New Roman" w:hAnsi="Times New Roman" w:eastAsia="黑体" w:cs="Times New Roman"/>
          <w:lang w:val="en-US" w:eastAsia="zh-CN"/>
        </w:rPr>
        <w:t xml:space="preserve"> </w:t>
      </w:r>
      <w:r>
        <w:rPr>
          <w:rFonts w:hint="eastAsia" w:ascii="Times New Roman" w:hAnsi="Times New Roman" w:eastAsia="黑体" w:cs="Times New Roman"/>
          <w:lang w:val="en-US" w:eastAsia="zh-CN"/>
        </w:rPr>
        <w:t xml:space="preserve"> 切割</w:t>
      </w:r>
      <w:r>
        <w:rPr>
          <w:rFonts w:hint="default" w:ascii="Times New Roman" w:hAnsi="Times New Roman" w:eastAsia="黑体" w:cs="Times New Roman"/>
          <w:lang w:val="en-US" w:eastAsia="zh-CN"/>
        </w:rPr>
        <w:t>废气</w:t>
      </w:r>
      <w:r>
        <w:rPr>
          <w:rFonts w:hint="default" w:ascii="Times New Roman" w:hAnsi="Times New Roman" w:eastAsia="黑体" w:cs="Times New Roman"/>
          <w:bCs/>
          <w:color w:val="000000"/>
          <w:spacing w:val="-10"/>
          <w:sz w:val="24"/>
          <w:lang w:val="en-US" w:eastAsia="zh-CN"/>
        </w:rPr>
        <w:t>产污系数</w:t>
      </w:r>
      <w:r>
        <w:rPr>
          <w:rFonts w:hint="default" w:ascii="Times New Roman" w:hAnsi="Times New Roman" w:eastAsia="黑体" w:cs="Times New Roman"/>
          <w:lang w:val="en-US" w:eastAsia="zh-CN"/>
        </w:rPr>
        <w:t>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1596"/>
        <w:gridCol w:w="1209"/>
        <w:gridCol w:w="1461"/>
        <w:gridCol w:w="1420"/>
        <w:gridCol w:w="1420"/>
        <w:gridCol w:w="1420"/>
      </w:tblGrid>
      <w:tr w14:paraId="5B487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1" w:type="pct"/>
            <w:vAlign w:val="center"/>
          </w:tcPr>
          <w:p w14:paraId="2251F1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7" w:type="pct"/>
            <w:vAlign w:val="center"/>
          </w:tcPr>
          <w:p w14:paraId="01E08B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9" w:type="pct"/>
            <w:vAlign w:val="center"/>
          </w:tcPr>
          <w:p w14:paraId="051481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1B9C4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1CA95E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727" w:type="pct"/>
            <w:vAlign w:val="center"/>
          </w:tcPr>
          <w:p w14:paraId="30D036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原料规模</w:t>
            </w:r>
          </w:p>
        </w:tc>
        <w:tc>
          <w:tcPr>
            <w:tcW w:w="727" w:type="pct"/>
            <w:vAlign w:val="center"/>
          </w:tcPr>
          <w:p w14:paraId="358F3D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6CC32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Align w:val="center"/>
          </w:tcPr>
          <w:p w14:paraId="6DA19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切割</w:t>
            </w:r>
          </w:p>
        </w:tc>
        <w:tc>
          <w:tcPr>
            <w:tcW w:w="817" w:type="pct"/>
            <w:vAlign w:val="center"/>
          </w:tcPr>
          <w:p w14:paraId="2DDC5F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不合格铸件</w:t>
            </w:r>
          </w:p>
        </w:tc>
        <w:tc>
          <w:tcPr>
            <w:tcW w:w="619" w:type="pct"/>
            <w:vAlign w:val="center"/>
          </w:tcPr>
          <w:p w14:paraId="288C3D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391A6D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5FAA56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5.30kg/t-原料</w:t>
            </w:r>
          </w:p>
        </w:tc>
        <w:tc>
          <w:tcPr>
            <w:tcW w:w="727" w:type="pct"/>
            <w:vAlign w:val="center"/>
          </w:tcPr>
          <w:p w14:paraId="60287A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highlight w:val="yellow"/>
                <w:vertAlign w:val="baseline"/>
                <w:lang w:val="en-US" w:eastAsia="zh-CN"/>
              </w:rPr>
            </w:pPr>
            <w:r>
              <w:rPr>
                <w:rFonts w:hint="eastAsia"/>
                <w:bCs/>
                <w:color w:val="000000"/>
                <w:spacing w:val="-10"/>
                <w:sz w:val="21"/>
                <w:szCs w:val="21"/>
                <w:highlight w:val="none"/>
                <w:vertAlign w:val="baseline"/>
                <w:lang w:val="en-US" w:eastAsia="zh-CN"/>
              </w:rPr>
              <w:t>600t/a</w:t>
            </w:r>
          </w:p>
        </w:tc>
        <w:tc>
          <w:tcPr>
            <w:tcW w:w="727" w:type="pct"/>
            <w:vAlign w:val="center"/>
          </w:tcPr>
          <w:p w14:paraId="0182DC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highlight w:val="yellow"/>
                <w:vertAlign w:val="baseline"/>
                <w:lang w:val="en-US" w:eastAsia="zh-CN"/>
              </w:rPr>
            </w:pPr>
            <w:r>
              <w:rPr>
                <w:rFonts w:hint="eastAsia"/>
                <w:bCs/>
                <w:color w:val="000000"/>
                <w:spacing w:val="-10"/>
                <w:sz w:val="21"/>
                <w:szCs w:val="21"/>
                <w:highlight w:val="none"/>
                <w:vertAlign w:val="baseline"/>
                <w:lang w:val="en-US" w:eastAsia="zh-CN"/>
              </w:rPr>
              <w:t>3.18t/a</w:t>
            </w:r>
          </w:p>
        </w:tc>
      </w:tr>
    </w:tbl>
    <w:p w14:paraId="56E626D9">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综上所述，本次环评要求</w:t>
      </w:r>
      <w:r>
        <w:rPr>
          <w:rFonts w:hint="default" w:ascii="Times New Roman" w:hAnsi="Times New Roman" w:eastAsia="宋体" w:cs="Times New Roman"/>
          <w:lang w:val="en-US" w:eastAsia="zh-CN"/>
        </w:rPr>
        <w:t>混砂、造型/浇注、工件清理和不合格品回用切割</w:t>
      </w:r>
      <w:r>
        <w:rPr>
          <w:rFonts w:hint="default" w:ascii="Times New Roman" w:hAnsi="Times New Roman" w:eastAsia="宋体" w:cs="Times New Roman"/>
          <w:color w:val="000000"/>
          <w:sz w:val="24"/>
          <w:lang w:val="en-US" w:eastAsia="zh-CN"/>
        </w:rPr>
        <w:t>工序</w:t>
      </w:r>
      <w:r>
        <w:rPr>
          <w:rFonts w:hint="eastAsia" w:ascii="Times New Roman" w:hAnsi="Times New Roman" w:eastAsia="宋体" w:cs="Times New Roman"/>
          <w:color w:val="000000"/>
          <w:kern w:val="0"/>
          <w:sz w:val="24"/>
          <w:szCs w:val="24"/>
          <w:lang w:val="en-US" w:eastAsia="zh-CN" w:bidi="ar"/>
        </w:rPr>
        <w:t>废气</w:t>
      </w:r>
      <w:r>
        <w:rPr>
          <w:rFonts w:hint="default" w:ascii="Times New Roman" w:hAnsi="Times New Roman" w:eastAsia="宋体" w:cs="Times New Roman"/>
          <w:color w:val="000000"/>
          <w:kern w:val="0"/>
          <w:sz w:val="24"/>
          <w:szCs w:val="24"/>
          <w:lang w:val="en-US" w:eastAsia="zh-CN" w:bidi="ar"/>
        </w:rPr>
        <w:t>经袋式除尘器+催化燃烧（RCO）处理后经1根15m高排气筒排放，</w:t>
      </w:r>
      <w:r>
        <w:rPr>
          <w:rFonts w:hint="eastAsia" w:ascii="Times New Roman" w:hAnsi="Times New Roman" w:eastAsia="宋体" w:cs="Times New Roman"/>
          <w:color w:val="000000"/>
          <w:kern w:val="0"/>
          <w:sz w:val="24"/>
          <w:szCs w:val="24"/>
          <w:lang w:val="en-US" w:eastAsia="zh-CN" w:bidi="ar"/>
        </w:rPr>
        <w:t>混砂机</w:t>
      </w:r>
      <w:r>
        <w:rPr>
          <w:rFonts w:hint="default" w:ascii="Times New Roman" w:hAnsi="Times New Roman" w:eastAsia="宋体" w:cs="Times New Roman"/>
          <w:color w:val="000000"/>
          <w:kern w:val="0"/>
          <w:sz w:val="24"/>
          <w:szCs w:val="24"/>
          <w:lang w:val="en-US" w:eastAsia="zh-CN" w:bidi="ar"/>
        </w:rPr>
        <w:t>为全封闭设备，收集效率以100%计，</w:t>
      </w:r>
      <w:r>
        <w:rPr>
          <w:rFonts w:hint="eastAsia" w:ascii="Times New Roman" w:hAnsi="Times New Roman" w:eastAsia="宋体" w:cs="Times New Roman"/>
          <w:color w:val="000000"/>
          <w:kern w:val="0"/>
          <w:sz w:val="24"/>
          <w:szCs w:val="24"/>
          <w:lang w:val="en-US" w:eastAsia="zh-CN" w:bidi="ar"/>
        </w:rPr>
        <w:t>造型/浇注区设置集气罩，</w:t>
      </w:r>
      <w:r>
        <w:rPr>
          <w:rFonts w:hint="eastAsia"/>
          <w:bCs/>
          <w:color w:val="000000"/>
          <w:spacing w:val="-10"/>
          <w:sz w:val="24"/>
          <w:lang w:val="en-US" w:eastAsia="zh-CN"/>
        </w:rPr>
        <w:t>收集效率以</w:t>
      </w:r>
      <w:r>
        <w:rPr>
          <w:rFonts w:hint="default"/>
          <w:bCs/>
          <w:color w:val="000000"/>
          <w:spacing w:val="-10"/>
          <w:sz w:val="24"/>
          <w:lang w:val="en-US" w:eastAsia="zh-CN"/>
        </w:rPr>
        <w:t>9</w:t>
      </w:r>
      <w:r>
        <w:rPr>
          <w:rFonts w:hint="eastAsia"/>
          <w:bCs/>
          <w:color w:val="000000"/>
          <w:spacing w:val="-10"/>
          <w:sz w:val="24"/>
          <w:lang w:val="en-US" w:eastAsia="zh-CN"/>
        </w:rPr>
        <w:t>0</w:t>
      </w:r>
      <w:r>
        <w:rPr>
          <w:rFonts w:hint="default"/>
          <w:bCs/>
          <w:color w:val="000000"/>
          <w:spacing w:val="-10"/>
          <w:sz w:val="24"/>
          <w:lang w:val="en-US" w:eastAsia="zh-CN"/>
        </w:rPr>
        <w:t>%</w:t>
      </w:r>
      <w:r>
        <w:rPr>
          <w:rFonts w:hint="eastAsia"/>
          <w:bCs/>
          <w:color w:val="000000"/>
          <w:spacing w:val="-10"/>
          <w:sz w:val="24"/>
          <w:lang w:val="en-US" w:eastAsia="zh-CN"/>
        </w:rPr>
        <w:t>计，</w:t>
      </w:r>
      <w:r>
        <w:rPr>
          <w:rFonts w:hint="eastAsia" w:ascii="Times New Roman" w:hAnsi="Times New Roman" w:eastAsia="宋体" w:cs="Times New Roman"/>
          <w:color w:val="000000"/>
          <w:kern w:val="0"/>
          <w:sz w:val="24"/>
          <w:szCs w:val="24"/>
          <w:lang w:val="en-US" w:eastAsia="zh-CN" w:bidi="ar"/>
        </w:rPr>
        <w:t>打磨区和切割区在密闭空间内进行，</w:t>
      </w:r>
      <w:r>
        <w:rPr>
          <w:rFonts w:hint="eastAsia"/>
          <w:bCs/>
          <w:color w:val="000000"/>
          <w:spacing w:val="-10"/>
          <w:sz w:val="24"/>
          <w:lang w:val="en-US" w:eastAsia="zh-CN"/>
        </w:rPr>
        <w:t>收集效率以</w:t>
      </w:r>
      <w:r>
        <w:rPr>
          <w:rFonts w:hint="default"/>
          <w:bCs/>
          <w:color w:val="000000"/>
          <w:spacing w:val="-10"/>
          <w:sz w:val="24"/>
          <w:lang w:val="en-US" w:eastAsia="zh-CN"/>
        </w:rPr>
        <w:t>9</w:t>
      </w:r>
      <w:r>
        <w:rPr>
          <w:rFonts w:hint="eastAsia"/>
          <w:bCs/>
          <w:color w:val="000000"/>
          <w:spacing w:val="-10"/>
          <w:sz w:val="24"/>
          <w:lang w:val="en-US" w:eastAsia="zh-CN"/>
        </w:rPr>
        <w:t>5</w:t>
      </w:r>
      <w:r>
        <w:rPr>
          <w:rFonts w:hint="default"/>
          <w:bCs/>
          <w:color w:val="000000"/>
          <w:spacing w:val="-10"/>
          <w:sz w:val="24"/>
          <w:lang w:val="en-US" w:eastAsia="zh-CN"/>
        </w:rPr>
        <w:t>%</w:t>
      </w:r>
      <w:r>
        <w:rPr>
          <w:rFonts w:hint="eastAsia"/>
          <w:bCs/>
          <w:color w:val="000000"/>
          <w:spacing w:val="-10"/>
          <w:sz w:val="24"/>
          <w:lang w:val="en-US" w:eastAsia="zh-CN"/>
        </w:rPr>
        <w:t>计，</w:t>
      </w:r>
      <w:r>
        <w:rPr>
          <w:rFonts w:hint="default" w:ascii="Times New Roman" w:hAnsi="Times New Roman" w:eastAsia="宋体" w:cs="Times New Roman"/>
          <w:color w:val="000000"/>
          <w:kern w:val="0"/>
          <w:sz w:val="24"/>
          <w:szCs w:val="24"/>
          <w:lang w:val="en-US" w:eastAsia="zh-CN" w:bidi="ar"/>
        </w:rPr>
        <w:t>除尘效率</w:t>
      </w:r>
      <w:r>
        <w:rPr>
          <w:rFonts w:hint="eastAsia" w:ascii="Times New Roman" w:hAnsi="Times New Roman" w:eastAsia="宋体" w:cs="Times New Roman"/>
          <w:color w:val="000000"/>
          <w:kern w:val="0"/>
          <w:sz w:val="24"/>
          <w:szCs w:val="24"/>
          <w:lang w:val="en-US" w:eastAsia="zh-CN" w:bidi="ar"/>
        </w:rPr>
        <w:t>按</w:t>
      </w:r>
      <w:r>
        <w:rPr>
          <w:rFonts w:hint="default" w:ascii="Times New Roman" w:hAnsi="Times New Roman" w:eastAsia="宋体" w:cs="Times New Roman"/>
          <w:color w:val="000000"/>
          <w:kern w:val="0"/>
          <w:sz w:val="24"/>
          <w:szCs w:val="24"/>
          <w:lang w:val="en-US" w:eastAsia="zh-CN" w:bidi="ar"/>
        </w:rPr>
        <w:t>99%</w:t>
      </w:r>
      <w:r>
        <w:rPr>
          <w:rFonts w:hint="eastAsia" w:ascii="Times New Roman" w:hAnsi="Times New Roman" w:eastAsia="宋体" w:cs="Times New Roman"/>
          <w:color w:val="000000"/>
          <w:kern w:val="0"/>
          <w:sz w:val="24"/>
          <w:szCs w:val="24"/>
          <w:lang w:val="en-US" w:eastAsia="zh-CN" w:bidi="ar"/>
        </w:rPr>
        <w:t>计</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有机废气去除效率按95%计，</w:t>
      </w:r>
      <w:r>
        <w:rPr>
          <w:rFonts w:hint="default" w:ascii="Times New Roman" w:hAnsi="Times New Roman" w:eastAsia="宋体" w:cs="Times New Roman"/>
          <w:color w:val="000000"/>
          <w:kern w:val="0"/>
          <w:sz w:val="24"/>
          <w:szCs w:val="24"/>
          <w:lang w:val="en-US" w:eastAsia="zh-CN" w:bidi="ar"/>
        </w:rPr>
        <w:t>工作时间为</w:t>
      </w:r>
      <w:r>
        <w:rPr>
          <w:rFonts w:hint="eastAsia" w:cs="Times New Roman"/>
          <w:color w:val="000000"/>
          <w:kern w:val="0"/>
          <w:sz w:val="24"/>
          <w:szCs w:val="24"/>
          <w:lang w:val="en-US" w:eastAsia="zh-CN" w:bidi="ar"/>
        </w:rPr>
        <w:t>5280</w:t>
      </w:r>
      <w:r>
        <w:rPr>
          <w:rFonts w:hint="default" w:ascii="Times New Roman" w:hAnsi="Times New Roman" w:eastAsia="宋体" w:cs="Times New Roman"/>
          <w:color w:val="000000"/>
          <w:kern w:val="0"/>
          <w:sz w:val="24"/>
          <w:szCs w:val="24"/>
          <w:lang w:val="en-US" w:eastAsia="zh-CN" w:bidi="ar"/>
        </w:rPr>
        <w:t>h/a，则</w:t>
      </w:r>
      <w:r>
        <w:rPr>
          <w:rFonts w:hint="default" w:ascii="Times New Roman" w:hAnsi="Times New Roman" w:eastAsia="宋体" w:cs="Times New Roman"/>
          <w:lang w:val="en-US" w:eastAsia="zh-CN"/>
        </w:rPr>
        <w:t>混砂、造型/浇注、工件清理和不合格品回用切割</w:t>
      </w:r>
      <w:r>
        <w:rPr>
          <w:rFonts w:hint="default" w:ascii="Times New Roman" w:hAnsi="Times New Roman" w:eastAsia="宋体" w:cs="Times New Roman"/>
          <w:color w:val="000000"/>
          <w:sz w:val="24"/>
          <w:lang w:val="en-US" w:eastAsia="zh-CN"/>
        </w:rPr>
        <w:t>工序</w:t>
      </w:r>
      <w:r>
        <w:rPr>
          <w:rFonts w:hint="eastAsia" w:ascii="Times New Roman" w:hAnsi="Times New Roman" w:eastAsia="宋体" w:cs="Times New Roman"/>
          <w:color w:val="000000"/>
          <w:kern w:val="0"/>
          <w:sz w:val="24"/>
          <w:szCs w:val="24"/>
          <w:lang w:val="en-US" w:eastAsia="zh-CN" w:bidi="ar"/>
        </w:rPr>
        <w:t>废气</w:t>
      </w:r>
      <w:r>
        <w:rPr>
          <w:rFonts w:hint="default" w:ascii="Times New Roman" w:hAnsi="Times New Roman" w:eastAsia="宋体" w:cs="Times New Roman"/>
          <w:color w:val="000000"/>
          <w:kern w:val="0"/>
          <w:sz w:val="24"/>
          <w:szCs w:val="24"/>
          <w:lang w:val="en-US" w:eastAsia="zh-CN" w:bidi="ar"/>
        </w:rPr>
        <w:t>的产排情况详见下表。</w:t>
      </w:r>
    </w:p>
    <w:p w14:paraId="4CC338D7">
      <w:pPr>
        <w:bidi w:val="0"/>
        <w:ind w:left="0" w:leftChars="0" w:firstLine="0" w:firstLineChars="0"/>
        <w:jc w:val="center"/>
        <w:rPr>
          <w:rFonts w:hint="eastAsia" w:eastAsia="宋体"/>
          <w:lang w:eastAsia="zh-CN"/>
        </w:rPr>
      </w:pPr>
      <w:r>
        <w:rPr>
          <w:rFonts w:hint="default" w:ascii="Times New Roman" w:hAnsi="Times New Roman" w:eastAsia="黑体" w:cs="Times New Roman"/>
          <w:lang w:val="en-US" w:eastAsia="zh-CN"/>
        </w:rPr>
        <w:t>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7</w:t>
      </w:r>
      <w:r>
        <w:rPr>
          <w:rFonts w:hint="default" w:ascii="Times New Roman" w:hAnsi="Times New Roman" w:eastAsia="黑体" w:cs="Times New Roman"/>
          <w:lang w:val="en-US" w:eastAsia="zh-CN"/>
        </w:rPr>
        <w:t xml:space="preserve">  混砂、造型/浇注、工件清理和不合格品回用切割工序废气污染物产排情况表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765"/>
        <w:gridCol w:w="748"/>
        <w:gridCol w:w="707"/>
        <w:gridCol w:w="837"/>
        <w:gridCol w:w="922"/>
        <w:gridCol w:w="1637"/>
        <w:gridCol w:w="689"/>
        <w:gridCol w:w="761"/>
        <w:gridCol w:w="775"/>
        <w:gridCol w:w="700"/>
        <w:gridCol w:w="735"/>
      </w:tblGrid>
      <w:tr w14:paraId="5D4B6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0CABD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污染物</w:t>
            </w:r>
          </w:p>
        </w:tc>
        <w:tc>
          <w:tcPr>
            <w:tcW w:w="384" w:type="pct"/>
            <w:vMerge w:val="restart"/>
            <w:vAlign w:val="center"/>
          </w:tcPr>
          <w:p w14:paraId="2503E8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总产生量</w:t>
            </w:r>
          </w:p>
        </w:tc>
        <w:tc>
          <w:tcPr>
            <w:tcW w:w="375" w:type="pct"/>
            <w:vMerge w:val="restart"/>
            <w:vAlign w:val="center"/>
          </w:tcPr>
          <w:p w14:paraId="7993D5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风机风量</w:t>
            </w:r>
          </w:p>
        </w:tc>
        <w:tc>
          <w:tcPr>
            <w:tcW w:w="1238" w:type="pct"/>
            <w:gridSpan w:val="3"/>
            <w:vAlign w:val="center"/>
          </w:tcPr>
          <w:p w14:paraId="67BE7A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有组织</w:t>
            </w:r>
          </w:p>
        </w:tc>
        <w:tc>
          <w:tcPr>
            <w:tcW w:w="822" w:type="pct"/>
            <w:vMerge w:val="restart"/>
            <w:vAlign w:val="center"/>
          </w:tcPr>
          <w:p w14:paraId="6B366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治理措施</w:t>
            </w:r>
          </w:p>
        </w:tc>
        <w:tc>
          <w:tcPr>
            <w:tcW w:w="1117" w:type="pct"/>
            <w:gridSpan w:val="3"/>
            <w:vAlign w:val="center"/>
          </w:tcPr>
          <w:p w14:paraId="291C0E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有组织</w:t>
            </w:r>
          </w:p>
        </w:tc>
        <w:tc>
          <w:tcPr>
            <w:tcW w:w="351" w:type="pct"/>
            <w:vMerge w:val="restart"/>
            <w:vAlign w:val="center"/>
          </w:tcPr>
          <w:p w14:paraId="6D961D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无组织产生量</w:t>
            </w:r>
          </w:p>
        </w:tc>
        <w:tc>
          <w:tcPr>
            <w:tcW w:w="369" w:type="pct"/>
            <w:vMerge w:val="restart"/>
            <w:vAlign w:val="center"/>
          </w:tcPr>
          <w:p w14:paraId="76FDE5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无组织排放量</w:t>
            </w:r>
          </w:p>
        </w:tc>
      </w:tr>
      <w:tr w14:paraId="1A97F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9EC45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84" w:type="pct"/>
            <w:vMerge w:val="continue"/>
            <w:vAlign w:val="center"/>
          </w:tcPr>
          <w:p w14:paraId="35C1D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75" w:type="pct"/>
            <w:vMerge w:val="continue"/>
            <w:vAlign w:val="center"/>
          </w:tcPr>
          <w:p w14:paraId="0E65DB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p>
        </w:tc>
        <w:tc>
          <w:tcPr>
            <w:tcW w:w="355" w:type="pct"/>
            <w:vAlign w:val="center"/>
          </w:tcPr>
          <w:p w14:paraId="1C558D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产生量</w:t>
            </w:r>
          </w:p>
        </w:tc>
        <w:tc>
          <w:tcPr>
            <w:tcW w:w="420" w:type="pct"/>
            <w:vAlign w:val="center"/>
          </w:tcPr>
          <w:p w14:paraId="4B52FE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产生速率</w:t>
            </w:r>
          </w:p>
        </w:tc>
        <w:tc>
          <w:tcPr>
            <w:tcW w:w="463" w:type="pct"/>
            <w:vAlign w:val="center"/>
          </w:tcPr>
          <w:p w14:paraId="4C07DB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产生浓度</w:t>
            </w:r>
          </w:p>
        </w:tc>
        <w:tc>
          <w:tcPr>
            <w:tcW w:w="822" w:type="pct"/>
            <w:vMerge w:val="continue"/>
            <w:vAlign w:val="center"/>
          </w:tcPr>
          <w:p w14:paraId="447974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46" w:type="pct"/>
            <w:vAlign w:val="center"/>
          </w:tcPr>
          <w:p w14:paraId="133991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排放量</w:t>
            </w:r>
          </w:p>
        </w:tc>
        <w:tc>
          <w:tcPr>
            <w:tcW w:w="382" w:type="pct"/>
            <w:vAlign w:val="center"/>
          </w:tcPr>
          <w:p w14:paraId="5EFBDB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排放速率</w:t>
            </w:r>
          </w:p>
        </w:tc>
        <w:tc>
          <w:tcPr>
            <w:tcW w:w="389" w:type="pct"/>
            <w:vAlign w:val="center"/>
          </w:tcPr>
          <w:p w14:paraId="14DF5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排放浓度</w:t>
            </w:r>
          </w:p>
        </w:tc>
        <w:tc>
          <w:tcPr>
            <w:tcW w:w="351" w:type="pct"/>
            <w:vMerge w:val="continue"/>
            <w:vAlign w:val="center"/>
          </w:tcPr>
          <w:p w14:paraId="4323B2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69" w:type="pct"/>
            <w:vMerge w:val="continue"/>
            <w:vAlign w:val="center"/>
          </w:tcPr>
          <w:p w14:paraId="1E8005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r>
      <w:tr w14:paraId="09BD8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525D54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颗粒物</w:t>
            </w:r>
          </w:p>
        </w:tc>
        <w:tc>
          <w:tcPr>
            <w:tcW w:w="384" w:type="pct"/>
            <w:vAlign w:val="center"/>
          </w:tcPr>
          <w:p w14:paraId="61BD91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sz w:val="21"/>
                <w:szCs w:val="21"/>
                <w:vertAlign w:val="baseline"/>
                <w:lang w:eastAsia="zh-CN"/>
              </w:rPr>
            </w:pPr>
            <w:r>
              <w:rPr>
                <w:rFonts w:hint="eastAsia"/>
                <w:bCs/>
                <w:color w:val="000000"/>
                <w:spacing w:val="-10"/>
                <w:sz w:val="21"/>
                <w:szCs w:val="21"/>
                <w:vertAlign w:val="baseline"/>
                <w:lang w:val="en-US" w:eastAsia="zh-CN"/>
              </w:rPr>
              <w:t>22.323t/a</w:t>
            </w:r>
          </w:p>
        </w:tc>
        <w:tc>
          <w:tcPr>
            <w:tcW w:w="375" w:type="pct"/>
            <w:vMerge w:val="restart"/>
            <w:vAlign w:val="center"/>
          </w:tcPr>
          <w:p w14:paraId="09BB89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20000m</w:t>
            </w:r>
            <w:r>
              <w:rPr>
                <w:rFonts w:hint="eastAsia"/>
                <w:sz w:val="21"/>
                <w:szCs w:val="21"/>
                <w:vertAlign w:val="superscript"/>
                <w:lang w:val="en-US" w:eastAsia="zh-CN"/>
              </w:rPr>
              <w:t>3</w:t>
            </w:r>
            <w:r>
              <w:rPr>
                <w:rFonts w:hint="eastAsia"/>
                <w:sz w:val="21"/>
                <w:szCs w:val="21"/>
                <w:vertAlign w:val="baseline"/>
                <w:lang w:val="en-US" w:eastAsia="zh-CN"/>
              </w:rPr>
              <w:t>/h</w:t>
            </w:r>
          </w:p>
        </w:tc>
        <w:tc>
          <w:tcPr>
            <w:tcW w:w="355" w:type="pct"/>
            <w:vAlign w:val="center"/>
          </w:tcPr>
          <w:p w14:paraId="42E418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bCs/>
                <w:color w:val="000000"/>
                <w:spacing w:val="-10"/>
                <w:sz w:val="21"/>
                <w:szCs w:val="21"/>
                <w:vertAlign w:val="baseline"/>
                <w:lang w:val="en-US" w:eastAsia="zh-CN"/>
              </w:rPr>
              <w:t>20.859t/a</w:t>
            </w:r>
          </w:p>
        </w:tc>
        <w:tc>
          <w:tcPr>
            <w:tcW w:w="837" w:type="dxa"/>
            <w:vAlign w:val="center"/>
          </w:tcPr>
          <w:p w14:paraId="603AC7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3.951</w:t>
            </w:r>
          </w:p>
          <w:p w14:paraId="15C637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sz w:val="21"/>
                <w:szCs w:val="21"/>
                <w:vertAlign w:val="baseline"/>
                <w:lang w:val="en-US" w:eastAsia="zh-CN"/>
              </w:rPr>
            </w:pPr>
            <w:r>
              <w:rPr>
                <w:color w:val="000000" w:themeColor="text1"/>
                <w:sz w:val="21"/>
                <w:szCs w:val="21"/>
                <w:u w:val="none"/>
                <w14:textFill>
                  <w14:solidFill>
                    <w14:schemeClr w14:val="tx1"/>
                  </w14:solidFill>
                </w14:textFill>
              </w:rPr>
              <w:t>kg/h</w:t>
            </w:r>
          </w:p>
        </w:tc>
        <w:tc>
          <w:tcPr>
            <w:tcW w:w="922" w:type="dxa"/>
            <w:vAlign w:val="center"/>
          </w:tcPr>
          <w:p w14:paraId="3574B7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197.528</w:t>
            </w:r>
          </w:p>
        </w:tc>
        <w:tc>
          <w:tcPr>
            <w:tcW w:w="822" w:type="pct"/>
            <w:vMerge w:val="restart"/>
            <w:shd w:val="clear" w:color="auto" w:fill="auto"/>
            <w:vAlign w:val="center"/>
          </w:tcPr>
          <w:p w14:paraId="69A8F0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vertAlign w:val="baseline"/>
                <w:lang w:val="en-US" w:eastAsia="zh-CN" w:bidi="ar-SA"/>
              </w:rPr>
            </w:pPr>
            <w:r>
              <w:rPr>
                <w:rFonts w:hint="eastAsia" w:eastAsia="宋体"/>
                <w:sz w:val="21"/>
                <w:szCs w:val="21"/>
                <w:vertAlign w:val="baseline"/>
                <w:lang w:val="en-US" w:eastAsia="zh-CN"/>
              </w:rPr>
              <w:t>混砂机为全封闭设备，造型/浇注区、打磨区和切割区设置集气罩收集，经1套袋式除尘器+催化燃烧（RCO）处理后，经1根15m高排气筒排放</w:t>
            </w:r>
          </w:p>
        </w:tc>
        <w:tc>
          <w:tcPr>
            <w:tcW w:w="346" w:type="pct"/>
            <w:vAlign w:val="center"/>
          </w:tcPr>
          <w:p w14:paraId="7DAC9E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0.209</w:t>
            </w:r>
            <w:r>
              <w:rPr>
                <w:rFonts w:hint="eastAsia"/>
                <w:bCs/>
                <w:color w:val="000000"/>
                <w:spacing w:val="-10"/>
                <w:sz w:val="21"/>
                <w:szCs w:val="21"/>
                <w:vertAlign w:val="baseline"/>
                <w:lang w:val="en-US" w:eastAsia="zh-CN"/>
              </w:rPr>
              <w:t>t/a</w:t>
            </w:r>
          </w:p>
        </w:tc>
        <w:tc>
          <w:tcPr>
            <w:tcW w:w="761" w:type="dxa"/>
            <w:vAlign w:val="center"/>
          </w:tcPr>
          <w:p w14:paraId="0DD6A3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0.040</w:t>
            </w:r>
            <w:r>
              <w:rPr>
                <w:color w:val="000000" w:themeColor="text1"/>
                <w:sz w:val="21"/>
                <w:szCs w:val="21"/>
                <w:u w:val="none"/>
                <w14:textFill>
                  <w14:solidFill>
                    <w14:schemeClr w14:val="tx1"/>
                  </w14:solidFill>
                </w14:textFill>
              </w:rPr>
              <w:t>kg/h</w:t>
            </w:r>
          </w:p>
        </w:tc>
        <w:tc>
          <w:tcPr>
            <w:tcW w:w="775" w:type="dxa"/>
            <w:vAlign w:val="center"/>
          </w:tcPr>
          <w:p w14:paraId="384B5B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1.979</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351" w:type="pct"/>
            <w:vAlign w:val="center"/>
          </w:tcPr>
          <w:p w14:paraId="11F7C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1.464t/a</w:t>
            </w:r>
          </w:p>
        </w:tc>
        <w:tc>
          <w:tcPr>
            <w:tcW w:w="369" w:type="pct"/>
            <w:vAlign w:val="center"/>
          </w:tcPr>
          <w:p w14:paraId="1FA982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0.439t/a</w:t>
            </w:r>
          </w:p>
        </w:tc>
      </w:tr>
      <w:tr w14:paraId="0E226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3EC73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非甲烷总烃</w:t>
            </w:r>
          </w:p>
        </w:tc>
        <w:tc>
          <w:tcPr>
            <w:tcW w:w="384" w:type="pct"/>
            <w:vAlign w:val="center"/>
          </w:tcPr>
          <w:p w14:paraId="7E2B0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5.58t/a</w:t>
            </w:r>
          </w:p>
        </w:tc>
        <w:tc>
          <w:tcPr>
            <w:tcW w:w="375" w:type="pct"/>
            <w:vMerge w:val="continue"/>
            <w:vAlign w:val="center"/>
          </w:tcPr>
          <w:p w14:paraId="5304CD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55" w:type="pct"/>
            <w:vAlign w:val="center"/>
          </w:tcPr>
          <w:p w14:paraId="517AB3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5.022</w:t>
            </w:r>
          </w:p>
          <w:p w14:paraId="1704C1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t/a</w:t>
            </w:r>
          </w:p>
        </w:tc>
        <w:tc>
          <w:tcPr>
            <w:tcW w:w="837" w:type="dxa"/>
            <w:vAlign w:val="center"/>
          </w:tcPr>
          <w:p w14:paraId="4799D8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0.951</w:t>
            </w:r>
          </w:p>
          <w:p w14:paraId="58DDBD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color w:val="000000" w:themeColor="text1"/>
                <w:sz w:val="21"/>
                <w:szCs w:val="21"/>
                <w:u w:val="none"/>
                <w14:textFill>
                  <w14:solidFill>
                    <w14:schemeClr w14:val="tx1"/>
                  </w14:solidFill>
                </w14:textFill>
              </w:rPr>
              <w:t>kg/h</w:t>
            </w:r>
          </w:p>
        </w:tc>
        <w:tc>
          <w:tcPr>
            <w:tcW w:w="922" w:type="dxa"/>
            <w:vAlign w:val="center"/>
          </w:tcPr>
          <w:p w14:paraId="206F6F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47.557</w:t>
            </w:r>
          </w:p>
        </w:tc>
        <w:tc>
          <w:tcPr>
            <w:tcW w:w="822" w:type="pct"/>
            <w:vMerge w:val="continue"/>
            <w:vAlign w:val="center"/>
          </w:tcPr>
          <w:p w14:paraId="4AAEC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46" w:type="pct"/>
            <w:vAlign w:val="center"/>
          </w:tcPr>
          <w:p w14:paraId="5E157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0.251</w:t>
            </w:r>
          </w:p>
          <w:p w14:paraId="55D09D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bCs/>
                <w:color w:val="000000"/>
                <w:spacing w:val="-10"/>
                <w:sz w:val="21"/>
                <w:szCs w:val="21"/>
                <w:vertAlign w:val="baseline"/>
                <w:lang w:val="en-US" w:eastAsia="zh-CN"/>
              </w:rPr>
              <w:t>t/a</w:t>
            </w:r>
          </w:p>
        </w:tc>
        <w:tc>
          <w:tcPr>
            <w:tcW w:w="761" w:type="dxa"/>
            <w:vAlign w:val="center"/>
          </w:tcPr>
          <w:p w14:paraId="13954A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eastAsia="宋体"/>
                <w:sz w:val="21"/>
                <w:szCs w:val="21"/>
                <w:vertAlign w:val="baseline"/>
                <w:lang w:eastAsia="zh-CN"/>
              </w:rPr>
            </w:pPr>
            <w:r>
              <w:rPr>
                <w:rFonts w:hint="default" w:ascii="Times New Roman" w:hAnsi="Times New Roman" w:eastAsia="宋体" w:cs="Times New Roman"/>
                <w:i w:val="0"/>
                <w:iCs w:val="0"/>
                <w:color w:val="000000"/>
                <w:kern w:val="0"/>
                <w:sz w:val="21"/>
                <w:szCs w:val="21"/>
                <w:u w:val="none"/>
                <w:lang w:val="en-US" w:eastAsia="zh-CN" w:bidi="ar"/>
              </w:rPr>
              <w:t>0.048</w:t>
            </w:r>
            <w:r>
              <w:rPr>
                <w:color w:val="000000" w:themeColor="text1"/>
                <w:sz w:val="21"/>
                <w:szCs w:val="21"/>
                <w:u w:val="none"/>
                <w14:textFill>
                  <w14:solidFill>
                    <w14:schemeClr w14:val="tx1"/>
                  </w14:solidFill>
                </w14:textFill>
              </w:rPr>
              <w:t>kg/h</w:t>
            </w:r>
          </w:p>
        </w:tc>
        <w:tc>
          <w:tcPr>
            <w:tcW w:w="775" w:type="dxa"/>
            <w:vAlign w:val="center"/>
          </w:tcPr>
          <w:p w14:paraId="4C5E42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2.377</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351" w:type="pct"/>
            <w:vAlign w:val="center"/>
          </w:tcPr>
          <w:p w14:paraId="6A4311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0.558</w:t>
            </w:r>
          </w:p>
          <w:p w14:paraId="27F27A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t/a</w:t>
            </w:r>
          </w:p>
        </w:tc>
        <w:tc>
          <w:tcPr>
            <w:tcW w:w="369" w:type="pct"/>
            <w:vAlign w:val="center"/>
          </w:tcPr>
          <w:p w14:paraId="6F955A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0.558</w:t>
            </w:r>
          </w:p>
          <w:p w14:paraId="71697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t/a</w:t>
            </w:r>
          </w:p>
        </w:tc>
      </w:tr>
      <w:tr w14:paraId="46594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17E161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甲醛</w:t>
            </w:r>
          </w:p>
        </w:tc>
        <w:tc>
          <w:tcPr>
            <w:tcW w:w="384" w:type="pct"/>
            <w:vAlign w:val="center"/>
          </w:tcPr>
          <w:p w14:paraId="11F6F4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0.36t/a</w:t>
            </w:r>
          </w:p>
        </w:tc>
        <w:tc>
          <w:tcPr>
            <w:tcW w:w="375" w:type="pct"/>
            <w:vMerge w:val="continue"/>
            <w:vAlign w:val="center"/>
          </w:tcPr>
          <w:p w14:paraId="2D9880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55" w:type="pct"/>
            <w:vAlign w:val="center"/>
          </w:tcPr>
          <w:p w14:paraId="09DE1F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0.324</w:t>
            </w:r>
          </w:p>
          <w:p w14:paraId="2671C4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t/a</w:t>
            </w:r>
          </w:p>
        </w:tc>
        <w:tc>
          <w:tcPr>
            <w:tcW w:w="837" w:type="dxa"/>
            <w:vAlign w:val="center"/>
          </w:tcPr>
          <w:p w14:paraId="6F5FD1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0.061</w:t>
            </w:r>
          </w:p>
          <w:p w14:paraId="68F6B4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color w:val="000000" w:themeColor="text1"/>
                <w:sz w:val="21"/>
                <w:szCs w:val="21"/>
                <w:u w:val="none"/>
                <w14:textFill>
                  <w14:solidFill>
                    <w14:schemeClr w14:val="tx1"/>
                  </w14:solidFill>
                </w14:textFill>
              </w:rPr>
              <w:t>kg/h</w:t>
            </w:r>
          </w:p>
        </w:tc>
        <w:tc>
          <w:tcPr>
            <w:tcW w:w="922" w:type="dxa"/>
            <w:vAlign w:val="center"/>
          </w:tcPr>
          <w:p w14:paraId="77F8C2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3.068</w:t>
            </w:r>
          </w:p>
        </w:tc>
        <w:tc>
          <w:tcPr>
            <w:tcW w:w="822" w:type="pct"/>
            <w:vMerge w:val="continue"/>
            <w:vAlign w:val="center"/>
          </w:tcPr>
          <w:p w14:paraId="061C62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346" w:type="pct"/>
            <w:vAlign w:val="center"/>
          </w:tcPr>
          <w:p w14:paraId="2964CA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0.016</w:t>
            </w:r>
          </w:p>
          <w:p w14:paraId="47FE7D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bCs/>
                <w:color w:val="000000"/>
                <w:spacing w:val="-10"/>
                <w:sz w:val="21"/>
                <w:szCs w:val="21"/>
                <w:vertAlign w:val="baseline"/>
                <w:lang w:val="en-US" w:eastAsia="zh-CN"/>
              </w:rPr>
              <w:t>t/a</w:t>
            </w:r>
          </w:p>
        </w:tc>
        <w:tc>
          <w:tcPr>
            <w:tcW w:w="761" w:type="dxa"/>
            <w:vAlign w:val="center"/>
          </w:tcPr>
          <w:p w14:paraId="0EE7DF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eastAsia="宋体"/>
                <w:sz w:val="21"/>
                <w:szCs w:val="21"/>
                <w:vertAlign w:val="baseline"/>
                <w:lang w:eastAsia="zh-CN"/>
              </w:rPr>
            </w:pPr>
            <w:r>
              <w:rPr>
                <w:rFonts w:hint="default" w:ascii="Times New Roman" w:hAnsi="Times New Roman" w:eastAsia="宋体" w:cs="Times New Roman"/>
                <w:i w:val="0"/>
                <w:iCs w:val="0"/>
                <w:color w:val="000000"/>
                <w:kern w:val="0"/>
                <w:sz w:val="21"/>
                <w:szCs w:val="21"/>
                <w:u w:val="none"/>
                <w:lang w:val="en-US" w:eastAsia="zh-CN" w:bidi="ar"/>
              </w:rPr>
              <w:t>0.003</w:t>
            </w:r>
            <w:r>
              <w:rPr>
                <w:color w:val="000000" w:themeColor="text1"/>
                <w:sz w:val="21"/>
                <w:szCs w:val="21"/>
                <w:u w:val="none"/>
                <w14:textFill>
                  <w14:solidFill>
                    <w14:schemeClr w14:val="tx1"/>
                  </w14:solidFill>
                </w14:textFill>
              </w:rPr>
              <w:t>kg/h</w:t>
            </w:r>
          </w:p>
        </w:tc>
        <w:tc>
          <w:tcPr>
            <w:tcW w:w="775" w:type="dxa"/>
            <w:vAlign w:val="center"/>
          </w:tcPr>
          <w:p w14:paraId="52132B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0.152</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351" w:type="pct"/>
            <w:vAlign w:val="center"/>
          </w:tcPr>
          <w:p w14:paraId="3F92D7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0.036</w:t>
            </w:r>
          </w:p>
          <w:p w14:paraId="7E08EB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t/a</w:t>
            </w:r>
          </w:p>
        </w:tc>
        <w:tc>
          <w:tcPr>
            <w:tcW w:w="369" w:type="pct"/>
            <w:vAlign w:val="center"/>
          </w:tcPr>
          <w:p w14:paraId="3154EB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0.036</w:t>
            </w:r>
          </w:p>
          <w:p w14:paraId="62609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t/a</w:t>
            </w:r>
          </w:p>
        </w:tc>
      </w:tr>
    </w:tbl>
    <w:p w14:paraId="704659D9">
      <w:pPr>
        <w:bidi w:val="0"/>
        <w:rPr>
          <w:rFonts w:hint="default" w:eastAsia="宋体"/>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落砂及砂处理工序</w:t>
      </w:r>
      <w:r>
        <w:rPr>
          <w:color w:val="000000"/>
          <w:sz w:val="24"/>
        </w:rPr>
        <w:t>排气筒（</w:t>
      </w:r>
      <w:r>
        <w:rPr>
          <w:snapToGrid w:val="0"/>
          <w:color w:val="000000"/>
          <w:kern w:val="0"/>
          <w:sz w:val="24"/>
        </w:rPr>
        <w:t>DA00</w:t>
      </w:r>
      <w:r>
        <w:rPr>
          <w:rFonts w:hint="eastAsia"/>
          <w:snapToGrid w:val="0"/>
          <w:color w:val="000000"/>
          <w:kern w:val="0"/>
          <w:sz w:val="24"/>
          <w:lang w:val="en-US" w:eastAsia="zh-CN"/>
        </w:rPr>
        <w:t>3</w:t>
      </w:r>
      <w:r>
        <w:rPr>
          <w:color w:val="000000"/>
          <w:sz w:val="24"/>
        </w:rPr>
        <w:t>）排放废气源强分析</w:t>
      </w:r>
    </w:p>
    <w:p w14:paraId="274AA400">
      <w:pPr>
        <w:bidi w:val="0"/>
        <w:rPr>
          <w:rFonts w:hint="default" w:ascii="Times New Roman" w:hAnsi="Times New Roman" w:eastAsia="宋体" w:cs="Times New Roman"/>
        </w:rPr>
      </w:pPr>
      <w:r>
        <w:rPr>
          <w:rFonts w:hint="default" w:ascii="Times New Roman" w:hAnsi="Times New Roman" w:eastAsia="宋体" w:cs="Times New Roman"/>
        </w:rPr>
        <w:t>①</w:t>
      </w:r>
      <w:r>
        <w:rPr>
          <w:rFonts w:hint="eastAsia" w:ascii="Times New Roman" w:hAnsi="Times New Roman" w:eastAsia="宋体" w:cs="Times New Roman"/>
          <w:lang w:val="en-US" w:eastAsia="zh-CN"/>
        </w:rPr>
        <w:t>落砂</w:t>
      </w:r>
      <w:r>
        <w:rPr>
          <w:rFonts w:hint="default" w:ascii="Times New Roman" w:hAnsi="Times New Roman" w:eastAsia="宋体" w:cs="Times New Roman"/>
          <w:lang w:val="en-US" w:eastAsia="zh-CN"/>
        </w:rPr>
        <w:t>废气</w:t>
      </w:r>
    </w:p>
    <w:p w14:paraId="1BC8C34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落砂机落砂过程粉尘参考《逸散性工业粉尘控制技术》（美国J.A.奥里蒙等编著；张良璧、刘敬严编译）中</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铸铁厂</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中</w:t>
      </w:r>
      <w:r>
        <w:rPr>
          <w:rFonts w:hint="eastAsia" w:ascii="Times New Roman" w:hAnsi="Times New Roman" w:eastAsia="宋体" w:cs="Times New Roman"/>
          <w:color w:val="000000"/>
          <w:kern w:val="0"/>
          <w:sz w:val="24"/>
          <w:szCs w:val="24"/>
          <w:lang w:val="en-US" w:eastAsia="zh-CN" w:bidi="ar"/>
        </w:rPr>
        <w:t>“铸件出砂”</w:t>
      </w:r>
      <w:r>
        <w:rPr>
          <w:rFonts w:hint="default" w:ascii="Times New Roman" w:hAnsi="Times New Roman" w:eastAsia="宋体" w:cs="Times New Roman"/>
          <w:color w:val="000000"/>
          <w:kern w:val="0"/>
          <w:sz w:val="24"/>
          <w:szCs w:val="24"/>
          <w:lang w:val="en-US" w:eastAsia="zh-CN" w:bidi="ar"/>
        </w:rPr>
        <w:t>的产污系数（0.6~9.1kg/t-产品，结合企业生产实际，本项目取0.6kg/t-产品）进行计算，</w:t>
      </w:r>
      <w:r>
        <w:rPr>
          <w:rFonts w:hint="eastAsia" w:ascii="宋体" w:hAnsi="宋体" w:eastAsia="宋体" w:cs="宋体"/>
          <w:color w:val="000000"/>
          <w:kern w:val="0"/>
          <w:sz w:val="24"/>
          <w:szCs w:val="24"/>
          <w:lang w:val="en-US" w:eastAsia="zh-CN" w:bidi="ar"/>
        </w:rPr>
        <w:t>具体见表</w:t>
      </w:r>
      <w:r>
        <w:rPr>
          <w:rFonts w:hint="eastAsia" w:ascii="Times New Roman" w:hAnsi="Times New Roman" w:eastAsia="黑体" w:cs="Times New Roman"/>
          <w:bCs/>
          <w:color w:val="000000"/>
          <w:spacing w:val="-10"/>
          <w:sz w:val="24"/>
          <w:highlight w:val="none"/>
          <w:lang w:val="en-US" w:eastAsia="zh-CN"/>
        </w:rPr>
        <w:t>2.5</w:t>
      </w:r>
      <w:r>
        <w:rPr>
          <w:rFonts w:hint="default" w:ascii="Times New Roman" w:hAnsi="Times New Roman" w:eastAsia="宋体" w:cs="Times New Roman"/>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8</w:t>
      </w:r>
      <w:r>
        <w:rPr>
          <w:rFonts w:hint="eastAsia" w:ascii="宋体" w:hAnsi="宋体" w:eastAsia="宋体" w:cs="宋体"/>
          <w:color w:val="000000"/>
          <w:kern w:val="0"/>
          <w:sz w:val="24"/>
          <w:szCs w:val="24"/>
          <w:lang w:val="en-US" w:eastAsia="zh-CN" w:bidi="ar"/>
        </w:rPr>
        <w:t>。</w:t>
      </w:r>
    </w:p>
    <w:p w14:paraId="64309F09">
      <w:pPr>
        <w:spacing w:line="360" w:lineRule="auto"/>
        <w:ind w:left="0" w:leftChars="0" w:firstLine="0" w:firstLineChars="0"/>
        <w:jc w:val="center"/>
        <w:rPr>
          <w:bCs/>
          <w:color w:val="000000"/>
          <w:spacing w:val="-10"/>
          <w:sz w:val="24"/>
        </w:rPr>
      </w:pPr>
      <w:r>
        <w:rPr>
          <w:rFonts w:hint="default" w:ascii="Times New Roman" w:hAnsi="Times New Roman" w:eastAsia="黑体" w:cs="Times New Roman"/>
          <w:bCs/>
          <w:color w:val="000000"/>
          <w:spacing w:val="-10"/>
          <w:sz w:val="24"/>
          <w:lang w:val="en-US" w:eastAsia="zh-CN"/>
        </w:rPr>
        <w:t>表2.5-8</w:t>
      </w:r>
      <w:r>
        <w:rPr>
          <w:rFonts w:hint="eastAsia" w:ascii="Times New Roman" w:hAnsi="Times New Roman" w:eastAsia="黑体" w:cs="Times New Roman"/>
          <w:bCs/>
          <w:color w:val="000000"/>
          <w:spacing w:val="-10"/>
          <w:sz w:val="24"/>
          <w:lang w:val="en-US" w:eastAsia="zh-CN"/>
        </w:rPr>
        <w:t xml:space="preserve"> </w:t>
      </w:r>
      <w:r>
        <w:rPr>
          <w:rFonts w:hint="default" w:ascii="Times New Roman" w:hAnsi="Times New Roman" w:eastAsia="黑体" w:cs="Times New Roman"/>
          <w:bCs/>
          <w:color w:val="000000"/>
          <w:spacing w:val="-10"/>
          <w:sz w:val="24"/>
          <w:lang w:val="en-US" w:eastAsia="zh-CN"/>
        </w:rPr>
        <w:t xml:space="preserve"> </w:t>
      </w:r>
      <w:r>
        <w:rPr>
          <w:rFonts w:hint="eastAsia" w:ascii="Times New Roman" w:hAnsi="Times New Roman" w:eastAsia="黑体" w:cs="Times New Roman"/>
          <w:bCs/>
          <w:color w:val="000000"/>
          <w:spacing w:val="-10"/>
          <w:sz w:val="24"/>
          <w:lang w:val="en-US" w:eastAsia="zh-CN"/>
        </w:rPr>
        <w:t>落砂废气</w:t>
      </w:r>
      <w:r>
        <w:rPr>
          <w:rFonts w:hint="default" w:ascii="Times New Roman" w:hAnsi="Times New Roman" w:eastAsia="黑体" w:cs="Times New Roman"/>
          <w:bCs/>
          <w:color w:val="000000"/>
          <w:spacing w:val="-10"/>
          <w:sz w:val="24"/>
          <w:lang w:val="en-US" w:eastAsia="zh-CN"/>
        </w:rPr>
        <w:t>产污系数表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594"/>
        <w:gridCol w:w="1208"/>
        <w:gridCol w:w="1460"/>
        <w:gridCol w:w="1419"/>
        <w:gridCol w:w="1427"/>
        <w:gridCol w:w="1419"/>
      </w:tblGrid>
      <w:tr w14:paraId="1F817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1" w:type="pct"/>
            <w:vAlign w:val="center"/>
          </w:tcPr>
          <w:p w14:paraId="7B68C6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7" w:type="pct"/>
            <w:vAlign w:val="center"/>
          </w:tcPr>
          <w:p w14:paraId="3266D3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9" w:type="pct"/>
            <w:vAlign w:val="center"/>
          </w:tcPr>
          <w:p w14:paraId="3A588C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2DF400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311991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1420" w:type="dxa"/>
            <w:vAlign w:val="center"/>
          </w:tcPr>
          <w:p w14:paraId="7686EA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产品规模</w:t>
            </w:r>
          </w:p>
        </w:tc>
        <w:tc>
          <w:tcPr>
            <w:tcW w:w="727" w:type="pct"/>
            <w:vAlign w:val="center"/>
          </w:tcPr>
          <w:p w14:paraId="0BCAB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01B3D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Align w:val="center"/>
          </w:tcPr>
          <w:p w14:paraId="75AB82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eastAsia="宋体"/>
                <w:bCs/>
                <w:color w:val="000000"/>
                <w:spacing w:val="-10"/>
                <w:sz w:val="21"/>
                <w:szCs w:val="21"/>
                <w:vertAlign w:val="baseline"/>
                <w:lang w:val="en-US" w:eastAsia="zh-CN"/>
              </w:rPr>
              <w:t>落砂</w:t>
            </w:r>
          </w:p>
        </w:tc>
        <w:tc>
          <w:tcPr>
            <w:tcW w:w="817" w:type="pct"/>
            <w:vAlign w:val="center"/>
          </w:tcPr>
          <w:p w14:paraId="0F786A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default"/>
                <w:bCs/>
                <w:color w:val="000000"/>
                <w:spacing w:val="-10"/>
                <w:sz w:val="21"/>
                <w:szCs w:val="21"/>
                <w:vertAlign w:val="baseline"/>
                <w:lang w:val="en-US" w:eastAsia="zh-CN"/>
              </w:rPr>
              <w:t>新砂、旧砂、呋喃树脂、固化剂</w:t>
            </w:r>
          </w:p>
        </w:tc>
        <w:tc>
          <w:tcPr>
            <w:tcW w:w="619" w:type="pct"/>
            <w:vAlign w:val="center"/>
          </w:tcPr>
          <w:p w14:paraId="1AE1B6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5E4787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5B5A48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default" w:eastAsia="宋体"/>
                <w:bCs/>
                <w:color w:val="000000"/>
                <w:spacing w:val="-10"/>
                <w:sz w:val="21"/>
                <w:szCs w:val="21"/>
                <w:vertAlign w:val="baseline"/>
                <w:lang w:val="en-US" w:eastAsia="zh-CN"/>
              </w:rPr>
              <w:t>0.6kg/t-产品</w:t>
            </w:r>
          </w:p>
        </w:tc>
        <w:tc>
          <w:tcPr>
            <w:tcW w:w="1420" w:type="dxa"/>
            <w:vAlign w:val="center"/>
          </w:tcPr>
          <w:p w14:paraId="7D7FF5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12000t/a</w:t>
            </w:r>
          </w:p>
        </w:tc>
        <w:tc>
          <w:tcPr>
            <w:tcW w:w="727" w:type="pct"/>
            <w:vAlign w:val="center"/>
          </w:tcPr>
          <w:p w14:paraId="3AF1A2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vertAlign w:val="baseline"/>
                <w:lang w:val="en-US" w:eastAsia="zh-CN"/>
              </w:rPr>
            </w:pPr>
            <w:r>
              <w:rPr>
                <w:rFonts w:hint="eastAsia"/>
                <w:bCs/>
                <w:color w:val="000000"/>
                <w:spacing w:val="-10"/>
                <w:sz w:val="21"/>
                <w:szCs w:val="21"/>
                <w:highlight w:val="none"/>
                <w:vertAlign w:val="baseline"/>
                <w:lang w:val="en-US" w:eastAsia="zh-CN"/>
              </w:rPr>
              <w:t>7.2t</w:t>
            </w:r>
            <w:r>
              <w:rPr>
                <w:rFonts w:hint="eastAsia"/>
                <w:bCs/>
                <w:color w:val="000000"/>
                <w:spacing w:val="-10"/>
                <w:sz w:val="21"/>
                <w:szCs w:val="21"/>
                <w:vertAlign w:val="baseline"/>
                <w:lang w:val="en-US" w:eastAsia="zh-CN"/>
              </w:rPr>
              <w:t>/a</w:t>
            </w:r>
          </w:p>
        </w:tc>
      </w:tr>
    </w:tbl>
    <w:p w14:paraId="6D307685">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②</w:t>
      </w:r>
      <w:r>
        <w:rPr>
          <w:rFonts w:hint="eastAsia"/>
          <w:lang w:val="en-US" w:eastAsia="zh-CN"/>
        </w:rPr>
        <w:t>砂处理</w:t>
      </w:r>
      <w:r>
        <w:rPr>
          <w:rFonts w:hint="default" w:ascii="Times New Roman" w:hAnsi="Times New Roman" w:eastAsia="宋体" w:cs="Times New Roman"/>
          <w:color w:val="000000"/>
          <w:kern w:val="0"/>
          <w:sz w:val="24"/>
          <w:szCs w:val="24"/>
          <w:lang w:val="en-US" w:eastAsia="zh-CN" w:bidi="ar"/>
        </w:rPr>
        <w:t>废气</w:t>
      </w:r>
    </w:p>
    <w:p w14:paraId="3E1EFAA1">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A.破碎废气</w:t>
      </w:r>
    </w:p>
    <w:p w14:paraId="10FFFA28">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设置一台振动破碎筛分机，用于去除旧砂表面残留的固树脂层，输送皮带进入破碎机落料过程产生颗粒物废气，另外，破碎过程也会产生颗粒物废气，破碎机出料口与后续设备密闭连接，废气主要产生于破碎机进料口。参考《逸散性工业粉尘控制技术》（美国J.A.奥里蒙等编著；张良璧、刘敬严编译）中粒料加工厂的经验值，破碎废气源强以0.25kg/t-原料计，</w:t>
      </w:r>
      <w:r>
        <w:rPr>
          <w:rFonts w:hint="eastAsia" w:ascii="宋体" w:hAnsi="宋体" w:eastAsia="宋体" w:cs="宋体"/>
          <w:color w:val="000000"/>
          <w:kern w:val="0"/>
          <w:sz w:val="24"/>
          <w:szCs w:val="24"/>
          <w:lang w:val="en-US" w:eastAsia="zh-CN" w:bidi="ar"/>
        </w:rPr>
        <w:t>具体见表</w:t>
      </w:r>
      <w:r>
        <w:rPr>
          <w:rFonts w:hint="default" w:ascii="Times New Roman" w:hAnsi="Times New Roman" w:eastAsia="黑体" w:cs="Times New Roman"/>
          <w:bCs/>
          <w:color w:val="000000"/>
          <w:spacing w:val="-10"/>
          <w:sz w:val="24"/>
          <w:lang w:val="en-US" w:eastAsia="zh-CN"/>
        </w:rPr>
        <w:t>2.5-</w:t>
      </w:r>
      <w:r>
        <w:rPr>
          <w:rFonts w:hint="eastAsia" w:ascii="Times New Roman" w:hAnsi="Times New Roman" w:eastAsia="黑体" w:cs="Times New Roman"/>
          <w:bCs/>
          <w:color w:val="000000"/>
          <w:spacing w:val="-10"/>
          <w:sz w:val="24"/>
          <w:lang w:val="en-US" w:eastAsia="zh-CN"/>
        </w:rPr>
        <w:t>9</w:t>
      </w:r>
      <w:r>
        <w:rPr>
          <w:rFonts w:hint="eastAsia" w:ascii="Times New Roman" w:hAnsi="Times New Roman" w:eastAsia="宋体" w:cs="Times New Roman"/>
          <w:color w:val="000000"/>
          <w:kern w:val="0"/>
          <w:sz w:val="24"/>
          <w:szCs w:val="24"/>
          <w:highlight w:val="none"/>
          <w:lang w:val="en-US" w:eastAsia="zh-CN" w:bidi="ar"/>
        </w:rPr>
        <w:t>。</w:t>
      </w:r>
    </w:p>
    <w:p w14:paraId="4A32AF94">
      <w:pPr>
        <w:keepNext w:val="0"/>
        <w:keepLines w:val="0"/>
        <w:widowControl/>
        <w:suppressLineNumbers w:val="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B.再生废气</w:t>
      </w:r>
    </w:p>
    <w:p w14:paraId="04971A9F">
      <w:pPr>
        <w:keepNext w:val="0"/>
        <w:keepLines w:val="0"/>
        <w:widowControl/>
        <w:suppressLineNumbers w:val="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设置1台贯通式磁选机、1台离心涡流再生风选机，两台设备密闭连接，破碎后的砂料通过密闭提升机匀速进入贯通式磁场通道，去除旧砂中的铁屑杂质，磁选后的砂料经密闭管道匀速落入离心涡流再生风选机，进行风选，磁选和风选过程中会产生颗粒物废气。参考《逸散性工业粉尘控制技术》（美国J.A.奥里蒙等编著；张良璧、刘敬严编译），再生工序颗粒物产生量以0.15kg/t-原料计，</w:t>
      </w:r>
      <w:r>
        <w:rPr>
          <w:rFonts w:hint="eastAsia" w:ascii="宋体" w:hAnsi="宋体" w:eastAsia="宋体" w:cs="宋体"/>
          <w:color w:val="000000"/>
          <w:kern w:val="0"/>
          <w:sz w:val="24"/>
          <w:szCs w:val="24"/>
          <w:lang w:val="en-US" w:eastAsia="zh-CN" w:bidi="ar"/>
        </w:rPr>
        <w:t>具体见表</w:t>
      </w:r>
      <w:r>
        <w:rPr>
          <w:rFonts w:hint="default" w:ascii="Times New Roman" w:hAnsi="Times New Roman" w:eastAsia="黑体" w:cs="Times New Roman"/>
          <w:bCs/>
          <w:color w:val="000000"/>
          <w:spacing w:val="-10"/>
          <w:sz w:val="24"/>
          <w:lang w:val="en-US" w:eastAsia="zh-CN"/>
        </w:rPr>
        <w:t>2.5-</w:t>
      </w:r>
      <w:r>
        <w:rPr>
          <w:rFonts w:hint="eastAsia" w:ascii="Times New Roman" w:hAnsi="Times New Roman" w:eastAsia="黑体" w:cs="Times New Roman"/>
          <w:bCs/>
          <w:color w:val="000000"/>
          <w:spacing w:val="-10"/>
          <w:sz w:val="24"/>
          <w:lang w:val="en-US" w:eastAsia="zh-CN"/>
        </w:rPr>
        <w:t>9</w:t>
      </w:r>
      <w:r>
        <w:rPr>
          <w:rFonts w:hint="eastAsia" w:ascii="Times New Roman" w:hAnsi="Times New Roman" w:eastAsia="宋体" w:cs="Times New Roman"/>
          <w:color w:val="000000"/>
          <w:kern w:val="0"/>
          <w:sz w:val="24"/>
          <w:szCs w:val="24"/>
          <w:highlight w:val="none"/>
          <w:lang w:val="en-US" w:eastAsia="zh-CN" w:bidi="ar"/>
        </w:rPr>
        <w:t>。</w:t>
      </w:r>
    </w:p>
    <w:p w14:paraId="7BB35DA3">
      <w:pPr>
        <w:keepNext w:val="0"/>
        <w:keepLines w:val="0"/>
        <w:widowControl/>
        <w:suppressLineNumbers w:val="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C.筛分废气</w:t>
      </w:r>
    </w:p>
    <w:p w14:paraId="5721AD95">
      <w:pPr>
        <w:keepNext w:val="0"/>
        <w:keepLines w:val="0"/>
        <w:widowControl/>
        <w:suppressLineNumbers w:val="0"/>
        <w:jc w:val="left"/>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项目设置一台振动筛分机，旧砂进入振动筛分机，通过筛分机去除砂中不合格粉砂，该过程中会有颗粒物废气产生，颗粒物主要产生在筛分过程和物料出口。参考《逸散性工业粉尘控制技术》（美国J.A.奥里蒙等编著；张良璧、刘敬严编译），筛分工序源强为0.75kg/t-原料，</w:t>
      </w:r>
      <w:r>
        <w:rPr>
          <w:rFonts w:hint="eastAsia" w:ascii="宋体" w:hAnsi="宋体" w:eastAsia="宋体" w:cs="宋体"/>
          <w:color w:val="000000"/>
          <w:kern w:val="0"/>
          <w:sz w:val="24"/>
          <w:szCs w:val="24"/>
          <w:lang w:val="en-US" w:eastAsia="zh-CN" w:bidi="ar"/>
        </w:rPr>
        <w:t>具体见表</w:t>
      </w:r>
      <w:r>
        <w:rPr>
          <w:rFonts w:hint="default" w:ascii="Times New Roman" w:hAnsi="Times New Roman" w:eastAsia="黑体" w:cs="Times New Roman"/>
          <w:bCs/>
          <w:color w:val="000000"/>
          <w:spacing w:val="-10"/>
          <w:sz w:val="24"/>
          <w:lang w:val="en-US" w:eastAsia="zh-CN"/>
        </w:rPr>
        <w:t>2.5-</w:t>
      </w:r>
      <w:r>
        <w:rPr>
          <w:rFonts w:hint="eastAsia" w:ascii="Times New Roman" w:hAnsi="Times New Roman" w:eastAsia="黑体" w:cs="Times New Roman"/>
          <w:bCs/>
          <w:color w:val="000000"/>
          <w:spacing w:val="-10"/>
          <w:sz w:val="24"/>
          <w:lang w:val="en-US" w:eastAsia="zh-CN"/>
        </w:rPr>
        <w:t>9</w:t>
      </w:r>
      <w:r>
        <w:rPr>
          <w:rFonts w:hint="eastAsia" w:ascii="Times New Roman" w:hAnsi="Times New Roman" w:eastAsia="宋体" w:cs="Times New Roman"/>
          <w:color w:val="000000"/>
          <w:kern w:val="0"/>
          <w:sz w:val="24"/>
          <w:szCs w:val="24"/>
          <w:highlight w:val="none"/>
          <w:lang w:val="en-US" w:eastAsia="zh-CN" w:bidi="ar"/>
        </w:rPr>
        <w:t>。</w:t>
      </w:r>
    </w:p>
    <w:p w14:paraId="77E13F11">
      <w:pPr>
        <w:spacing w:line="360" w:lineRule="auto"/>
        <w:ind w:left="0" w:leftChars="0" w:firstLine="0" w:firstLineChars="0"/>
        <w:jc w:val="center"/>
        <w:rPr>
          <w:bCs/>
          <w:color w:val="000000"/>
          <w:spacing w:val="-10"/>
          <w:sz w:val="24"/>
        </w:rPr>
      </w:pPr>
      <w:r>
        <w:rPr>
          <w:rFonts w:hint="default" w:ascii="Times New Roman" w:hAnsi="Times New Roman" w:eastAsia="黑体" w:cs="Times New Roman"/>
          <w:bCs/>
          <w:color w:val="000000"/>
          <w:spacing w:val="-10"/>
          <w:sz w:val="24"/>
          <w:lang w:val="en-US" w:eastAsia="zh-CN"/>
        </w:rPr>
        <w:t>表2.5-9</w:t>
      </w:r>
      <w:r>
        <w:rPr>
          <w:rFonts w:hint="eastAsia" w:ascii="Times New Roman" w:hAnsi="Times New Roman" w:eastAsia="黑体" w:cs="Times New Roman"/>
          <w:bCs/>
          <w:color w:val="000000"/>
          <w:spacing w:val="-10"/>
          <w:sz w:val="24"/>
          <w:lang w:val="en-US" w:eastAsia="zh-CN"/>
        </w:rPr>
        <w:t xml:space="preserve"> </w:t>
      </w:r>
      <w:r>
        <w:rPr>
          <w:rFonts w:hint="default" w:ascii="Times New Roman" w:hAnsi="Times New Roman" w:eastAsia="黑体" w:cs="Times New Roman"/>
          <w:bCs/>
          <w:color w:val="000000"/>
          <w:spacing w:val="-10"/>
          <w:sz w:val="24"/>
          <w:lang w:val="en-US" w:eastAsia="zh-CN"/>
        </w:rPr>
        <w:t xml:space="preserve"> </w:t>
      </w:r>
      <w:r>
        <w:rPr>
          <w:rFonts w:hint="eastAsia" w:ascii="Times New Roman" w:hAnsi="Times New Roman" w:eastAsia="黑体" w:cs="Times New Roman"/>
          <w:bCs/>
          <w:color w:val="000000"/>
          <w:spacing w:val="-10"/>
          <w:sz w:val="24"/>
          <w:lang w:val="en-US" w:eastAsia="zh-CN"/>
        </w:rPr>
        <w:t>砂处理废气</w:t>
      </w:r>
      <w:r>
        <w:rPr>
          <w:rFonts w:hint="default" w:ascii="Times New Roman" w:hAnsi="Times New Roman" w:eastAsia="黑体" w:cs="Times New Roman"/>
          <w:bCs/>
          <w:color w:val="000000"/>
          <w:spacing w:val="-10"/>
          <w:sz w:val="24"/>
          <w:lang w:val="en-US" w:eastAsia="zh-CN"/>
        </w:rPr>
        <w:t>产污系数表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593"/>
        <w:gridCol w:w="1207"/>
        <w:gridCol w:w="1461"/>
        <w:gridCol w:w="1420"/>
        <w:gridCol w:w="1427"/>
        <w:gridCol w:w="1420"/>
      </w:tblGrid>
      <w:tr w14:paraId="17266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Align w:val="center"/>
          </w:tcPr>
          <w:p w14:paraId="677D6F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6" w:type="pct"/>
            <w:vAlign w:val="center"/>
          </w:tcPr>
          <w:p w14:paraId="2A246F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8" w:type="pct"/>
            <w:vAlign w:val="center"/>
          </w:tcPr>
          <w:p w14:paraId="5B6CA9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3CBB69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52418B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731" w:type="pct"/>
            <w:vAlign w:val="center"/>
          </w:tcPr>
          <w:p w14:paraId="4EF099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原料规模</w:t>
            </w:r>
          </w:p>
        </w:tc>
        <w:tc>
          <w:tcPr>
            <w:tcW w:w="727" w:type="pct"/>
            <w:vAlign w:val="center"/>
          </w:tcPr>
          <w:p w14:paraId="01950F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0E134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0" w:type="pct"/>
            <w:vAlign w:val="center"/>
          </w:tcPr>
          <w:p w14:paraId="4B8670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eastAsia="宋体"/>
                <w:bCs/>
                <w:color w:val="000000"/>
                <w:spacing w:val="-10"/>
                <w:sz w:val="21"/>
                <w:szCs w:val="21"/>
                <w:vertAlign w:val="baseline"/>
                <w:lang w:val="en-US" w:eastAsia="zh-CN"/>
              </w:rPr>
              <w:t>破碎</w:t>
            </w:r>
          </w:p>
        </w:tc>
        <w:tc>
          <w:tcPr>
            <w:tcW w:w="816" w:type="pct"/>
            <w:vMerge w:val="restart"/>
            <w:vAlign w:val="center"/>
          </w:tcPr>
          <w:p w14:paraId="1F23B8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原砂、再生砂、树脂、硬化剂</w:t>
            </w:r>
          </w:p>
        </w:tc>
        <w:tc>
          <w:tcPr>
            <w:tcW w:w="618" w:type="pct"/>
            <w:vMerge w:val="restart"/>
            <w:vAlign w:val="center"/>
          </w:tcPr>
          <w:p w14:paraId="48FA3E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527A88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3246C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default" w:eastAsia="宋体"/>
                <w:bCs/>
                <w:color w:val="000000"/>
                <w:spacing w:val="-10"/>
                <w:sz w:val="21"/>
                <w:szCs w:val="21"/>
                <w:vertAlign w:val="baseline"/>
                <w:lang w:val="en-US" w:eastAsia="zh-CN"/>
              </w:rPr>
              <w:t>0.25kg/t-原料</w:t>
            </w:r>
          </w:p>
        </w:tc>
        <w:tc>
          <w:tcPr>
            <w:tcW w:w="731" w:type="pct"/>
            <w:vMerge w:val="restart"/>
            <w:vAlign w:val="center"/>
          </w:tcPr>
          <w:p w14:paraId="0786DC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35978.264t/a</w:t>
            </w:r>
          </w:p>
        </w:tc>
        <w:tc>
          <w:tcPr>
            <w:tcW w:w="727" w:type="pct"/>
            <w:vAlign w:val="center"/>
          </w:tcPr>
          <w:p w14:paraId="31CFF4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vertAlign w:val="baseline"/>
                <w:lang w:val="en-US" w:eastAsia="zh-CN"/>
              </w:rPr>
            </w:pPr>
            <w:r>
              <w:rPr>
                <w:rFonts w:hint="eastAsia"/>
                <w:bCs/>
                <w:color w:val="000000"/>
                <w:spacing w:val="-10"/>
                <w:sz w:val="21"/>
                <w:szCs w:val="21"/>
                <w:highlight w:val="none"/>
                <w:vertAlign w:val="baseline"/>
                <w:lang w:val="en-US" w:eastAsia="zh-CN"/>
              </w:rPr>
              <w:t>8.995t</w:t>
            </w:r>
            <w:r>
              <w:rPr>
                <w:rFonts w:hint="eastAsia"/>
                <w:bCs/>
                <w:color w:val="000000"/>
                <w:spacing w:val="-10"/>
                <w:sz w:val="21"/>
                <w:szCs w:val="21"/>
                <w:vertAlign w:val="baseline"/>
                <w:lang w:val="en-US" w:eastAsia="zh-CN"/>
              </w:rPr>
              <w:t>/a</w:t>
            </w:r>
          </w:p>
        </w:tc>
      </w:tr>
      <w:tr w14:paraId="09906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0" w:type="pct"/>
            <w:vAlign w:val="center"/>
          </w:tcPr>
          <w:p w14:paraId="3A1766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eastAsia="宋体"/>
                <w:bCs/>
                <w:color w:val="000000"/>
                <w:spacing w:val="-10"/>
                <w:sz w:val="21"/>
                <w:szCs w:val="21"/>
                <w:vertAlign w:val="baseline"/>
                <w:lang w:val="en-US" w:eastAsia="zh-CN"/>
              </w:rPr>
              <w:t>再生</w:t>
            </w:r>
          </w:p>
        </w:tc>
        <w:tc>
          <w:tcPr>
            <w:tcW w:w="816" w:type="pct"/>
            <w:vMerge w:val="continue"/>
            <w:vAlign w:val="center"/>
          </w:tcPr>
          <w:p w14:paraId="15E697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618" w:type="pct"/>
            <w:vMerge w:val="continue"/>
            <w:vAlign w:val="center"/>
          </w:tcPr>
          <w:p w14:paraId="50A33B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748" w:type="pct"/>
            <w:vAlign w:val="center"/>
          </w:tcPr>
          <w:p w14:paraId="0D9652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颗粒物</w:t>
            </w:r>
          </w:p>
        </w:tc>
        <w:tc>
          <w:tcPr>
            <w:tcW w:w="727" w:type="pct"/>
            <w:vAlign w:val="center"/>
          </w:tcPr>
          <w:p w14:paraId="135010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default" w:eastAsia="宋体"/>
                <w:bCs/>
                <w:color w:val="000000"/>
                <w:spacing w:val="-10"/>
                <w:sz w:val="21"/>
                <w:szCs w:val="21"/>
                <w:vertAlign w:val="baseline"/>
                <w:lang w:val="en-US" w:eastAsia="zh-CN"/>
              </w:rPr>
              <w:t>0.15kg/t-原料</w:t>
            </w:r>
          </w:p>
        </w:tc>
        <w:tc>
          <w:tcPr>
            <w:tcW w:w="731" w:type="pct"/>
            <w:vMerge w:val="continue"/>
            <w:vAlign w:val="center"/>
          </w:tcPr>
          <w:p w14:paraId="2E9FFC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727" w:type="pct"/>
            <w:vAlign w:val="center"/>
          </w:tcPr>
          <w:p w14:paraId="68D2F4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highlight w:val="none"/>
                <w:vertAlign w:val="baseline"/>
                <w:lang w:val="en-US" w:eastAsia="zh-CN"/>
              </w:rPr>
            </w:pPr>
            <w:r>
              <w:rPr>
                <w:rFonts w:hint="eastAsia"/>
                <w:bCs/>
                <w:color w:val="000000"/>
                <w:spacing w:val="-10"/>
                <w:sz w:val="21"/>
                <w:szCs w:val="21"/>
                <w:highlight w:val="none"/>
                <w:vertAlign w:val="baseline"/>
                <w:lang w:val="en-US" w:eastAsia="zh-CN"/>
              </w:rPr>
              <w:t>5.397t</w:t>
            </w:r>
            <w:r>
              <w:rPr>
                <w:rFonts w:hint="eastAsia"/>
                <w:bCs/>
                <w:color w:val="000000"/>
                <w:spacing w:val="-10"/>
                <w:sz w:val="21"/>
                <w:szCs w:val="21"/>
                <w:vertAlign w:val="baseline"/>
                <w:lang w:val="en-US" w:eastAsia="zh-CN"/>
              </w:rPr>
              <w:t>/a</w:t>
            </w:r>
          </w:p>
        </w:tc>
      </w:tr>
      <w:tr w14:paraId="1F7F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0" w:type="pct"/>
            <w:vAlign w:val="center"/>
          </w:tcPr>
          <w:p w14:paraId="54C7D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eastAsia="宋体"/>
                <w:bCs/>
                <w:color w:val="000000"/>
                <w:spacing w:val="-10"/>
                <w:sz w:val="21"/>
                <w:szCs w:val="21"/>
                <w:vertAlign w:val="baseline"/>
                <w:lang w:val="en-US" w:eastAsia="zh-CN"/>
              </w:rPr>
              <w:t>筛分</w:t>
            </w:r>
          </w:p>
        </w:tc>
        <w:tc>
          <w:tcPr>
            <w:tcW w:w="816" w:type="pct"/>
            <w:vMerge w:val="continue"/>
            <w:vAlign w:val="center"/>
          </w:tcPr>
          <w:p w14:paraId="2D64C9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618" w:type="pct"/>
            <w:vMerge w:val="continue"/>
            <w:vAlign w:val="center"/>
          </w:tcPr>
          <w:p w14:paraId="13A526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748" w:type="pct"/>
            <w:vAlign w:val="center"/>
          </w:tcPr>
          <w:p w14:paraId="01D4AD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颗粒物</w:t>
            </w:r>
          </w:p>
        </w:tc>
        <w:tc>
          <w:tcPr>
            <w:tcW w:w="727" w:type="pct"/>
            <w:vAlign w:val="center"/>
          </w:tcPr>
          <w:p w14:paraId="79C006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default" w:eastAsia="宋体"/>
                <w:bCs/>
                <w:color w:val="000000"/>
                <w:spacing w:val="-10"/>
                <w:sz w:val="21"/>
                <w:szCs w:val="21"/>
                <w:vertAlign w:val="baseline"/>
                <w:lang w:val="en-US" w:eastAsia="zh-CN"/>
              </w:rPr>
              <w:t>0.75kg/t-原料</w:t>
            </w:r>
          </w:p>
        </w:tc>
        <w:tc>
          <w:tcPr>
            <w:tcW w:w="731" w:type="pct"/>
            <w:vMerge w:val="continue"/>
            <w:vAlign w:val="center"/>
          </w:tcPr>
          <w:p w14:paraId="398DC7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p>
        </w:tc>
        <w:tc>
          <w:tcPr>
            <w:tcW w:w="727" w:type="pct"/>
            <w:vAlign w:val="center"/>
          </w:tcPr>
          <w:p w14:paraId="66B047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highlight w:val="none"/>
                <w:vertAlign w:val="baseline"/>
                <w:lang w:val="en-US" w:eastAsia="zh-CN"/>
              </w:rPr>
            </w:pPr>
            <w:r>
              <w:rPr>
                <w:rFonts w:hint="eastAsia"/>
                <w:bCs/>
                <w:color w:val="000000"/>
                <w:spacing w:val="-10"/>
                <w:sz w:val="21"/>
                <w:szCs w:val="21"/>
                <w:highlight w:val="none"/>
                <w:vertAlign w:val="baseline"/>
                <w:lang w:val="en-US" w:eastAsia="zh-CN"/>
              </w:rPr>
              <w:t>26.984t</w:t>
            </w:r>
            <w:r>
              <w:rPr>
                <w:rFonts w:hint="eastAsia"/>
                <w:bCs/>
                <w:color w:val="000000"/>
                <w:spacing w:val="-10"/>
                <w:sz w:val="21"/>
                <w:szCs w:val="21"/>
                <w:vertAlign w:val="baseline"/>
                <w:lang w:val="en-US" w:eastAsia="zh-CN"/>
              </w:rPr>
              <w:t>/a</w:t>
            </w:r>
          </w:p>
        </w:tc>
      </w:tr>
    </w:tbl>
    <w:p w14:paraId="51EBCF3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bCs/>
          <w:color w:val="000000"/>
          <w:spacing w:val="-10"/>
          <w:sz w:val="24"/>
        </w:rPr>
      </w:pPr>
      <w:r>
        <w:rPr>
          <w:rFonts w:hint="eastAsia" w:ascii="宋体" w:hAnsi="宋体" w:eastAsia="宋体" w:cs="宋体"/>
          <w:color w:val="000000"/>
          <w:kern w:val="0"/>
          <w:sz w:val="24"/>
          <w:szCs w:val="24"/>
          <w:lang w:val="en-US" w:eastAsia="zh-CN" w:bidi="ar"/>
        </w:rPr>
        <w:t>综上所述，本次环评要求</w:t>
      </w:r>
      <w:r>
        <w:rPr>
          <w:rFonts w:hint="eastAsia"/>
          <w:bCs/>
          <w:color w:val="000000"/>
          <w:spacing w:val="-10"/>
          <w:sz w:val="24"/>
          <w:lang w:val="en-US" w:eastAsia="zh-CN"/>
        </w:rPr>
        <w:t>在</w:t>
      </w:r>
      <w:r>
        <w:rPr>
          <w:rFonts w:hint="default" w:ascii="Times New Roman" w:hAnsi="Times New Roman" w:eastAsia="宋体" w:cs="Times New Roman"/>
          <w:lang w:val="en-US" w:eastAsia="zh-CN"/>
        </w:rPr>
        <w:t>落砂机</w:t>
      </w:r>
      <w:r>
        <w:rPr>
          <w:rFonts w:hint="eastAsia"/>
          <w:bCs/>
          <w:color w:val="000000"/>
          <w:spacing w:val="-10"/>
          <w:sz w:val="24"/>
          <w:lang w:val="en-US" w:eastAsia="zh-CN"/>
        </w:rPr>
        <w:t>上安装集尘罩（收集效率以</w:t>
      </w:r>
      <w:r>
        <w:rPr>
          <w:rFonts w:hint="default"/>
          <w:bCs/>
          <w:color w:val="000000"/>
          <w:spacing w:val="-10"/>
          <w:sz w:val="24"/>
          <w:lang w:val="en-US" w:eastAsia="zh-CN"/>
        </w:rPr>
        <w:t>9</w:t>
      </w:r>
      <w:r>
        <w:rPr>
          <w:rFonts w:hint="eastAsia"/>
          <w:bCs/>
          <w:color w:val="000000"/>
          <w:spacing w:val="-10"/>
          <w:sz w:val="24"/>
          <w:lang w:val="en-US" w:eastAsia="zh-CN"/>
        </w:rPr>
        <w:t>5</w:t>
      </w:r>
      <w:r>
        <w:rPr>
          <w:rFonts w:hint="default"/>
          <w:bCs/>
          <w:color w:val="000000"/>
          <w:spacing w:val="-10"/>
          <w:sz w:val="24"/>
          <w:lang w:val="en-US" w:eastAsia="zh-CN"/>
        </w:rPr>
        <w:t>%</w:t>
      </w:r>
      <w:r>
        <w:rPr>
          <w:rFonts w:hint="eastAsia"/>
          <w:bCs/>
          <w:color w:val="000000"/>
          <w:spacing w:val="-10"/>
          <w:sz w:val="24"/>
          <w:lang w:val="en-US" w:eastAsia="zh-CN"/>
        </w:rPr>
        <w:t>计）将</w:t>
      </w:r>
      <w:r>
        <w:rPr>
          <w:rFonts w:hint="default" w:ascii="Times New Roman" w:hAnsi="Times New Roman" w:eastAsia="宋体" w:cs="Times New Roman"/>
          <w:lang w:val="en-US" w:eastAsia="zh-CN"/>
        </w:rPr>
        <w:t>落砂机落砂</w:t>
      </w:r>
      <w:r>
        <w:rPr>
          <w:rFonts w:hint="eastAsia"/>
          <w:bCs/>
          <w:color w:val="000000"/>
          <w:spacing w:val="-10"/>
          <w:sz w:val="24"/>
          <w:lang w:val="en-US" w:eastAsia="zh-CN"/>
        </w:rPr>
        <w:t>过程中产生的废气及时收集，废气经排气管道送入袋式除尘器进行除尘处理，袋式除尘器处理效率取99</w:t>
      </w:r>
      <w:r>
        <w:rPr>
          <w:rFonts w:hint="default"/>
          <w:bCs/>
          <w:color w:val="000000"/>
          <w:spacing w:val="-10"/>
          <w:sz w:val="24"/>
          <w:lang w:val="en-US" w:eastAsia="zh-CN"/>
        </w:rPr>
        <w:t>%</w:t>
      </w:r>
      <w:r>
        <w:rPr>
          <w:rFonts w:hint="eastAsia"/>
          <w:bCs/>
          <w:color w:val="000000"/>
          <w:spacing w:val="-10"/>
          <w:sz w:val="24"/>
          <w:lang w:val="en-US" w:eastAsia="zh-CN"/>
        </w:rPr>
        <w:t>，砂处理系统为全封闭设备</w:t>
      </w:r>
      <w:r>
        <w:rPr>
          <w:rFonts w:hint="default" w:ascii="Times New Roman" w:hAnsi="Times New Roman" w:eastAsia="宋体" w:cs="Times New Roman"/>
          <w:color w:val="000000"/>
          <w:kern w:val="0"/>
          <w:sz w:val="24"/>
          <w:szCs w:val="24"/>
          <w:lang w:val="en-US" w:eastAsia="zh-CN" w:bidi="ar"/>
        </w:rPr>
        <w:t>，收集效率以100%计，</w:t>
      </w:r>
      <w:r>
        <w:rPr>
          <w:rFonts w:hint="eastAsia"/>
          <w:bCs/>
          <w:color w:val="000000"/>
          <w:spacing w:val="-10"/>
          <w:sz w:val="24"/>
          <w:lang w:val="en-US" w:eastAsia="zh-CN"/>
        </w:rPr>
        <w:t>废气经排气管道送入袋式除尘器进行除尘处理，袋式除尘器处理效率取99</w:t>
      </w:r>
      <w:r>
        <w:rPr>
          <w:rFonts w:hint="default"/>
          <w:bCs/>
          <w:color w:val="000000"/>
          <w:spacing w:val="-10"/>
          <w:sz w:val="24"/>
          <w:lang w:val="en-US" w:eastAsia="zh-CN"/>
        </w:rPr>
        <w:t>%</w:t>
      </w:r>
      <w:r>
        <w:rPr>
          <w:rFonts w:hint="eastAsia"/>
          <w:bCs/>
          <w:color w:val="000000"/>
          <w:spacing w:val="-10"/>
          <w:sz w:val="24"/>
          <w:lang w:val="en-US" w:eastAsia="zh-CN"/>
        </w:rPr>
        <w:t>，而后与落砂废气通过</w:t>
      </w:r>
      <w:r>
        <w:rPr>
          <w:rFonts w:hint="default"/>
          <w:bCs/>
          <w:color w:val="000000"/>
          <w:spacing w:val="-10"/>
          <w:sz w:val="24"/>
          <w:lang w:val="en-US" w:eastAsia="zh-CN"/>
        </w:rPr>
        <w:t>1</w:t>
      </w:r>
      <w:r>
        <w:rPr>
          <w:rFonts w:hint="eastAsia"/>
          <w:bCs/>
          <w:color w:val="000000"/>
          <w:spacing w:val="-10"/>
          <w:sz w:val="24"/>
          <w:lang w:val="en-US" w:eastAsia="zh-CN"/>
        </w:rPr>
        <w:t>根1</w:t>
      </w:r>
      <w:r>
        <w:rPr>
          <w:rFonts w:hint="default"/>
          <w:bCs/>
          <w:color w:val="000000"/>
          <w:spacing w:val="-10"/>
          <w:sz w:val="24"/>
          <w:lang w:val="en-US" w:eastAsia="zh-CN"/>
        </w:rPr>
        <w:t>5</w:t>
      </w:r>
      <w:r>
        <w:rPr>
          <w:rFonts w:hint="eastAsia"/>
          <w:bCs/>
          <w:color w:val="000000"/>
          <w:spacing w:val="-10"/>
          <w:sz w:val="24"/>
          <w:lang w:val="en-US" w:eastAsia="zh-CN"/>
        </w:rPr>
        <w:t>米高排气筒排放。</w:t>
      </w:r>
      <w:r>
        <w:rPr>
          <w:rFonts w:hint="eastAsia"/>
          <w:lang w:val="en-US" w:eastAsia="zh-CN"/>
        </w:rPr>
        <w:t>落砂及砂处理工序</w:t>
      </w:r>
      <w:r>
        <w:rPr>
          <w:rFonts w:hint="eastAsia"/>
          <w:bCs/>
          <w:color w:val="000000"/>
          <w:spacing w:val="-10"/>
          <w:sz w:val="24"/>
          <w:lang w:val="en-US" w:eastAsia="zh-CN"/>
        </w:rPr>
        <w:t>年</w:t>
      </w:r>
      <w:r>
        <w:rPr>
          <w:rFonts w:hint="eastAsia" w:ascii="宋体" w:hAnsi="宋体" w:eastAsia="宋体" w:cs="宋体"/>
          <w:color w:val="000000"/>
          <w:kern w:val="0"/>
          <w:sz w:val="24"/>
          <w:szCs w:val="24"/>
          <w:lang w:val="en-US" w:eastAsia="zh-CN" w:bidi="ar"/>
        </w:rPr>
        <w:t>工作时间为</w:t>
      </w:r>
      <w:r>
        <w:rPr>
          <w:rFonts w:hint="eastAsia" w:ascii="Times New Roman" w:hAnsi="Times New Roman" w:eastAsia="宋体" w:cs="Times New Roman"/>
          <w:color w:val="000000"/>
          <w:kern w:val="0"/>
          <w:sz w:val="24"/>
          <w:szCs w:val="24"/>
          <w:highlight w:val="none"/>
          <w:lang w:val="en-US" w:eastAsia="zh-CN" w:bidi="ar"/>
        </w:rPr>
        <w:t>528</w:t>
      </w:r>
      <w:r>
        <w:rPr>
          <w:rFonts w:hint="default" w:ascii="Times New Roman" w:hAnsi="Times New Roman" w:eastAsia="宋体" w:cs="Times New Roman"/>
          <w:color w:val="000000"/>
          <w:kern w:val="0"/>
          <w:sz w:val="24"/>
          <w:szCs w:val="24"/>
          <w:highlight w:val="none"/>
          <w:lang w:val="en-US" w:eastAsia="zh-CN" w:bidi="ar"/>
        </w:rPr>
        <w:t>0</w:t>
      </w:r>
      <w:r>
        <w:rPr>
          <w:rFonts w:hint="default" w:ascii="Times New Roman" w:hAnsi="Times New Roman" w:eastAsia="宋体" w:cs="Times New Roman"/>
          <w:color w:val="000000"/>
          <w:kern w:val="0"/>
          <w:sz w:val="24"/>
          <w:szCs w:val="24"/>
          <w:lang w:val="en-US" w:eastAsia="zh-CN" w:bidi="ar"/>
        </w:rPr>
        <w:t>h/a</w:t>
      </w:r>
      <w:r>
        <w:rPr>
          <w:rFonts w:hint="eastAsia" w:ascii="宋体" w:hAnsi="宋体" w:eastAsia="宋体" w:cs="宋体"/>
          <w:color w:val="000000"/>
          <w:kern w:val="0"/>
          <w:sz w:val="24"/>
          <w:szCs w:val="24"/>
          <w:lang w:val="en-US" w:eastAsia="zh-CN" w:bidi="ar"/>
        </w:rPr>
        <w:t>，</w:t>
      </w:r>
      <w:r>
        <w:rPr>
          <w:rFonts w:hint="eastAsia"/>
          <w:bCs/>
          <w:color w:val="000000"/>
          <w:spacing w:val="-10"/>
          <w:sz w:val="24"/>
          <w:lang w:val="en-US" w:eastAsia="zh-CN"/>
        </w:rPr>
        <w:t>则</w:t>
      </w:r>
      <w:r>
        <w:rPr>
          <w:rFonts w:hint="eastAsia"/>
          <w:lang w:val="en-US" w:eastAsia="zh-CN"/>
        </w:rPr>
        <w:t>落砂及砂处理工序</w:t>
      </w:r>
      <w:r>
        <w:rPr>
          <w:rFonts w:hint="eastAsia"/>
          <w:bCs/>
          <w:color w:val="000000"/>
          <w:spacing w:val="-10"/>
          <w:sz w:val="24"/>
          <w:lang w:val="en-US" w:eastAsia="zh-CN"/>
        </w:rPr>
        <w:t>废气排放情况见表</w:t>
      </w:r>
      <w:r>
        <w:rPr>
          <w:rFonts w:hint="eastAsia"/>
          <w:bCs/>
          <w:color w:val="000000"/>
          <w:spacing w:val="-10"/>
          <w:sz w:val="24"/>
          <w:highlight w:val="none"/>
          <w:lang w:val="en-US" w:eastAsia="zh-CN"/>
        </w:rPr>
        <w:t>2.5-10</w:t>
      </w:r>
      <w:r>
        <w:rPr>
          <w:rFonts w:hint="eastAsia"/>
          <w:bCs/>
          <w:color w:val="000000"/>
          <w:spacing w:val="-10"/>
          <w:sz w:val="24"/>
          <w:lang w:val="en-US" w:eastAsia="zh-CN"/>
        </w:rPr>
        <w:t>。</w:t>
      </w:r>
    </w:p>
    <w:p w14:paraId="689583DC">
      <w:pPr>
        <w:spacing w:line="360" w:lineRule="auto"/>
        <w:ind w:left="0" w:leftChars="0" w:firstLine="0" w:firstLineChars="0"/>
        <w:jc w:val="center"/>
        <w:rPr>
          <w:rFonts w:hint="default" w:ascii="Times New Roman" w:hAnsi="Times New Roman" w:eastAsia="黑体" w:cs="Times New Roman"/>
          <w:bCs/>
          <w:color w:val="000000"/>
          <w:spacing w:val="-10"/>
          <w:sz w:val="24"/>
          <w:lang w:val="en-US" w:eastAsia="zh-CN"/>
        </w:rPr>
      </w:pPr>
      <w:r>
        <w:rPr>
          <w:rFonts w:hint="default" w:ascii="Times New Roman" w:hAnsi="Times New Roman" w:eastAsia="黑体" w:cs="Times New Roman"/>
          <w:bCs/>
          <w:color w:val="000000"/>
          <w:spacing w:val="-10"/>
          <w:sz w:val="24"/>
          <w:lang w:val="en-US" w:eastAsia="zh-CN"/>
        </w:rPr>
        <w:t>表2.5-10</w:t>
      </w:r>
      <w:r>
        <w:rPr>
          <w:rFonts w:hint="eastAsia" w:ascii="Times New Roman" w:hAnsi="Times New Roman" w:eastAsia="黑体" w:cs="Times New Roman"/>
          <w:bCs/>
          <w:color w:val="000000"/>
          <w:spacing w:val="-10"/>
          <w:sz w:val="24"/>
          <w:lang w:val="en-US" w:eastAsia="zh-CN"/>
        </w:rPr>
        <w:t xml:space="preserve"> </w:t>
      </w:r>
      <w:r>
        <w:rPr>
          <w:rFonts w:hint="default" w:ascii="Times New Roman" w:hAnsi="Times New Roman" w:eastAsia="黑体" w:cs="Times New Roman"/>
          <w:bCs/>
          <w:color w:val="000000"/>
          <w:spacing w:val="-10"/>
          <w:sz w:val="24"/>
          <w:lang w:val="en-US" w:eastAsia="zh-CN"/>
        </w:rPr>
        <w:t xml:space="preserve"> 落砂及砂处理工序废气产排情况表</w:t>
      </w:r>
    </w:p>
    <w:tbl>
      <w:tblPr>
        <w:tblStyle w:val="29"/>
        <w:tblW w:w="102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737"/>
        <w:gridCol w:w="750"/>
        <w:gridCol w:w="760"/>
        <w:gridCol w:w="731"/>
        <w:gridCol w:w="925"/>
        <w:gridCol w:w="1876"/>
        <w:gridCol w:w="840"/>
        <w:gridCol w:w="690"/>
        <w:gridCol w:w="855"/>
        <w:gridCol w:w="775"/>
        <w:gridCol w:w="800"/>
      </w:tblGrid>
      <w:tr w14:paraId="209EB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restart"/>
            <w:vAlign w:val="center"/>
          </w:tcPr>
          <w:p w14:paraId="7EEA44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污染物</w:t>
            </w:r>
          </w:p>
        </w:tc>
        <w:tc>
          <w:tcPr>
            <w:tcW w:w="737" w:type="dxa"/>
            <w:vMerge w:val="restart"/>
            <w:vAlign w:val="center"/>
          </w:tcPr>
          <w:p w14:paraId="617CB2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总产生量</w:t>
            </w:r>
          </w:p>
        </w:tc>
        <w:tc>
          <w:tcPr>
            <w:tcW w:w="750" w:type="dxa"/>
            <w:vMerge w:val="restart"/>
            <w:vAlign w:val="center"/>
          </w:tcPr>
          <w:p w14:paraId="7A6D46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风机风量</w:t>
            </w:r>
          </w:p>
        </w:tc>
        <w:tc>
          <w:tcPr>
            <w:tcW w:w="2416" w:type="dxa"/>
            <w:gridSpan w:val="3"/>
            <w:vAlign w:val="center"/>
          </w:tcPr>
          <w:p w14:paraId="52530C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有组织</w:t>
            </w:r>
          </w:p>
        </w:tc>
        <w:tc>
          <w:tcPr>
            <w:tcW w:w="1876" w:type="dxa"/>
            <w:vMerge w:val="restart"/>
            <w:vAlign w:val="center"/>
          </w:tcPr>
          <w:p w14:paraId="13D3EF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治理措施</w:t>
            </w:r>
          </w:p>
        </w:tc>
        <w:tc>
          <w:tcPr>
            <w:tcW w:w="2385" w:type="dxa"/>
            <w:gridSpan w:val="3"/>
            <w:vAlign w:val="center"/>
          </w:tcPr>
          <w:p w14:paraId="34447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有组织</w:t>
            </w:r>
          </w:p>
        </w:tc>
        <w:tc>
          <w:tcPr>
            <w:tcW w:w="775" w:type="dxa"/>
            <w:vMerge w:val="restart"/>
            <w:vAlign w:val="center"/>
          </w:tcPr>
          <w:p w14:paraId="2BD1BE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无组织产生量</w:t>
            </w:r>
          </w:p>
        </w:tc>
        <w:tc>
          <w:tcPr>
            <w:tcW w:w="800" w:type="dxa"/>
            <w:vMerge w:val="restart"/>
            <w:vAlign w:val="center"/>
          </w:tcPr>
          <w:p w14:paraId="3B33D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无组织排放量</w:t>
            </w:r>
          </w:p>
        </w:tc>
      </w:tr>
      <w:tr w14:paraId="236A2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vAlign w:val="center"/>
          </w:tcPr>
          <w:p w14:paraId="2C7983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737" w:type="dxa"/>
            <w:vMerge w:val="continue"/>
            <w:vAlign w:val="center"/>
          </w:tcPr>
          <w:p w14:paraId="62609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750" w:type="dxa"/>
            <w:vMerge w:val="continue"/>
            <w:vAlign w:val="center"/>
          </w:tcPr>
          <w:p w14:paraId="0FBB6A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p>
        </w:tc>
        <w:tc>
          <w:tcPr>
            <w:tcW w:w="760" w:type="dxa"/>
            <w:vAlign w:val="center"/>
          </w:tcPr>
          <w:p w14:paraId="49BD13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产生量</w:t>
            </w:r>
          </w:p>
        </w:tc>
        <w:tc>
          <w:tcPr>
            <w:tcW w:w="731" w:type="dxa"/>
            <w:vAlign w:val="center"/>
          </w:tcPr>
          <w:p w14:paraId="144DB8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产生速率</w:t>
            </w:r>
          </w:p>
        </w:tc>
        <w:tc>
          <w:tcPr>
            <w:tcW w:w="925" w:type="dxa"/>
            <w:vAlign w:val="center"/>
          </w:tcPr>
          <w:p w14:paraId="333540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产生浓度</w:t>
            </w:r>
          </w:p>
        </w:tc>
        <w:tc>
          <w:tcPr>
            <w:tcW w:w="1876" w:type="dxa"/>
            <w:vMerge w:val="continue"/>
            <w:vAlign w:val="center"/>
          </w:tcPr>
          <w:p w14:paraId="7E4A2B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840" w:type="dxa"/>
            <w:vAlign w:val="center"/>
          </w:tcPr>
          <w:p w14:paraId="7351A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排放量</w:t>
            </w:r>
          </w:p>
        </w:tc>
        <w:tc>
          <w:tcPr>
            <w:tcW w:w="690" w:type="dxa"/>
            <w:vAlign w:val="center"/>
          </w:tcPr>
          <w:p w14:paraId="4C4B6E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排放速率</w:t>
            </w:r>
          </w:p>
        </w:tc>
        <w:tc>
          <w:tcPr>
            <w:tcW w:w="855" w:type="dxa"/>
            <w:vAlign w:val="center"/>
          </w:tcPr>
          <w:p w14:paraId="1B2959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排放浓度</w:t>
            </w:r>
          </w:p>
        </w:tc>
        <w:tc>
          <w:tcPr>
            <w:tcW w:w="775" w:type="dxa"/>
            <w:vMerge w:val="continue"/>
            <w:vAlign w:val="center"/>
          </w:tcPr>
          <w:p w14:paraId="742E7C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800" w:type="dxa"/>
            <w:vMerge w:val="continue"/>
            <w:vAlign w:val="center"/>
          </w:tcPr>
          <w:p w14:paraId="04C6AE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r>
      <w:tr w14:paraId="65F4A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Align w:val="center"/>
          </w:tcPr>
          <w:p w14:paraId="00B326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颗粒物</w:t>
            </w:r>
          </w:p>
        </w:tc>
        <w:tc>
          <w:tcPr>
            <w:tcW w:w="737" w:type="dxa"/>
            <w:vAlign w:val="center"/>
          </w:tcPr>
          <w:p w14:paraId="557641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sz w:val="21"/>
                <w:szCs w:val="21"/>
                <w:vertAlign w:val="baseline"/>
                <w:lang w:eastAsia="zh-CN"/>
              </w:rPr>
            </w:pPr>
            <w:r>
              <w:rPr>
                <w:rFonts w:hint="eastAsia"/>
                <w:bCs/>
                <w:color w:val="000000"/>
                <w:spacing w:val="-10"/>
                <w:sz w:val="21"/>
                <w:szCs w:val="21"/>
                <w:highlight w:val="none"/>
                <w:vertAlign w:val="baseline"/>
                <w:lang w:val="en-US" w:eastAsia="zh-CN"/>
              </w:rPr>
              <w:t>48.576</w:t>
            </w:r>
            <w:r>
              <w:rPr>
                <w:rFonts w:hint="eastAsia"/>
                <w:bCs/>
                <w:color w:val="000000"/>
                <w:spacing w:val="-10"/>
                <w:sz w:val="21"/>
                <w:szCs w:val="21"/>
                <w:vertAlign w:val="baseline"/>
                <w:lang w:val="en-US" w:eastAsia="zh-CN"/>
              </w:rPr>
              <w:t>t/a</w:t>
            </w:r>
          </w:p>
        </w:tc>
        <w:tc>
          <w:tcPr>
            <w:tcW w:w="750" w:type="dxa"/>
            <w:vAlign w:val="center"/>
          </w:tcPr>
          <w:p w14:paraId="3FC68C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40000m</w:t>
            </w:r>
            <w:r>
              <w:rPr>
                <w:rFonts w:hint="eastAsia" w:eastAsia="宋体"/>
                <w:sz w:val="21"/>
                <w:szCs w:val="21"/>
                <w:vertAlign w:val="superscript"/>
                <w:lang w:val="en-US" w:eastAsia="zh-CN"/>
              </w:rPr>
              <w:t>3</w:t>
            </w:r>
            <w:r>
              <w:rPr>
                <w:rFonts w:hint="eastAsia" w:eastAsia="宋体"/>
                <w:sz w:val="21"/>
                <w:szCs w:val="21"/>
                <w:vertAlign w:val="baseline"/>
                <w:lang w:val="en-US" w:eastAsia="zh-CN"/>
              </w:rPr>
              <w:t>/h</w:t>
            </w:r>
          </w:p>
        </w:tc>
        <w:tc>
          <w:tcPr>
            <w:tcW w:w="760" w:type="dxa"/>
            <w:vAlign w:val="center"/>
          </w:tcPr>
          <w:p w14:paraId="2FE8EB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highlight w:val="none"/>
                <w:vertAlign w:val="baseline"/>
                <w:lang w:val="en-US" w:eastAsia="zh-CN"/>
              </w:rPr>
            </w:pPr>
            <w:r>
              <w:rPr>
                <w:rFonts w:hint="eastAsia"/>
                <w:bCs/>
                <w:color w:val="000000"/>
                <w:spacing w:val="-10"/>
                <w:sz w:val="21"/>
                <w:szCs w:val="21"/>
                <w:highlight w:val="none"/>
                <w:vertAlign w:val="baseline"/>
                <w:lang w:val="en-US" w:eastAsia="zh-CN"/>
              </w:rPr>
              <w:t>48.216</w:t>
            </w:r>
          </w:p>
          <w:p w14:paraId="4310A7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bCs/>
                <w:color w:val="000000"/>
                <w:spacing w:val="-10"/>
                <w:sz w:val="21"/>
                <w:szCs w:val="21"/>
                <w:vertAlign w:val="baseline"/>
                <w:lang w:val="en-US" w:eastAsia="zh-CN"/>
              </w:rPr>
              <w:t>t/a</w:t>
            </w:r>
          </w:p>
        </w:tc>
        <w:tc>
          <w:tcPr>
            <w:tcW w:w="731" w:type="dxa"/>
            <w:vAlign w:val="center"/>
          </w:tcPr>
          <w:p w14:paraId="2C2F94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9.132</w:t>
            </w:r>
            <w:r>
              <w:rPr>
                <w:color w:val="000000" w:themeColor="text1"/>
                <w:sz w:val="21"/>
                <w:szCs w:val="21"/>
                <w:u w:val="none"/>
                <w14:textFill>
                  <w14:solidFill>
                    <w14:schemeClr w14:val="tx1"/>
                  </w14:solidFill>
                </w14:textFill>
              </w:rPr>
              <w:t>kg/h</w:t>
            </w:r>
          </w:p>
        </w:tc>
        <w:tc>
          <w:tcPr>
            <w:tcW w:w="925" w:type="dxa"/>
            <w:vAlign w:val="center"/>
          </w:tcPr>
          <w:p w14:paraId="0C22B9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228.295</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1876" w:type="dxa"/>
            <w:vAlign w:val="center"/>
          </w:tcPr>
          <w:p w14:paraId="586BBD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落砂机设置集气罩，砂处理系统为全封闭设备，落砂及砂处理工序分别经1套袋式除尘器处理后，经1根15m高排气筒排放</w:t>
            </w:r>
          </w:p>
        </w:tc>
        <w:tc>
          <w:tcPr>
            <w:tcW w:w="840" w:type="dxa"/>
            <w:vAlign w:val="center"/>
          </w:tcPr>
          <w:p w14:paraId="796C38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0.482</w:t>
            </w:r>
          </w:p>
          <w:p w14:paraId="231F0A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sz w:val="21"/>
                <w:szCs w:val="21"/>
                <w:vertAlign w:val="baseline"/>
                <w:lang w:val="en-US" w:eastAsia="zh-CN"/>
              </w:rPr>
            </w:pPr>
            <w:r>
              <w:rPr>
                <w:rFonts w:hint="eastAsia"/>
                <w:bCs/>
                <w:color w:val="000000"/>
                <w:spacing w:val="-10"/>
                <w:sz w:val="21"/>
                <w:szCs w:val="21"/>
                <w:highlight w:val="none"/>
                <w:vertAlign w:val="baseline"/>
                <w:lang w:val="en-US" w:eastAsia="zh-CN"/>
              </w:rPr>
              <w:t>t/a</w:t>
            </w:r>
          </w:p>
        </w:tc>
        <w:tc>
          <w:tcPr>
            <w:tcW w:w="690" w:type="dxa"/>
            <w:vAlign w:val="center"/>
          </w:tcPr>
          <w:p w14:paraId="2B776B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0.091</w:t>
            </w:r>
            <w:r>
              <w:rPr>
                <w:color w:val="000000" w:themeColor="text1"/>
                <w:sz w:val="21"/>
                <w:szCs w:val="21"/>
                <w:u w:val="none"/>
                <w14:textFill>
                  <w14:solidFill>
                    <w14:schemeClr w14:val="tx1"/>
                  </w14:solidFill>
                </w14:textFill>
              </w:rPr>
              <w:t>kg/h</w:t>
            </w:r>
          </w:p>
        </w:tc>
        <w:tc>
          <w:tcPr>
            <w:tcW w:w="855" w:type="dxa"/>
            <w:vAlign w:val="center"/>
          </w:tcPr>
          <w:p w14:paraId="6D38A8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2.282</w:t>
            </w:r>
          </w:p>
          <w:p w14:paraId="3053B1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b/>
                <w:bCs/>
                <w:sz w:val="21"/>
                <w:szCs w:val="21"/>
                <w:vertAlign w:val="baseline"/>
                <w:lang w:val="en-US" w:eastAsia="zh-CN"/>
              </w:rPr>
            </w:pP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775" w:type="dxa"/>
            <w:vAlign w:val="center"/>
          </w:tcPr>
          <w:p w14:paraId="581B83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0.36</w:t>
            </w:r>
          </w:p>
          <w:p w14:paraId="3FD76B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eastAsia="宋体"/>
                <w:sz w:val="21"/>
                <w:szCs w:val="21"/>
                <w:highlight w:val="none"/>
                <w:vertAlign w:val="baseline"/>
                <w:lang w:val="en-US" w:eastAsia="zh-CN"/>
              </w:rPr>
              <w:t>t/a</w:t>
            </w:r>
          </w:p>
        </w:tc>
        <w:tc>
          <w:tcPr>
            <w:tcW w:w="800" w:type="dxa"/>
            <w:vAlign w:val="center"/>
          </w:tcPr>
          <w:p w14:paraId="63186D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0.108</w:t>
            </w:r>
          </w:p>
          <w:p w14:paraId="388B5C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t/a</w:t>
            </w:r>
          </w:p>
        </w:tc>
      </w:tr>
    </w:tbl>
    <w:p w14:paraId="7C0A022F">
      <w:pPr>
        <w:rPr>
          <w:color w:val="000000"/>
          <w:sz w:val="24"/>
        </w:rPr>
      </w:pPr>
      <w:r>
        <w:rPr>
          <w:rFonts w:hint="eastAsia"/>
          <w:lang w:eastAsia="zh-CN"/>
        </w:rPr>
        <w:t>（</w:t>
      </w:r>
      <w:r>
        <w:rPr>
          <w:rFonts w:hint="eastAsia"/>
          <w:lang w:val="en-US" w:eastAsia="zh-CN"/>
        </w:rPr>
        <w:t>4</w:t>
      </w:r>
      <w:r>
        <w:rPr>
          <w:rFonts w:hint="eastAsia"/>
          <w:lang w:eastAsia="zh-CN"/>
        </w:rPr>
        <w:t>）</w:t>
      </w:r>
      <w:r>
        <w:rPr>
          <w:rFonts w:hint="eastAsia"/>
          <w:color w:val="000000"/>
          <w:sz w:val="24"/>
          <w:lang w:val="en-US" w:eastAsia="zh-CN"/>
        </w:rPr>
        <w:t>抛丸机抛丸工序</w:t>
      </w:r>
      <w:r>
        <w:rPr>
          <w:color w:val="000000"/>
          <w:sz w:val="24"/>
        </w:rPr>
        <w:t>排气筒（</w:t>
      </w:r>
      <w:r>
        <w:rPr>
          <w:snapToGrid w:val="0"/>
          <w:color w:val="000000"/>
          <w:kern w:val="0"/>
          <w:sz w:val="24"/>
        </w:rPr>
        <w:t>DA00</w:t>
      </w:r>
      <w:r>
        <w:rPr>
          <w:rFonts w:hint="eastAsia"/>
          <w:snapToGrid w:val="0"/>
          <w:color w:val="000000"/>
          <w:kern w:val="0"/>
          <w:sz w:val="24"/>
          <w:lang w:val="en-US" w:eastAsia="zh-CN"/>
        </w:rPr>
        <w:t>4</w:t>
      </w:r>
      <w:r>
        <w:rPr>
          <w:color w:val="000000"/>
          <w:sz w:val="24"/>
        </w:rPr>
        <w:t>）排放废气源强分析</w:t>
      </w:r>
    </w:p>
    <w:p w14:paraId="51457EA0">
      <w:pPr>
        <w:keepNext w:val="0"/>
        <w:keepLines w:val="0"/>
        <w:widowControl/>
        <w:suppressLineNumbers w:val="0"/>
        <w:jc w:val="left"/>
      </w:pPr>
      <w:r>
        <w:rPr>
          <w:rFonts w:hint="eastAsia" w:ascii="宋体" w:hAnsi="宋体" w:eastAsia="宋体" w:cs="宋体"/>
          <w:color w:val="000000"/>
          <w:kern w:val="0"/>
          <w:sz w:val="24"/>
          <w:szCs w:val="24"/>
          <w:lang w:val="en-US" w:eastAsia="zh-CN" w:bidi="ar"/>
        </w:rPr>
        <w:t>工件需要抛丸降低产品粗糙度，过程中会产生一定量的粉尘，抛丸粉尘根据《排放源统计调查产排污核算方法和系数手册</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金属制品业系数手册》（生态环境部办公厅</w:t>
      </w:r>
      <w:r>
        <w:rPr>
          <w:rFonts w:hint="default" w:ascii="Times New Roman" w:hAnsi="Times New Roman" w:eastAsia="宋体" w:cs="Times New Roman"/>
          <w:color w:val="000000"/>
          <w:kern w:val="0"/>
          <w:sz w:val="24"/>
          <w:szCs w:val="24"/>
          <w:lang w:val="en-US" w:eastAsia="zh-CN" w:bidi="ar"/>
        </w:rPr>
        <w:t>2021</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11</w:t>
      </w:r>
      <w:r>
        <w:rPr>
          <w:rFonts w:hint="eastAsia" w:ascii="宋体" w:hAnsi="宋体" w:eastAsia="宋体" w:cs="宋体"/>
          <w:color w:val="000000"/>
          <w:kern w:val="0"/>
          <w:sz w:val="24"/>
          <w:szCs w:val="24"/>
          <w:lang w:val="en-US" w:eastAsia="zh-CN" w:bidi="ar"/>
        </w:rPr>
        <w:t>日印发）中的“</w:t>
      </w:r>
      <w:r>
        <w:rPr>
          <w:rFonts w:hint="default" w:ascii="Times New Roman" w:hAnsi="Times New Roman" w:eastAsia="宋体" w:cs="Times New Roman"/>
          <w:color w:val="000000"/>
          <w:kern w:val="0"/>
          <w:sz w:val="24"/>
          <w:szCs w:val="24"/>
          <w:lang w:val="en-US" w:eastAsia="zh-CN" w:bidi="ar"/>
        </w:rPr>
        <w:t>33-3</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431-434 </w:t>
      </w:r>
      <w:r>
        <w:rPr>
          <w:rFonts w:hint="eastAsia" w:ascii="宋体" w:hAnsi="宋体" w:eastAsia="宋体" w:cs="宋体"/>
          <w:color w:val="000000"/>
          <w:kern w:val="0"/>
          <w:sz w:val="24"/>
          <w:szCs w:val="24"/>
          <w:lang w:val="en-US" w:eastAsia="zh-CN" w:bidi="ar"/>
        </w:rPr>
        <w:t>机械行业系数手册”中“</w:t>
      </w:r>
      <w:r>
        <w:rPr>
          <w:rFonts w:hint="default" w:ascii="Times New Roman" w:hAnsi="Times New Roman" w:eastAsia="宋体" w:cs="Times New Roman"/>
          <w:color w:val="000000"/>
          <w:kern w:val="0"/>
          <w:sz w:val="24"/>
          <w:szCs w:val="24"/>
          <w:lang w:val="en-US" w:eastAsia="zh-CN" w:bidi="ar"/>
        </w:rPr>
        <w:t xml:space="preserve">06 </w:t>
      </w:r>
      <w:r>
        <w:rPr>
          <w:rFonts w:hint="eastAsia" w:ascii="宋体" w:hAnsi="宋体" w:eastAsia="宋体" w:cs="宋体"/>
          <w:color w:val="000000"/>
          <w:kern w:val="0"/>
          <w:sz w:val="24"/>
          <w:szCs w:val="24"/>
          <w:lang w:val="en-US" w:eastAsia="zh-CN" w:bidi="ar"/>
        </w:rPr>
        <w:t>预处理”中“抛丸、喷砂、打磨、滚筒</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所有规模”的产污系数进行计算，具体见表</w:t>
      </w:r>
      <w:r>
        <w:rPr>
          <w:rFonts w:hint="eastAsia"/>
          <w:bCs/>
          <w:color w:val="000000"/>
          <w:spacing w:val="-10"/>
          <w:sz w:val="24"/>
          <w:highlight w:val="none"/>
          <w:lang w:val="en-US" w:eastAsia="zh-CN"/>
        </w:rPr>
        <w:t>2.5-11</w:t>
      </w:r>
      <w:r>
        <w:rPr>
          <w:rFonts w:hint="eastAsia" w:ascii="宋体" w:hAnsi="宋体" w:eastAsia="宋体" w:cs="宋体"/>
          <w:color w:val="000000"/>
          <w:kern w:val="0"/>
          <w:sz w:val="24"/>
          <w:szCs w:val="24"/>
          <w:lang w:val="en-US" w:eastAsia="zh-CN" w:bidi="ar"/>
        </w:rPr>
        <w:t>。</w:t>
      </w:r>
    </w:p>
    <w:p w14:paraId="099F8112">
      <w:pPr>
        <w:bidi w:val="0"/>
        <w:ind w:left="0" w:leftChars="0" w:firstLine="0" w:firstLineChars="0"/>
        <w:jc w:val="center"/>
        <w:rPr>
          <w:rFonts w:hint="eastAsia" w:eastAsia="宋体"/>
          <w:lang w:eastAsia="zh-CN"/>
        </w:rPr>
      </w:pPr>
      <w:r>
        <w:rPr>
          <w:rFonts w:hint="default" w:ascii="Times New Roman" w:hAnsi="Times New Roman" w:eastAsia="黑体" w:cs="Times New Roman"/>
          <w:lang w:val="en-US" w:eastAsia="zh-CN"/>
        </w:rPr>
        <w:t xml:space="preserve">表2.5-11 </w:t>
      </w:r>
      <w:r>
        <w:rPr>
          <w:rFonts w:hint="eastAsia" w:ascii="Times New Roman" w:hAnsi="Times New Roman" w:eastAsia="黑体" w:cs="Times New Roman"/>
          <w:lang w:val="en-US" w:eastAsia="zh-CN"/>
        </w:rPr>
        <w:t xml:space="preserve"> </w:t>
      </w:r>
      <w:r>
        <w:rPr>
          <w:rFonts w:hint="default" w:ascii="Times New Roman" w:hAnsi="Times New Roman" w:eastAsia="黑体" w:cs="Times New Roman"/>
          <w:lang w:val="en-US" w:eastAsia="zh-CN"/>
        </w:rPr>
        <w:t>抛丸废气</w:t>
      </w:r>
      <w:r>
        <w:rPr>
          <w:rFonts w:hint="default" w:ascii="Times New Roman" w:hAnsi="Times New Roman" w:eastAsia="黑体" w:cs="Times New Roman"/>
          <w:bCs/>
          <w:color w:val="000000"/>
          <w:spacing w:val="-10"/>
          <w:sz w:val="24"/>
          <w:lang w:val="en-US" w:eastAsia="zh-CN"/>
        </w:rPr>
        <w:t>产污系数</w:t>
      </w:r>
      <w:r>
        <w:rPr>
          <w:rFonts w:hint="default" w:ascii="Times New Roman" w:hAnsi="Times New Roman" w:eastAsia="黑体" w:cs="Times New Roman"/>
          <w:lang w:val="en-US" w:eastAsia="zh-CN"/>
        </w:rPr>
        <w:t>表</w:t>
      </w:r>
    </w:p>
    <w:tbl>
      <w:tblPr>
        <w:tblStyle w:val="29"/>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1596"/>
        <w:gridCol w:w="1209"/>
        <w:gridCol w:w="1461"/>
        <w:gridCol w:w="1420"/>
        <w:gridCol w:w="1420"/>
        <w:gridCol w:w="1420"/>
      </w:tblGrid>
      <w:tr w14:paraId="6E94E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1" w:type="pct"/>
            <w:vAlign w:val="center"/>
          </w:tcPr>
          <w:p w14:paraId="57A0DB5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核算环节</w:t>
            </w:r>
          </w:p>
        </w:tc>
        <w:tc>
          <w:tcPr>
            <w:tcW w:w="817" w:type="pct"/>
            <w:vAlign w:val="center"/>
          </w:tcPr>
          <w:p w14:paraId="5FFD26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原料名称</w:t>
            </w:r>
          </w:p>
        </w:tc>
        <w:tc>
          <w:tcPr>
            <w:tcW w:w="619" w:type="pct"/>
            <w:vAlign w:val="center"/>
          </w:tcPr>
          <w:p w14:paraId="7A969F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规模等级</w:t>
            </w:r>
          </w:p>
        </w:tc>
        <w:tc>
          <w:tcPr>
            <w:tcW w:w="748" w:type="pct"/>
            <w:vAlign w:val="center"/>
          </w:tcPr>
          <w:p w14:paraId="286866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污染物指标</w:t>
            </w:r>
          </w:p>
        </w:tc>
        <w:tc>
          <w:tcPr>
            <w:tcW w:w="727" w:type="pct"/>
            <w:vAlign w:val="center"/>
          </w:tcPr>
          <w:p w14:paraId="1E665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产污系数</w:t>
            </w:r>
          </w:p>
        </w:tc>
        <w:tc>
          <w:tcPr>
            <w:tcW w:w="727" w:type="pct"/>
            <w:vAlign w:val="center"/>
          </w:tcPr>
          <w:p w14:paraId="766AB4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原料规模</w:t>
            </w:r>
          </w:p>
        </w:tc>
        <w:tc>
          <w:tcPr>
            <w:tcW w:w="727" w:type="pct"/>
            <w:vAlign w:val="center"/>
          </w:tcPr>
          <w:p w14:paraId="143401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污染物产生量</w:t>
            </w:r>
          </w:p>
        </w:tc>
      </w:tr>
      <w:tr w14:paraId="4E24F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31" w:type="pct"/>
            <w:vAlign w:val="center"/>
          </w:tcPr>
          <w:p w14:paraId="2D3C91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抛丸</w:t>
            </w:r>
          </w:p>
        </w:tc>
        <w:tc>
          <w:tcPr>
            <w:tcW w:w="817" w:type="pct"/>
            <w:vAlign w:val="center"/>
          </w:tcPr>
          <w:p w14:paraId="6369AE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铸件</w:t>
            </w:r>
          </w:p>
        </w:tc>
        <w:tc>
          <w:tcPr>
            <w:tcW w:w="619" w:type="pct"/>
            <w:vAlign w:val="center"/>
          </w:tcPr>
          <w:p w14:paraId="3B47F0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所有规模</w:t>
            </w:r>
          </w:p>
        </w:tc>
        <w:tc>
          <w:tcPr>
            <w:tcW w:w="748" w:type="pct"/>
            <w:vAlign w:val="center"/>
          </w:tcPr>
          <w:p w14:paraId="3C097C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000000"/>
                <w:spacing w:val="-10"/>
                <w:sz w:val="21"/>
                <w:szCs w:val="21"/>
                <w:vertAlign w:val="baseline"/>
              </w:rPr>
            </w:pPr>
            <w:r>
              <w:rPr>
                <w:rFonts w:hint="eastAsia"/>
                <w:bCs/>
                <w:color w:val="000000"/>
                <w:spacing w:val="-10"/>
                <w:sz w:val="21"/>
                <w:szCs w:val="21"/>
                <w:vertAlign w:val="baseline"/>
                <w:lang w:val="en-US" w:eastAsia="zh-CN"/>
              </w:rPr>
              <w:t>颗粒物</w:t>
            </w:r>
          </w:p>
        </w:tc>
        <w:tc>
          <w:tcPr>
            <w:tcW w:w="727" w:type="pct"/>
            <w:vAlign w:val="center"/>
          </w:tcPr>
          <w:p w14:paraId="483989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2.19kg/t-原料</w:t>
            </w:r>
          </w:p>
        </w:tc>
        <w:tc>
          <w:tcPr>
            <w:tcW w:w="727" w:type="pct"/>
            <w:vAlign w:val="center"/>
          </w:tcPr>
          <w:p w14:paraId="58D941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Cs/>
                <w:color w:val="000000"/>
                <w:spacing w:val="-10"/>
                <w:sz w:val="21"/>
                <w:szCs w:val="21"/>
                <w:vertAlign w:val="baseline"/>
                <w:lang w:val="en-US" w:eastAsia="zh-CN"/>
              </w:rPr>
            </w:pPr>
            <w:r>
              <w:rPr>
                <w:rFonts w:hint="eastAsia"/>
                <w:bCs/>
                <w:color w:val="000000"/>
                <w:spacing w:val="-10"/>
                <w:sz w:val="21"/>
                <w:szCs w:val="21"/>
                <w:vertAlign w:val="baseline"/>
                <w:lang w:val="en-US" w:eastAsia="zh-CN"/>
              </w:rPr>
              <w:t>12627.655t/a</w:t>
            </w:r>
          </w:p>
        </w:tc>
        <w:tc>
          <w:tcPr>
            <w:tcW w:w="727" w:type="pct"/>
            <w:vAlign w:val="center"/>
          </w:tcPr>
          <w:p w14:paraId="7EC57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val="0"/>
                <w:color w:val="000000"/>
                <w:spacing w:val="-10"/>
                <w:sz w:val="21"/>
                <w:szCs w:val="21"/>
                <w:vertAlign w:val="baseline"/>
                <w:lang w:val="en-US" w:eastAsia="zh-CN"/>
              </w:rPr>
            </w:pPr>
            <w:r>
              <w:rPr>
                <w:rFonts w:hint="eastAsia"/>
                <w:bCs/>
                <w:color w:val="000000"/>
                <w:spacing w:val="-10"/>
                <w:sz w:val="21"/>
                <w:szCs w:val="21"/>
                <w:vertAlign w:val="baseline"/>
                <w:lang w:val="en-US" w:eastAsia="zh-CN"/>
              </w:rPr>
              <w:t>27.655t/a</w:t>
            </w:r>
          </w:p>
        </w:tc>
      </w:tr>
    </w:tbl>
    <w:p w14:paraId="3B3CA61C">
      <w:pPr>
        <w:keepNext w:val="0"/>
        <w:keepLines w:val="0"/>
        <w:widowControl/>
        <w:suppressLineNumbers w:val="0"/>
        <w:jc w:val="left"/>
      </w:pPr>
      <w:r>
        <w:rPr>
          <w:rFonts w:hint="eastAsia" w:ascii="宋体" w:hAnsi="宋体" w:eastAsia="宋体" w:cs="宋体"/>
          <w:color w:val="000000"/>
          <w:kern w:val="0"/>
          <w:sz w:val="24"/>
          <w:szCs w:val="24"/>
          <w:lang w:val="en-US" w:eastAsia="zh-CN" w:bidi="ar"/>
        </w:rPr>
        <w:t>本次环评要求抛丸粉尘经</w:t>
      </w:r>
      <w:r>
        <w:rPr>
          <w:rFonts w:hint="eastAsia" w:ascii="宋体" w:hAnsi="宋体" w:cs="宋体"/>
          <w:color w:val="000000"/>
          <w:kern w:val="0"/>
          <w:sz w:val="24"/>
          <w:szCs w:val="24"/>
          <w:lang w:val="en-US" w:eastAsia="zh-CN" w:bidi="ar"/>
        </w:rPr>
        <w:t>抛丸机自带的</w:t>
      </w:r>
      <w:r>
        <w:rPr>
          <w:rFonts w:hint="eastAsia" w:ascii="宋体" w:hAnsi="宋体" w:eastAsia="宋体" w:cs="宋体"/>
          <w:color w:val="000000"/>
          <w:kern w:val="0"/>
          <w:sz w:val="24"/>
          <w:szCs w:val="24"/>
          <w:lang w:val="en-US" w:eastAsia="zh-CN" w:bidi="ar"/>
        </w:rPr>
        <w:t>袋式除尘器处理后经</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根</w:t>
      </w:r>
      <w:r>
        <w:rPr>
          <w:rFonts w:hint="default" w:ascii="Times New Roman" w:hAnsi="Times New Roman" w:eastAsia="宋体" w:cs="Times New Roman"/>
          <w:color w:val="000000"/>
          <w:kern w:val="0"/>
          <w:sz w:val="24"/>
          <w:szCs w:val="24"/>
          <w:lang w:val="en-US" w:eastAsia="zh-CN" w:bidi="ar"/>
        </w:rPr>
        <w:t>15m</w:t>
      </w:r>
      <w:r>
        <w:rPr>
          <w:rFonts w:hint="eastAsia" w:ascii="宋体" w:hAnsi="宋体" w:eastAsia="宋体" w:cs="宋体"/>
          <w:color w:val="000000"/>
          <w:kern w:val="0"/>
          <w:sz w:val="24"/>
          <w:szCs w:val="24"/>
          <w:lang w:val="en-US" w:eastAsia="zh-CN" w:bidi="ar"/>
        </w:rPr>
        <w:t>高排气筒排放，抛丸机为全封闭设备，收集效率以</w:t>
      </w:r>
      <w:r>
        <w:rPr>
          <w:rFonts w:hint="default" w:ascii="Times New Roman" w:hAnsi="Times New Roman" w:eastAsia="宋体" w:cs="Times New Roman"/>
          <w:color w:val="000000"/>
          <w:kern w:val="0"/>
          <w:sz w:val="24"/>
          <w:szCs w:val="24"/>
          <w:lang w:val="en-US" w:eastAsia="zh-CN" w:bidi="ar"/>
        </w:rPr>
        <w:t>100%</w:t>
      </w:r>
      <w:r>
        <w:rPr>
          <w:rFonts w:hint="eastAsia" w:ascii="宋体" w:hAnsi="宋体" w:eastAsia="宋体" w:cs="宋体"/>
          <w:color w:val="000000"/>
          <w:kern w:val="0"/>
          <w:sz w:val="24"/>
          <w:szCs w:val="24"/>
          <w:lang w:val="en-US" w:eastAsia="zh-CN" w:bidi="ar"/>
        </w:rPr>
        <w:t>计，除尘效率为</w:t>
      </w:r>
      <w:r>
        <w:rPr>
          <w:rFonts w:hint="default" w:ascii="Times New Roman" w:hAnsi="Times New Roman" w:eastAsia="宋体" w:cs="Times New Roman"/>
          <w:color w:val="000000"/>
          <w:kern w:val="0"/>
          <w:sz w:val="24"/>
          <w:szCs w:val="24"/>
          <w:lang w:val="en-US" w:eastAsia="zh-CN" w:bidi="ar"/>
        </w:rPr>
        <w:t>9</w:t>
      </w:r>
      <w:r>
        <w:rPr>
          <w:rFonts w:hint="eastAsia" w:ascii="Times New Roman" w:hAnsi="Times New Roman" w:eastAsia="宋体" w:cs="Times New Roman"/>
          <w:color w:val="000000"/>
          <w:kern w:val="0"/>
          <w:sz w:val="24"/>
          <w:szCs w:val="24"/>
          <w:lang w:val="en-US" w:eastAsia="zh-CN" w:bidi="ar"/>
        </w:rPr>
        <w:t>9</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，工作时间为</w:t>
      </w:r>
      <w:r>
        <w:rPr>
          <w:rFonts w:hint="default" w:ascii="Times New Roman" w:hAnsi="Times New Roman" w:eastAsia="宋体" w:cs="Times New Roman"/>
          <w:color w:val="000000"/>
          <w:kern w:val="0"/>
          <w:sz w:val="24"/>
          <w:szCs w:val="24"/>
          <w:lang w:val="en-US" w:eastAsia="zh-CN" w:bidi="ar"/>
        </w:rPr>
        <w:t>3000h/a</w:t>
      </w:r>
      <w:r>
        <w:rPr>
          <w:rFonts w:hint="eastAsia" w:ascii="宋体" w:hAnsi="宋体" w:eastAsia="宋体" w:cs="宋体"/>
          <w:color w:val="000000"/>
          <w:kern w:val="0"/>
          <w:sz w:val="24"/>
          <w:szCs w:val="24"/>
          <w:lang w:val="en-US" w:eastAsia="zh-CN" w:bidi="ar"/>
        </w:rPr>
        <w:t>，则清理抛丸粉尘的产排情况详见下表。</w:t>
      </w:r>
    </w:p>
    <w:p w14:paraId="40CEA84A">
      <w:pPr>
        <w:bidi w:val="0"/>
        <w:ind w:left="0" w:leftChars="0" w:firstLine="0" w:firstLineChars="0"/>
        <w:jc w:val="center"/>
        <w:rPr>
          <w:rFonts w:hint="eastAsia" w:eastAsia="宋体"/>
          <w:lang w:eastAsia="zh-CN"/>
        </w:rPr>
      </w:pPr>
      <w:r>
        <w:rPr>
          <w:rFonts w:hint="default" w:ascii="Times New Roman" w:hAnsi="Times New Roman" w:eastAsia="黑体" w:cs="Times New Roman"/>
          <w:lang w:val="en-US" w:eastAsia="zh-CN"/>
        </w:rPr>
        <w:t>表</w:t>
      </w:r>
      <w:r>
        <w:rPr>
          <w:rFonts w:hint="eastAsia"/>
          <w:bCs/>
          <w:color w:val="000000"/>
          <w:spacing w:val="-10"/>
          <w:sz w:val="24"/>
          <w:highlight w:val="none"/>
          <w:lang w:val="en-US" w:eastAsia="zh-CN"/>
        </w:rPr>
        <w:t>2.5-12</w:t>
      </w:r>
      <w:r>
        <w:rPr>
          <w:rFonts w:hint="default" w:ascii="Times New Roman" w:hAnsi="Times New Roman" w:eastAsia="黑体" w:cs="Times New Roman"/>
          <w:lang w:val="en-US" w:eastAsia="zh-CN"/>
        </w:rPr>
        <w:t xml:space="preserve">  抛丸废气污染物产排情况表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739"/>
        <w:gridCol w:w="750"/>
        <w:gridCol w:w="737"/>
        <w:gridCol w:w="777"/>
        <w:gridCol w:w="903"/>
        <w:gridCol w:w="2022"/>
        <w:gridCol w:w="706"/>
        <w:gridCol w:w="736"/>
        <w:gridCol w:w="818"/>
        <w:gridCol w:w="1283"/>
      </w:tblGrid>
      <w:tr w14:paraId="06B5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4" w:type="dxa"/>
            <w:vMerge w:val="restart"/>
            <w:vAlign w:val="center"/>
          </w:tcPr>
          <w:p w14:paraId="10F6A7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污染物</w:t>
            </w:r>
          </w:p>
        </w:tc>
        <w:tc>
          <w:tcPr>
            <w:tcW w:w="739" w:type="dxa"/>
            <w:vMerge w:val="restart"/>
            <w:vAlign w:val="center"/>
          </w:tcPr>
          <w:p w14:paraId="333BC7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总产生量</w:t>
            </w:r>
          </w:p>
        </w:tc>
        <w:tc>
          <w:tcPr>
            <w:tcW w:w="750" w:type="dxa"/>
            <w:vMerge w:val="restart"/>
            <w:vAlign w:val="center"/>
          </w:tcPr>
          <w:p w14:paraId="53F9F8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风机风量</w:t>
            </w:r>
          </w:p>
        </w:tc>
        <w:tc>
          <w:tcPr>
            <w:tcW w:w="2417" w:type="dxa"/>
            <w:gridSpan w:val="3"/>
            <w:vAlign w:val="center"/>
          </w:tcPr>
          <w:p w14:paraId="17A894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有组织</w:t>
            </w:r>
          </w:p>
        </w:tc>
        <w:tc>
          <w:tcPr>
            <w:tcW w:w="2022" w:type="dxa"/>
            <w:vMerge w:val="restart"/>
            <w:vAlign w:val="center"/>
          </w:tcPr>
          <w:p w14:paraId="0DC70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治理措施</w:t>
            </w:r>
          </w:p>
        </w:tc>
        <w:tc>
          <w:tcPr>
            <w:tcW w:w="2260" w:type="dxa"/>
            <w:gridSpan w:val="3"/>
            <w:vAlign w:val="center"/>
          </w:tcPr>
          <w:p w14:paraId="17CC8B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有组织</w:t>
            </w:r>
          </w:p>
        </w:tc>
        <w:tc>
          <w:tcPr>
            <w:tcW w:w="1283" w:type="dxa"/>
            <w:vMerge w:val="restart"/>
            <w:vAlign w:val="center"/>
          </w:tcPr>
          <w:p w14:paraId="6FC0D2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无组织排放量</w:t>
            </w:r>
          </w:p>
        </w:tc>
      </w:tr>
      <w:tr w14:paraId="5B18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4" w:type="dxa"/>
            <w:vMerge w:val="continue"/>
            <w:vAlign w:val="center"/>
          </w:tcPr>
          <w:p w14:paraId="07EF37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739" w:type="dxa"/>
            <w:vMerge w:val="continue"/>
            <w:vAlign w:val="center"/>
          </w:tcPr>
          <w:p w14:paraId="5073F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750" w:type="dxa"/>
            <w:vMerge w:val="continue"/>
            <w:vAlign w:val="center"/>
          </w:tcPr>
          <w:p w14:paraId="6E8B22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p>
        </w:tc>
        <w:tc>
          <w:tcPr>
            <w:tcW w:w="737" w:type="dxa"/>
            <w:vAlign w:val="center"/>
          </w:tcPr>
          <w:p w14:paraId="4817C1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产生量</w:t>
            </w:r>
          </w:p>
        </w:tc>
        <w:tc>
          <w:tcPr>
            <w:tcW w:w="777" w:type="dxa"/>
            <w:vAlign w:val="center"/>
          </w:tcPr>
          <w:p w14:paraId="3E156A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产生速率</w:t>
            </w:r>
          </w:p>
        </w:tc>
        <w:tc>
          <w:tcPr>
            <w:tcW w:w="903" w:type="dxa"/>
            <w:vAlign w:val="center"/>
          </w:tcPr>
          <w:p w14:paraId="4BFB7A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产生</w:t>
            </w:r>
          </w:p>
          <w:p w14:paraId="4E43DB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浓度</w:t>
            </w:r>
          </w:p>
        </w:tc>
        <w:tc>
          <w:tcPr>
            <w:tcW w:w="2022" w:type="dxa"/>
            <w:vMerge w:val="continue"/>
            <w:vAlign w:val="center"/>
          </w:tcPr>
          <w:p w14:paraId="0811D4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c>
          <w:tcPr>
            <w:tcW w:w="706" w:type="dxa"/>
            <w:vAlign w:val="center"/>
          </w:tcPr>
          <w:p w14:paraId="6A556E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排放量</w:t>
            </w:r>
          </w:p>
        </w:tc>
        <w:tc>
          <w:tcPr>
            <w:tcW w:w="736" w:type="dxa"/>
            <w:vAlign w:val="center"/>
          </w:tcPr>
          <w:p w14:paraId="09B001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排放速率</w:t>
            </w:r>
          </w:p>
        </w:tc>
        <w:tc>
          <w:tcPr>
            <w:tcW w:w="818" w:type="dxa"/>
            <w:vAlign w:val="center"/>
          </w:tcPr>
          <w:p w14:paraId="30EA0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排放浓度</w:t>
            </w:r>
          </w:p>
        </w:tc>
        <w:tc>
          <w:tcPr>
            <w:tcW w:w="1283" w:type="dxa"/>
            <w:vMerge w:val="continue"/>
            <w:vAlign w:val="center"/>
          </w:tcPr>
          <w:p w14:paraId="3EC5B5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p>
        </w:tc>
      </w:tr>
      <w:tr w14:paraId="05A9A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4" w:type="dxa"/>
            <w:vAlign w:val="center"/>
          </w:tcPr>
          <w:p w14:paraId="7E47E0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颗粒物</w:t>
            </w:r>
          </w:p>
        </w:tc>
        <w:tc>
          <w:tcPr>
            <w:tcW w:w="739" w:type="dxa"/>
            <w:vAlign w:val="center"/>
          </w:tcPr>
          <w:p w14:paraId="7D9A76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sz w:val="21"/>
                <w:szCs w:val="21"/>
                <w:vertAlign w:val="baseline"/>
                <w:lang w:eastAsia="zh-CN"/>
              </w:rPr>
            </w:pPr>
            <w:r>
              <w:rPr>
                <w:rFonts w:hint="eastAsia"/>
                <w:bCs/>
                <w:color w:val="000000"/>
                <w:spacing w:val="-10"/>
                <w:sz w:val="21"/>
                <w:szCs w:val="21"/>
                <w:vertAlign w:val="baseline"/>
                <w:lang w:val="en-US" w:eastAsia="zh-CN"/>
              </w:rPr>
              <w:t>27.655t/a</w:t>
            </w:r>
          </w:p>
        </w:tc>
        <w:tc>
          <w:tcPr>
            <w:tcW w:w="750" w:type="dxa"/>
            <w:vAlign w:val="center"/>
          </w:tcPr>
          <w:p w14:paraId="5F6B7B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25000</w:t>
            </w:r>
            <w:r>
              <w:rPr>
                <w:rFonts w:hint="eastAsia" w:eastAsia="宋体"/>
                <w:sz w:val="21"/>
                <w:szCs w:val="21"/>
                <w:vertAlign w:val="baseline"/>
                <w:lang w:val="en-US" w:eastAsia="zh-CN"/>
              </w:rPr>
              <w:t>m</w:t>
            </w:r>
            <w:r>
              <w:rPr>
                <w:rFonts w:hint="eastAsia" w:eastAsia="宋体"/>
                <w:sz w:val="21"/>
                <w:szCs w:val="21"/>
                <w:vertAlign w:val="superscript"/>
                <w:lang w:val="en-US" w:eastAsia="zh-CN"/>
              </w:rPr>
              <w:t>3</w:t>
            </w:r>
            <w:r>
              <w:rPr>
                <w:rFonts w:hint="eastAsia" w:eastAsia="宋体"/>
                <w:sz w:val="21"/>
                <w:szCs w:val="21"/>
                <w:vertAlign w:val="baseline"/>
                <w:lang w:val="en-US" w:eastAsia="zh-CN"/>
              </w:rPr>
              <w:t>/h</w:t>
            </w:r>
          </w:p>
        </w:tc>
        <w:tc>
          <w:tcPr>
            <w:tcW w:w="737" w:type="dxa"/>
            <w:vAlign w:val="center"/>
          </w:tcPr>
          <w:p w14:paraId="1467F9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bCs/>
                <w:color w:val="000000"/>
                <w:spacing w:val="-10"/>
                <w:sz w:val="21"/>
                <w:szCs w:val="21"/>
                <w:vertAlign w:val="baseline"/>
                <w:lang w:val="en-US" w:eastAsia="zh-CN"/>
              </w:rPr>
              <w:t>27.655t/a</w:t>
            </w:r>
          </w:p>
        </w:tc>
        <w:tc>
          <w:tcPr>
            <w:tcW w:w="777" w:type="dxa"/>
            <w:vAlign w:val="center"/>
          </w:tcPr>
          <w:p w14:paraId="0C3EE6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5.238</w:t>
            </w:r>
            <w:r>
              <w:rPr>
                <w:color w:val="000000" w:themeColor="text1"/>
                <w:sz w:val="21"/>
                <w:szCs w:val="21"/>
                <w:u w:val="none"/>
                <w14:textFill>
                  <w14:solidFill>
                    <w14:schemeClr w14:val="tx1"/>
                  </w14:solidFill>
                </w14:textFill>
              </w:rPr>
              <w:t>kg/h</w:t>
            </w:r>
          </w:p>
        </w:tc>
        <w:tc>
          <w:tcPr>
            <w:tcW w:w="903" w:type="dxa"/>
            <w:vAlign w:val="center"/>
          </w:tcPr>
          <w:p w14:paraId="4CF164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209.508</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2022" w:type="dxa"/>
            <w:vAlign w:val="center"/>
          </w:tcPr>
          <w:p w14:paraId="19327C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val="en-US" w:eastAsia="zh-CN"/>
              </w:rPr>
              <w:t>抛丸机为全封闭设备</w:t>
            </w:r>
            <w:r>
              <w:rPr>
                <w:rFonts w:hint="eastAsia"/>
                <w:sz w:val="21"/>
                <w:szCs w:val="21"/>
                <w:vertAlign w:val="baseline"/>
                <w:lang w:val="en-US" w:eastAsia="zh-CN"/>
              </w:rPr>
              <w:t>，经1套袋式除尘器处理后，经1根15m高排气筒排放</w:t>
            </w:r>
          </w:p>
        </w:tc>
        <w:tc>
          <w:tcPr>
            <w:tcW w:w="706" w:type="dxa"/>
            <w:vAlign w:val="center"/>
          </w:tcPr>
          <w:p w14:paraId="4D780B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0.277</w:t>
            </w:r>
            <w:r>
              <w:rPr>
                <w:rFonts w:hint="eastAsia"/>
                <w:bCs/>
                <w:color w:val="000000"/>
                <w:spacing w:val="-10"/>
                <w:sz w:val="21"/>
                <w:szCs w:val="21"/>
                <w:vertAlign w:val="baseline"/>
                <w:lang w:val="en-US" w:eastAsia="zh-CN"/>
              </w:rPr>
              <w:t>t/a</w:t>
            </w:r>
          </w:p>
        </w:tc>
        <w:tc>
          <w:tcPr>
            <w:tcW w:w="736" w:type="dxa"/>
            <w:vAlign w:val="center"/>
          </w:tcPr>
          <w:p w14:paraId="039119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0.052</w:t>
            </w:r>
            <w:r>
              <w:rPr>
                <w:color w:val="000000" w:themeColor="text1"/>
                <w:sz w:val="21"/>
                <w:szCs w:val="21"/>
                <w:u w:val="none"/>
                <w14:textFill>
                  <w14:solidFill>
                    <w14:schemeClr w14:val="tx1"/>
                  </w14:solidFill>
                </w14:textFill>
              </w:rPr>
              <w:t>kg/h</w:t>
            </w:r>
          </w:p>
        </w:tc>
        <w:tc>
          <w:tcPr>
            <w:tcW w:w="818" w:type="dxa"/>
            <w:vAlign w:val="center"/>
          </w:tcPr>
          <w:p w14:paraId="226AF7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2.095</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p>
        </w:tc>
        <w:tc>
          <w:tcPr>
            <w:tcW w:w="1283" w:type="dxa"/>
            <w:vAlign w:val="center"/>
          </w:tcPr>
          <w:p w14:paraId="764167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vertAlign w:val="baseline"/>
                <w:lang w:val="en-US" w:eastAsia="zh-CN"/>
              </w:rPr>
            </w:pPr>
            <w:r>
              <w:rPr>
                <w:rFonts w:hint="eastAsia"/>
                <w:sz w:val="21"/>
                <w:szCs w:val="21"/>
                <w:vertAlign w:val="baseline"/>
                <w:lang w:val="en-US" w:eastAsia="zh-CN"/>
              </w:rPr>
              <w:t>/</w:t>
            </w:r>
          </w:p>
        </w:tc>
      </w:tr>
    </w:tbl>
    <w:p w14:paraId="3FA11BD6">
      <w:pPr>
        <w:bidi w:val="0"/>
        <w:sectPr>
          <w:footerReference r:id="rId12" w:type="first"/>
          <w:footerReference r:id="rId11" w:type="default"/>
          <w:pgSz w:w="11905" w:h="16838"/>
          <w:pgMar w:top="1440" w:right="1083" w:bottom="1440" w:left="1083" w:header="850" w:footer="992" w:gutter="0"/>
          <w:cols w:space="720" w:num="1"/>
          <w:titlePg/>
          <w:docGrid w:type="lines" w:linePitch="318" w:charSpace="0"/>
        </w:sectPr>
      </w:pPr>
      <w:r>
        <w:t>项目有组织废气具体产排情况、无组织废气产生及排放情况、排放口基本情况等详见下表。</w:t>
      </w:r>
    </w:p>
    <w:p w14:paraId="043EA109">
      <w:pPr>
        <w:pStyle w:val="57"/>
        <w:ind w:firstLine="0"/>
        <w:jc w:val="center"/>
        <w:rPr>
          <w:rFonts w:hint="default" w:ascii="Times New Roman" w:hAnsi="Times New Roman" w:eastAsia="黑体" w:cs="Times New Roman"/>
          <w:b w:val="0"/>
          <w:bCs w:val="0"/>
          <w:color w:val="auto"/>
        </w:rPr>
      </w:pPr>
      <w:r>
        <w:rPr>
          <w:rFonts w:hint="default" w:ascii="Times New Roman" w:hAnsi="Times New Roman" w:eastAsia="黑体" w:cs="Times New Roman"/>
          <w:b w:val="0"/>
          <w:bCs w:val="0"/>
          <w:color w:val="auto"/>
        </w:rPr>
        <w:t>表</w:t>
      </w:r>
      <w:r>
        <w:rPr>
          <w:rFonts w:hint="default" w:ascii="Times New Roman" w:hAnsi="Times New Roman" w:eastAsia="黑体" w:cs="Times New Roman"/>
          <w:b w:val="0"/>
          <w:bCs w:val="0"/>
          <w:color w:val="auto"/>
          <w:lang w:val="en-US" w:eastAsia="zh-CN"/>
        </w:rPr>
        <w:t>2.5-1</w:t>
      </w:r>
      <w:r>
        <w:rPr>
          <w:rFonts w:hint="eastAsia" w:ascii="Times New Roman" w:hAnsi="Times New Roman" w:eastAsia="黑体" w:cs="Times New Roman"/>
          <w:b w:val="0"/>
          <w:bCs w:val="0"/>
          <w:color w:val="auto"/>
          <w:lang w:val="en-US" w:eastAsia="zh-CN"/>
        </w:rPr>
        <w:t xml:space="preserve">3 </w:t>
      </w:r>
      <w:r>
        <w:rPr>
          <w:rFonts w:hint="default" w:ascii="Times New Roman" w:hAnsi="Times New Roman" w:eastAsia="黑体" w:cs="Times New Roman"/>
          <w:b w:val="0"/>
          <w:bCs w:val="0"/>
          <w:color w:val="auto"/>
        </w:rPr>
        <w:t xml:space="preserve"> </w:t>
      </w:r>
      <w:r>
        <w:rPr>
          <w:rFonts w:hint="default" w:ascii="Times New Roman" w:hAnsi="Times New Roman" w:eastAsia="黑体" w:cs="Times New Roman"/>
          <w:b w:val="0"/>
          <w:bCs w:val="0"/>
          <w:color w:val="auto"/>
          <w:lang w:val="en-US" w:eastAsia="zh-CN"/>
        </w:rPr>
        <w:t>正常工况下</w:t>
      </w:r>
      <w:r>
        <w:rPr>
          <w:rFonts w:hint="default" w:ascii="Times New Roman" w:hAnsi="Times New Roman" w:eastAsia="黑体" w:cs="Times New Roman"/>
          <w:b w:val="0"/>
          <w:bCs w:val="0"/>
          <w:color w:val="auto"/>
        </w:rPr>
        <w:t>有组织废气产生及排放情况</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34"/>
        <w:gridCol w:w="1081"/>
        <w:gridCol w:w="989"/>
        <w:gridCol w:w="804"/>
        <w:gridCol w:w="796"/>
        <w:gridCol w:w="1480"/>
        <w:gridCol w:w="989"/>
        <w:gridCol w:w="804"/>
        <w:gridCol w:w="657"/>
        <w:gridCol w:w="564"/>
        <w:gridCol w:w="598"/>
        <w:gridCol w:w="503"/>
        <w:gridCol w:w="721"/>
        <w:gridCol w:w="313"/>
        <w:gridCol w:w="1421"/>
        <w:gridCol w:w="1108"/>
      </w:tblGrid>
      <w:tr w14:paraId="17123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9" w:type="pct"/>
            <w:vMerge w:val="restart"/>
            <w:vAlign w:val="center"/>
          </w:tcPr>
          <w:p w14:paraId="49F65785">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产排污环节及污染源</w:t>
            </w:r>
          </w:p>
        </w:tc>
        <w:tc>
          <w:tcPr>
            <w:tcW w:w="400" w:type="pct"/>
            <w:vMerge w:val="restart"/>
            <w:vAlign w:val="center"/>
          </w:tcPr>
          <w:p w14:paraId="4731B2FB">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污染因子</w:t>
            </w:r>
          </w:p>
        </w:tc>
        <w:tc>
          <w:tcPr>
            <w:tcW w:w="907" w:type="pct"/>
            <w:gridSpan w:val="3"/>
            <w:vAlign w:val="center"/>
          </w:tcPr>
          <w:p w14:paraId="5D33575A">
            <w:pPr>
              <w:pStyle w:val="35"/>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产生情况</w:t>
            </w:r>
          </w:p>
        </w:tc>
        <w:tc>
          <w:tcPr>
            <w:tcW w:w="543" w:type="pct"/>
            <w:vMerge w:val="restart"/>
            <w:vAlign w:val="center"/>
          </w:tcPr>
          <w:p w14:paraId="77F7E2D9">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治理措施</w:t>
            </w:r>
          </w:p>
        </w:tc>
        <w:tc>
          <w:tcPr>
            <w:tcW w:w="859" w:type="pct"/>
            <w:gridSpan w:val="3"/>
            <w:vAlign w:val="center"/>
          </w:tcPr>
          <w:p w14:paraId="536469BD">
            <w:pPr>
              <w:pStyle w:val="35"/>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排放情况</w:t>
            </w:r>
          </w:p>
        </w:tc>
        <w:tc>
          <w:tcPr>
            <w:tcW w:w="1470" w:type="pct"/>
            <w:gridSpan w:val="6"/>
            <w:vAlign w:val="center"/>
          </w:tcPr>
          <w:p w14:paraId="0EDB8662">
            <w:pPr>
              <w:pStyle w:val="35"/>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排放口基本情况</w:t>
            </w:r>
          </w:p>
        </w:tc>
        <w:tc>
          <w:tcPr>
            <w:tcW w:w="398" w:type="pct"/>
            <w:vMerge w:val="restart"/>
            <w:vAlign w:val="center"/>
          </w:tcPr>
          <w:p w14:paraId="08402473">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排放形式及排放时间</w:t>
            </w:r>
          </w:p>
        </w:tc>
      </w:tr>
      <w:tr w14:paraId="42C1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9" w:type="pct"/>
            <w:vMerge w:val="continue"/>
            <w:vAlign w:val="center"/>
          </w:tcPr>
          <w:p w14:paraId="5070F2FF">
            <w:pPr>
              <w:pStyle w:val="35"/>
              <w:rPr>
                <w:rFonts w:hint="default"/>
                <w:color w:val="000000" w:themeColor="text1"/>
                <w:sz w:val="21"/>
                <w:szCs w:val="21"/>
                <w:u w:val="none"/>
                <w14:textFill>
                  <w14:solidFill>
                    <w14:schemeClr w14:val="tx1"/>
                  </w14:solidFill>
                </w14:textFill>
              </w:rPr>
            </w:pPr>
          </w:p>
        </w:tc>
        <w:tc>
          <w:tcPr>
            <w:tcW w:w="400" w:type="pct"/>
            <w:vMerge w:val="continue"/>
            <w:vAlign w:val="center"/>
          </w:tcPr>
          <w:p w14:paraId="31ADBD1C">
            <w:pPr>
              <w:pStyle w:val="35"/>
              <w:rPr>
                <w:rFonts w:hint="default"/>
                <w:color w:val="000000" w:themeColor="text1"/>
                <w:sz w:val="21"/>
                <w:szCs w:val="21"/>
                <w:u w:val="none"/>
                <w14:textFill>
                  <w14:solidFill>
                    <w14:schemeClr w14:val="tx1"/>
                  </w14:solidFill>
                </w14:textFill>
              </w:rPr>
            </w:pPr>
          </w:p>
        </w:tc>
        <w:tc>
          <w:tcPr>
            <w:tcW w:w="325" w:type="pct"/>
            <w:vAlign w:val="center"/>
          </w:tcPr>
          <w:p w14:paraId="3EE7A45A">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产生浓度</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r>
              <w:rPr>
                <w:rFonts w:hint="default"/>
                <w:color w:val="000000" w:themeColor="text1"/>
                <w:sz w:val="21"/>
                <w:szCs w:val="21"/>
                <w:u w:val="none"/>
                <w14:textFill>
                  <w14:solidFill>
                    <w14:schemeClr w14:val="tx1"/>
                  </w14:solidFill>
                </w14:textFill>
              </w:rPr>
              <w:t>）</w:t>
            </w:r>
          </w:p>
        </w:tc>
        <w:tc>
          <w:tcPr>
            <w:tcW w:w="284" w:type="pct"/>
            <w:vAlign w:val="center"/>
          </w:tcPr>
          <w:p w14:paraId="4FC6D7C2">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产生速率（kg/h）</w:t>
            </w:r>
          </w:p>
        </w:tc>
        <w:tc>
          <w:tcPr>
            <w:tcW w:w="297" w:type="pct"/>
            <w:vAlign w:val="center"/>
          </w:tcPr>
          <w:p w14:paraId="65EFFEF7">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产生量（t/a）</w:t>
            </w:r>
          </w:p>
        </w:tc>
        <w:tc>
          <w:tcPr>
            <w:tcW w:w="543" w:type="pct"/>
            <w:vMerge w:val="continue"/>
            <w:vAlign w:val="center"/>
          </w:tcPr>
          <w:p w14:paraId="083E1AE3">
            <w:pPr>
              <w:pStyle w:val="35"/>
              <w:rPr>
                <w:rFonts w:hint="default"/>
                <w:color w:val="000000" w:themeColor="text1"/>
                <w:sz w:val="21"/>
                <w:szCs w:val="21"/>
                <w:u w:val="none"/>
                <w14:textFill>
                  <w14:solidFill>
                    <w14:schemeClr w14:val="tx1"/>
                  </w14:solidFill>
                </w14:textFill>
              </w:rPr>
            </w:pPr>
          </w:p>
        </w:tc>
        <w:tc>
          <w:tcPr>
            <w:tcW w:w="311" w:type="pct"/>
            <w:vAlign w:val="center"/>
          </w:tcPr>
          <w:p w14:paraId="1EF8DE92">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排放浓度</w:t>
            </w:r>
            <w:r>
              <w:rPr>
                <w:rFonts w:hint="default"/>
                <w:color w:val="000000" w:themeColor="text1"/>
                <w:sz w:val="21"/>
                <w:szCs w:val="21"/>
                <w:u w:val="none"/>
                <w14:textFill>
                  <w14:solidFill>
                    <w14:schemeClr w14:val="tx1"/>
                  </w14:solidFill>
                </w14:textFill>
              </w:rPr>
              <w:t>（mg/m</w:t>
            </w:r>
            <w:r>
              <w:rPr>
                <w:rFonts w:hint="default"/>
                <w:color w:val="000000" w:themeColor="text1"/>
                <w:sz w:val="21"/>
                <w:szCs w:val="21"/>
                <w:u w:val="none"/>
                <w:vertAlign w:val="superscript"/>
                <w14:textFill>
                  <w14:solidFill>
                    <w14:schemeClr w14:val="tx1"/>
                  </w14:solidFill>
                </w14:textFill>
              </w:rPr>
              <w:t>3</w:t>
            </w:r>
            <w:r>
              <w:rPr>
                <w:rFonts w:hint="default"/>
                <w:color w:val="000000" w:themeColor="text1"/>
                <w:sz w:val="21"/>
                <w:szCs w:val="21"/>
                <w:u w:val="none"/>
                <w14:textFill>
                  <w14:solidFill>
                    <w14:schemeClr w14:val="tx1"/>
                  </w14:solidFill>
                </w14:textFill>
              </w:rPr>
              <w:t>）</w:t>
            </w:r>
          </w:p>
        </w:tc>
        <w:tc>
          <w:tcPr>
            <w:tcW w:w="288" w:type="pct"/>
            <w:vAlign w:val="center"/>
          </w:tcPr>
          <w:p w14:paraId="6095C9DB">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排放速率（kg/h）</w:t>
            </w:r>
          </w:p>
        </w:tc>
        <w:tc>
          <w:tcPr>
            <w:tcW w:w="258" w:type="pct"/>
            <w:vAlign w:val="center"/>
          </w:tcPr>
          <w:p w14:paraId="5B739732">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排放量（t/a）</w:t>
            </w:r>
          </w:p>
        </w:tc>
        <w:tc>
          <w:tcPr>
            <w:tcW w:w="215" w:type="pct"/>
            <w:shd w:val="clear" w:color="auto" w:fill="auto"/>
            <w:vAlign w:val="center"/>
          </w:tcPr>
          <w:p w14:paraId="49DD6DBA">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高度</w:t>
            </w:r>
          </w:p>
        </w:tc>
        <w:tc>
          <w:tcPr>
            <w:tcW w:w="227" w:type="pct"/>
            <w:shd w:val="clear" w:color="auto" w:fill="auto"/>
            <w:vAlign w:val="center"/>
          </w:tcPr>
          <w:p w14:paraId="19F890D1">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排气筒内径</w:t>
            </w:r>
          </w:p>
        </w:tc>
        <w:tc>
          <w:tcPr>
            <w:tcW w:w="193" w:type="pct"/>
            <w:shd w:val="clear" w:color="auto" w:fill="auto"/>
            <w:vAlign w:val="center"/>
          </w:tcPr>
          <w:p w14:paraId="582E89C2">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温度</w:t>
            </w:r>
          </w:p>
        </w:tc>
        <w:tc>
          <w:tcPr>
            <w:tcW w:w="271" w:type="pct"/>
            <w:shd w:val="clear" w:color="auto" w:fill="auto"/>
            <w:vAlign w:val="center"/>
          </w:tcPr>
          <w:p w14:paraId="02AC58E4">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vertAlign w:val="baseline"/>
                <w:lang w:val="en-US" w:eastAsia="zh-CN"/>
              </w:rPr>
            </w:pPr>
            <w:r>
              <w:rPr>
                <w:rFonts w:hint="default" w:ascii="Times New Roman" w:hAnsi="Times New Roman" w:eastAsia="宋体" w:cs="Times New Roman"/>
                <w:b w:val="0"/>
                <w:bCs w:val="0"/>
                <w:color w:val="auto"/>
                <w:sz w:val="21"/>
                <w:szCs w:val="21"/>
                <w:u w:val="none"/>
                <w:vertAlign w:val="baseline"/>
                <w:lang w:val="en-US" w:eastAsia="zh-CN"/>
              </w:rPr>
              <w:t>编号及名称</w:t>
            </w:r>
          </w:p>
        </w:tc>
        <w:tc>
          <w:tcPr>
            <w:tcW w:w="125" w:type="pct"/>
            <w:shd w:val="clear" w:color="auto" w:fill="auto"/>
            <w:vAlign w:val="center"/>
          </w:tcPr>
          <w:p w14:paraId="66C2D11B">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类型</w:t>
            </w:r>
          </w:p>
        </w:tc>
        <w:tc>
          <w:tcPr>
            <w:tcW w:w="437" w:type="pct"/>
            <w:vAlign w:val="center"/>
          </w:tcPr>
          <w:p w14:paraId="44FE1E17">
            <w:pPr>
              <w:pStyle w:val="57"/>
              <w:keepNext w:val="0"/>
              <w:keepLines w:val="0"/>
              <w:pageBreakBefore w:val="0"/>
              <w:widowControl/>
              <w:suppressLineNumbers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u w:val="none"/>
                <w:vertAlign w:val="baseline"/>
                <w:lang w:val="en-US" w:eastAsia="zh-CN" w:bidi="ar-SA"/>
              </w:rPr>
            </w:pPr>
            <w:r>
              <w:rPr>
                <w:rFonts w:hint="default" w:ascii="Times New Roman" w:hAnsi="Times New Roman" w:eastAsia="宋体" w:cs="Times New Roman"/>
                <w:b w:val="0"/>
                <w:bCs w:val="0"/>
                <w:color w:val="auto"/>
                <w:sz w:val="21"/>
                <w:szCs w:val="21"/>
                <w:u w:val="none"/>
                <w:vertAlign w:val="baseline"/>
                <w:lang w:val="en-US" w:eastAsia="zh-CN"/>
              </w:rPr>
              <w:t>地理坐标</w:t>
            </w:r>
          </w:p>
        </w:tc>
        <w:tc>
          <w:tcPr>
            <w:tcW w:w="398" w:type="pct"/>
            <w:vMerge w:val="continue"/>
            <w:vAlign w:val="center"/>
          </w:tcPr>
          <w:p w14:paraId="655D04EE">
            <w:pPr>
              <w:pStyle w:val="35"/>
              <w:rPr>
                <w:rFonts w:hint="default"/>
                <w:color w:val="000000" w:themeColor="text1"/>
                <w:sz w:val="21"/>
                <w:szCs w:val="21"/>
                <w:u w:val="none"/>
                <w14:textFill>
                  <w14:solidFill>
                    <w14:schemeClr w14:val="tx1"/>
                  </w14:solidFill>
                </w14:textFill>
              </w:rPr>
            </w:pPr>
          </w:p>
        </w:tc>
      </w:tr>
      <w:tr w14:paraId="093F3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19" w:type="pct"/>
            <w:vAlign w:val="center"/>
          </w:tcPr>
          <w:p w14:paraId="7C592BBB">
            <w:pPr>
              <w:pStyle w:val="35"/>
              <w:rPr>
                <w:rFonts w:hint="default"/>
                <w:color w:val="000000" w:themeColor="text1"/>
                <w:sz w:val="21"/>
                <w:szCs w:val="21"/>
                <w:u w:val="none"/>
                <w14:textFill>
                  <w14:solidFill>
                    <w14:schemeClr w14:val="tx1"/>
                  </w14:solidFill>
                </w14:textFill>
              </w:rPr>
            </w:pPr>
            <w:r>
              <w:rPr>
                <w:rFonts w:hint="default" w:ascii="Times New Roman" w:hAnsi="Times New Roman" w:cs="Times New Roman"/>
                <w:b w:val="0"/>
                <w:bCs w:val="0"/>
                <w:color w:val="auto"/>
                <w:kern w:val="0"/>
                <w:sz w:val="21"/>
                <w:szCs w:val="21"/>
                <w:highlight w:val="none"/>
                <w:u w:val="none"/>
                <w:lang w:val="en-US" w:eastAsia="zh-CN" w:bidi="ar-SA"/>
              </w:rPr>
              <w:t>熔炼</w:t>
            </w:r>
            <w:r>
              <w:rPr>
                <w:rFonts w:hint="eastAsia" w:ascii="Times New Roman" w:hAnsi="Times New Roman" w:cs="Times New Roman"/>
                <w:b w:val="0"/>
                <w:bCs w:val="0"/>
                <w:color w:val="auto"/>
                <w:kern w:val="0"/>
                <w:sz w:val="21"/>
                <w:szCs w:val="21"/>
                <w:highlight w:val="none"/>
                <w:u w:val="none"/>
                <w:lang w:val="en-US" w:eastAsia="zh-CN" w:bidi="ar-SA"/>
              </w:rPr>
              <w:t>工序</w:t>
            </w:r>
          </w:p>
        </w:tc>
        <w:tc>
          <w:tcPr>
            <w:tcW w:w="400" w:type="pct"/>
            <w:vAlign w:val="center"/>
          </w:tcPr>
          <w:p w14:paraId="6E78824A">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颗粒物</w:t>
            </w:r>
          </w:p>
        </w:tc>
        <w:tc>
          <w:tcPr>
            <w:tcW w:w="325" w:type="pct"/>
            <w:vAlign w:val="center"/>
          </w:tcPr>
          <w:p w14:paraId="3A9D52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u w:val="none"/>
                <w14:textFill>
                  <w14:solidFill>
                    <w14:schemeClr w14:val="tx1"/>
                  </w14:solidFill>
                </w14:textFill>
              </w:rPr>
            </w:pPr>
            <w:r>
              <w:rPr>
                <w:rFonts w:hint="default"/>
                <w:sz w:val="21"/>
                <w:szCs w:val="21"/>
                <w:lang w:val="en-US" w:eastAsia="zh-CN"/>
              </w:rPr>
              <w:t>244.934</w:t>
            </w:r>
          </w:p>
        </w:tc>
        <w:tc>
          <w:tcPr>
            <w:tcW w:w="284" w:type="pct"/>
            <w:vAlign w:val="center"/>
          </w:tcPr>
          <w:p w14:paraId="781095E9">
            <w:pPr>
              <w:pStyle w:val="35"/>
              <w:rPr>
                <w:rFonts w:hint="default"/>
                <w:color w:val="000000" w:themeColor="text1"/>
                <w:sz w:val="21"/>
                <w:szCs w:val="21"/>
                <w:u w:val="none"/>
                <w14:textFill>
                  <w14:solidFill>
                    <w14:schemeClr w14:val="tx1"/>
                  </w14:solidFill>
                </w14:textFill>
              </w:rPr>
            </w:pPr>
            <w:r>
              <w:rPr>
                <w:rFonts w:hint="default"/>
                <w:sz w:val="21"/>
                <w:szCs w:val="21"/>
                <w:lang w:val="en-US" w:eastAsia="zh-CN"/>
              </w:rPr>
              <w:t>0.980</w:t>
            </w:r>
          </w:p>
        </w:tc>
        <w:tc>
          <w:tcPr>
            <w:tcW w:w="297" w:type="pct"/>
            <w:vAlign w:val="center"/>
          </w:tcPr>
          <w:p w14:paraId="5703F4C7">
            <w:pPr>
              <w:pStyle w:val="35"/>
              <w:rPr>
                <w:rFonts w:hint="default"/>
                <w:color w:val="000000" w:themeColor="text1"/>
                <w:sz w:val="21"/>
                <w:szCs w:val="21"/>
                <w:u w:val="none"/>
                <w14:textFill>
                  <w14:solidFill>
                    <w14:schemeClr w14:val="tx1"/>
                  </w14:solidFill>
                </w14:textFill>
              </w:rPr>
            </w:pPr>
            <w:r>
              <w:rPr>
                <w:rFonts w:hint="eastAsia"/>
                <w:bCs/>
                <w:color w:val="000000"/>
                <w:spacing w:val="-10"/>
                <w:sz w:val="21"/>
                <w:szCs w:val="21"/>
                <w:u w:val="none"/>
                <w:vertAlign w:val="baseline"/>
                <w:lang w:val="en-US" w:eastAsia="zh-CN"/>
              </w:rPr>
              <w:t>5.173</w:t>
            </w:r>
          </w:p>
        </w:tc>
        <w:tc>
          <w:tcPr>
            <w:tcW w:w="543" w:type="pct"/>
            <w:vAlign w:val="center"/>
          </w:tcPr>
          <w:p w14:paraId="4C5AB577">
            <w:pPr>
              <w:pStyle w:val="35"/>
              <w:rPr>
                <w:rFonts w:hint="default"/>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耐高温袋式除尘器</w:t>
            </w:r>
            <w:r>
              <w:rPr>
                <w:color w:val="000000" w:themeColor="text1"/>
                <w:sz w:val="21"/>
                <w:szCs w:val="21"/>
                <w:u w:val="none"/>
                <w14:textFill>
                  <w14:solidFill>
                    <w14:schemeClr w14:val="tx1"/>
                  </w14:solidFill>
                </w14:textFill>
              </w:rPr>
              <w:t>+15m排气筒</w:t>
            </w:r>
          </w:p>
        </w:tc>
        <w:tc>
          <w:tcPr>
            <w:tcW w:w="311" w:type="pct"/>
            <w:vAlign w:val="center"/>
          </w:tcPr>
          <w:p w14:paraId="44CE22C7">
            <w:pPr>
              <w:pStyle w:val="35"/>
              <w:rPr>
                <w:rFonts w:hint="default"/>
                <w:color w:val="000000" w:themeColor="text1"/>
                <w:sz w:val="21"/>
                <w:szCs w:val="21"/>
                <w:u w:val="none"/>
                <w14:textFill>
                  <w14:solidFill>
                    <w14:schemeClr w14:val="tx1"/>
                  </w14:solidFill>
                </w14:textFill>
              </w:rPr>
            </w:pPr>
            <w:r>
              <w:rPr>
                <w:rFonts w:hint="default"/>
                <w:sz w:val="21"/>
                <w:szCs w:val="21"/>
                <w:lang w:val="en-US" w:eastAsia="zh-CN"/>
              </w:rPr>
              <w:t>2.449</w:t>
            </w:r>
          </w:p>
        </w:tc>
        <w:tc>
          <w:tcPr>
            <w:tcW w:w="288" w:type="pct"/>
            <w:vAlign w:val="center"/>
          </w:tcPr>
          <w:p w14:paraId="5DDD1477">
            <w:pPr>
              <w:pStyle w:val="35"/>
              <w:rPr>
                <w:rFonts w:hint="default"/>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0.010</w:t>
            </w:r>
          </w:p>
        </w:tc>
        <w:tc>
          <w:tcPr>
            <w:tcW w:w="258" w:type="pct"/>
            <w:vAlign w:val="center"/>
          </w:tcPr>
          <w:p w14:paraId="040AF3AA">
            <w:pPr>
              <w:pStyle w:val="35"/>
              <w:rPr>
                <w:rFonts w:hint="default"/>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0.052</w:t>
            </w:r>
          </w:p>
        </w:tc>
        <w:tc>
          <w:tcPr>
            <w:tcW w:w="215" w:type="pct"/>
            <w:vAlign w:val="center"/>
          </w:tcPr>
          <w:p w14:paraId="56494C4D">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15m</w:t>
            </w:r>
          </w:p>
        </w:tc>
        <w:tc>
          <w:tcPr>
            <w:tcW w:w="227" w:type="pct"/>
            <w:vAlign w:val="center"/>
          </w:tcPr>
          <w:p w14:paraId="2A680A04">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0.3m</w:t>
            </w:r>
          </w:p>
        </w:tc>
        <w:tc>
          <w:tcPr>
            <w:tcW w:w="193" w:type="pct"/>
            <w:vAlign w:val="center"/>
          </w:tcPr>
          <w:p w14:paraId="2695A749">
            <w:pPr>
              <w:pStyle w:val="35"/>
              <w:rPr>
                <w:color w:val="000000" w:themeColor="text1"/>
                <w:sz w:val="21"/>
                <w:szCs w:val="21"/>
                <w:u w:val="none"/>
                <w14:textFill>
                  <w14:solidFill>
                    <w14:schemeClr w14:val="tx1"/>
                  </w14:solidFill>
                </w14:textFill>
              </w:rPr>
            </w:pPr>
            <w:r>
              <w:rPr>
                <w:rFonts w:hint="eastAsia" w:ascii="Times New Roman" w:hAnsi="Times New Roman" w:eastAsia="宋体" w:cs="Times New Roman"/>
                <w:b w:val="0"/>
                <w:bCs w:val="0"/>
                <w:color w:val="auto"/>
                <w:sz w:val="21"/>
                <w:szCs w:val="21"/>
                <w:vertAlign w:val="baseline"/>
                <w:lang w:val="en-US" w:eastAsia="zh-CN"/>
              </w:rPr>
              <w:t>50</w:t>
            </w:r>
            <w:r>
              <w:rPr>
                <w:rFonts w:hint="default" w:ascii="Times New Roman" w:hAnsi="Times New Roman" w:eastAsia="宋体" w:cs="Times New Roman"/>
                <w:b w:val="0"/>
                <w:bCs w:val="0"/>
                <w:color w:val="auto"/>
                <w:sz w:val="21"/>
                <w:szCs w:val="21"/>
                <w:vertAlign w:val="baseline"/>
                <w:lang w:val="en-US" w:eastAsia="zh-CN"/>
              </w:rPr>
              <w:t>℃</w:t>
            </w:r>
          </w:p>
        </w:tc>
        <w:tc>
          <w:tcPr>
            <w:tcW w:w="271" w:type="pct"/>
            <w:vAlign w:val="center"/>
          </w:tcPr>
          <w:p w14:paraId="3C0A1A56">
            <w:pPr>
              <w:pStyle w:val="35"/>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DA001</w:t>
            </w:r>
          </w:p>
        </w:tc>
        <w:tc>
          <w:tcPr>
            <w:tcW w:w="125" w:type="pct"/>
            <w:vMerge w:val="restart"/>
            <w:vAlign w:val="center"/>
          </w:tcPr>
          <w:p w14:paraId="0B0965CB">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一般排放口</w:t>
            </w:r>
          </w:p>
        </w:tc>
        <w:tc>
          <w:tcPr>
            <w:tcW w:w="437" w:type="pct"/>
            <w:vAlign w:val="center"/>
          </w:tcPr>
          <w:p w14:paraId="6C792524">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112.20434546</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33.04039946</w:t>
            </w:r>
          </w:p>
        </w:tc>
        <w:tc>
          <w:tcPr>
            <w:tcW w:w="398" w:type="pct"/>
            <w:vAlign w:val="center"/>
          </w:tcPr>
          <w:p w14:paraId="1771E3B3">
            <w:pPr>
              <w:pStyle w:val="35"/>
              <w:jc w:val="center"/>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有组织排放（</w:t>
            </w:r>
            <w:r>
              <w:rPr>
                <w:rFonts w:hint="eastAsia"/>
                <w:color w:val="000000" w:themeColor="text1"/>
                <w:sz w:val="21"/>
                <w:szCs w:val="21"/>
                <w:u w:val="none"/>
                <w:lang w:val="en-US" w:eastAsia="zh-CN"/>
                <w14:textFill>
                  <w14:solidFill>
                    <w14:schemeClr w14:val="tx1"/>
                  </w14:solidFill>
                </w14:textFill>
              </w:rPr>
              <w:t>5280</w:t>
            </w:r>
            <w:r>
              <w:rPr>
                <w:color w:val="000000" w:themeColor="text1"/>
                <w:sz w:val="21"/>
                <w:szCs w:val="21"/>
                <w:u w:val="none"/>
                <w14:textFill>
                  <w14:solidFill>
                    <w14:schemeClr w14:val="tx1"/>
                  </w14:solidFill>
                </w14:textFill>
              </w:rPr>
              <w:t>h/a）</w:t>
            </w:r>
          </w:p>
        </w:tc>
      </w:tr>
      <w:tr w14:paraId="3F39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jc w:val="center"/>
        </w:trPr>
        <w:tc>
          <w:tcPr>
            <w:tcW w:w="419" w:type="pct"/>
            <w:vMerge w:val="restart"/>
            <w:vAlign w:val="center"/>
          </w:tcPr>
          <w:p w14:paraId="4B0986EC">
            <w:pPr>
              <w:pStyle w:val="35"/>
              <w:rPr>
                <w:rFonts w:hint="default"/>
                <w:color w:val="000000" w:themeColor="text1"/>
                <w:sz w:val="21"/>
                <w:szCs w:val="21"/>
                <w:u w:val="none"/>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混砂、造型/浇注、工件清理和不合格品回用切割工序</w:t>
            </w:r>
          </w:p>
        </w:tc>
        <w:tc>
          <w:tcPr>
            <w:tcW w:w="400" w:type="pct"/>
            <w:vAlign w:val="center"/>
          </w:tcPr>
          <w:p w14:paraId="326BCD10">
            <w:pPr>
              <w:pStyle w:val="35"/>
              <w:rPr>
                <w:rFonts w:hint="default"/>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颗粒物</w:t>
            </w:r>
          </w:p>
        </w:tc>
        <w:tc>
          <w:tcPr>
            <w:tcW w:w="989" w:type="dxa"/>
            <w:vAlign w:val="center"/>
          </w:tcPr>
          <w:p w14:paraId="1F0C00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197.528</w:t>
            </w:r>
          </w:p>
        </w:tc>
        <w:tc>
          <w:tcPr>
            <w:tcW w:w="804" w:type="dxa"/>
            <w:vAlign w:val="center"/>
          </w:tcPr>
          <w:p w14:paraId="196AF2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u w:val="none"/>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3.951</w:t>
            </w:r>
          </w:p>
        </w:tc>
        <w:tc>
          <w:tcPr>
            <w:tcW w:w="297" w:type="pct"/>
            <w:vAlign w:val="center"/>
          </w:tcPr>
          <w:p w14:paraId="13D90C6E">
            <w:pPr>
              <w:pStyle w:val="35"/>
              <w:rPr>
                <w:rFonts w:hint="default"/>
                <w:color w:val="000000" w:themeColor="text1"/>
                <w:sz w:val="21"/>
                <w:szCs w:val="21"/>
                <w:u w:val="none"/>
                <w14:textFill>
                  <w14:solidFill>
                    <w14:schemeClr w14:val="tx1"/>
                  </w14:solidFill>
                </w14:textFill>
              </w:rPr>
            </w:pPr>
            <w:r>
              <w:rPr>
                <w:rFonts w:hint="eastAsia"/>
                <w:bCs/>
                <w:color w:val="000000"/>
                <w:spacing w:val="-10"/>
                <w:sz w:val="21"/>
                <w:szCs w:val="21"/>
                <w:vertAlign w:val="baseline"/>
                <w:lang w:val="en-US" w:eastAsia="zh-CN"/>
              </w:rPr>
              <w:t>20.859</w:t>
            </w:r>
          </w:p>
        </w:tc>
        <w:tc>
          <w:tcPr>
            <w:tcW w:w="543" w:type="pct"/>
            <w:vMerge w:val="restart"/>
            <w:vAlign w:val="center"/>
          </w:tcPr>
          <w:p w14:paraId="43158579">
            <w:pPr>
              <w:pStyle w:val="35"/>
              <w:rPr>
                <w:rFonts w:hint="default"/>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袋式除尘器+催化燃烧（RCO）+15m排气筒</w:t>
            </w:r>
          </w:p>
        </w:tc>
        <w:tc>
          <w:tcPr>
            <w:tcW w:w="989" w:type="dxa"/>
            <w:vAlign w:val="center"/>
          </w:tcPr>
          <w:p w14:paraId="7CF12F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1.979</w:t>
            </w:r>
          </w:p>
        </w:tc>
        <w:tc>
          <w:tcPr>
            <w:tcW w:w="804" w:type="dxa"/>
            <w:vAlign w:val="center"/>
          </w:tcPr>
          <w:p w14:paraId="2EC0D2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0.040</w:t>
            </w:r>
          </w:p>
        </w:tc>
        <w:tc>
          <w:tcPr>
            <w:tcW w:w="258" w:type="pct"/>
            <w:vAlign w:val="center"/>
          </w:tcPr>
          <w:p w14:paraId="4EE16508">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0.209</w:t>
            </w:r>
          </w:p>
        </w:tc>
        <w:tc>
          <w:tcPr>
            <w:tcW w:w="215" w:type="pct"/>
            <w:vMerge w:val="restart"/>
            <w:vAlign w:val="center"/>
          </w:tcPr>
          <w:p w14:paraId="7420B81F">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15m</w:t>
            </w:r>
          </w:p>
        </w:tc>
        <w:tc>
          <w:tcPr>
            <w:tcW w:w="227" w:type="pct"/>
            <w:vMerge w:val="restart"/>
            <w:vAlign w:val="center"/>
          </w:tcPr>
          <w:p w14:paraId="2FF19C52">
            <w:pPr>
              <w:pStyle w:val="35"/>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0.6m</w:t>
            </w:r>
          </w:p>
        </w:tc>
        <w:tc>
          <w:tcPr>
            <w:tcW w:w="193" w:type="pct"/>
            <w:vMerge w:val="restart"/>
            <w:vAlign w:val="center"/>
          </w:tcPr>
          <w:p w14:paraId="03EFFBF2">
            <w:pPr>
              <w:pStyle w:val="35"/>
              <w:rPr>
                <w:color w:val="000000" w:themeColor="text1"/>
                <w:sz w:val="21"/>
                <w:szCs w:val="21"/>
                <w:u w:val="none"/>
                <w14:textFill>
                  <w14:solidFill>
                    <w14:schemeClr w14:val="tx1"/>
                  </w14:solidFill>
                </w14:textFill>
              </w:rPr>
            </w:pPr>
            <w:r>
              <w:rPr>
                <w:rFonts w:hint="eastAsia" w:ascii="Times New Roman" w:hAnsi="Times New Roman" w:eastAsia="宋体" w:cs="Times New Roman"/>
                <w:b w:val="0"/>
                <w:bCs w:val="0"/>
                <w:color w:val="auto"/>
                <w:sz w:val="21"/>
                <w:szCs w:val="21"/>
                <w:vertAlign w:val="baseline"/>
                <w:lang w:val="en-US" w:eastAsia="zh-CN"/>
              </w:rPr>
              <w:t>30</w:t>
            </w:r>
            <w:r>
              <w:rPr>
                <w:rFonts w:hint="default" w:ascii="Times New Roman" w:hAnsi="Times New Roman" w:eastAsia="宋体" w:cs="Times New Roman"/>
                <w:b w:val="0"/>
                <w:bCs w:val="0"/>
                <w:color w:val="auto"/>
                <w:sz w:val="21"/>
                <w:szCs w:val="21"/>
                <w:vertAlign w:val="baseline"/>
                <w:lang w:val="en-US" w:eastAsia="zh-CN"/>
              </w:rPr>
              <w:t>℃</w:t>
            </w:r>
          </w:p>
        </w:tc>
        <w:tc>
          <w:tcPr>
            <w:tcW w:w="271" w:type="pct"/>
            <w:vMerge w:val="restart"/>
            <w:vAlign w:val="center"/>
          </w:tcPr>
          <w:p w14:paraId="1BF15221">
            <w:pPr>
              <w:pStyle w:val="35"/>
              <w:rPr>
                <w:rFonts w:hint="eastAsia" w:eastAsia="宋体"/>
                <w:color w:val="000000" w:themeColor="text1"/>
                <w:sz w:val="21"/>
                <w:szCs w:val="21"/>
                <w:u w:val="none"/>
                <w:lang w:val="en-US" w:eastAsia="zh-CN"/>
                <w14:textFill>
                  <w14:solidFill>
                    <w14:schemeClr w14:val="tx1"/>
                  </w14:solidFill>
                </w14:textFill>
              </w:rPr>
            </w:pPr>
            <w:r>
              <w:rPr>
                <w:color w:val="000000" w:themeColor="text1"/>
                <w:sz w:val="21"/>
                <w:szCs w:val="21"/>
                <w:u w:val="none"/>
                <w14:textFill>
                  <w14:solidFill>
                    <w14:schemeClr w14:val="tx1"/>
                  </w14:solidFill>
                </w14:textFill>
              </w:rPr>
              <w:t>DA00</w:t>
            </w:r>
            <w:r>
              <w:rPr>
                <w:rFonts w:hint="eastAsia"/>
                <w:color w:val="000000" w:themeColor="text1"/>
                <w:sz w:val="21"/>
                <w:szCs w:val="21"/>
                <w:u w:val="none"/>
                <w:lang w:val="en-US" w:eastAsia="zh-CN"/>
                <w14:textFill>
                  <w14:solidFill>
                    <w14:schemeClr w14:val="tx1"/>
                  </w14:solidFill>
                </w14:textFill>
              </w:rPr>
              <w:t>2</w:t>
            </w:r>
          </w:p>
        </w:tc>
        <w:tc>
          <w:tcPr>
            <w:tcW w:w="125" w:type="pct"/>
            <w:vMerge w:val="continue"/>
            <w:vAlign w:val="center"/>
          </w:tcPr>
          <w:p w14:paraId="60BB5834">
            <w:pPr>
              <w:pStyle w:val="35"/>
              <w:rPr>
                <w:color w:val="000000" w:themeColor="text1"/>
                <w:sz w:val="21"/>
                <w:szCs w:val="21"/>
                <w:u w:val="none"/>
                <w14:textFill>
                  <w14:solidFill>
                    <w14:schemeClr w14:val="tx1"/>
                  </w14:solidFill>
                </w14:textFill>
              </w:rPr>
            </w:pPr>
          </w:p>
        </w:tc>
        <w:tc>
          <w:tcPr>
            <w:tcW w:w="437" w:type="pct"/>
            <w:vMerge w:val="restart"/>
            <w:vAlign w:val="center"/>
          </w:tcPr>
          <w:p w14:paraId="06B41C0E">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112.20458150</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33.04015663</w:t>
            </w:r>
          </w:p>
        </w:tc>
        <w:tc>
          <w:tcPr>
            <w:tcW w:w="398" w:type="pct"/>
            <w:vMerge w:val="restart"/>
            <w:shd w:val="clear" w:color="auto" w:fill="auto"/>
            <w:vAlign w:val="center"/>
          </w:tcPr>
          <w:p w14:paraId="3E067283">
            <w:pPr>
              <w:pStyle w:val="35"/>
              <w:ind w:firstLine="0" w:firstLineChars="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有组织排放（</w:t>
            </w:r>
            <w:r>
              <w:rPr>
                <w:rFonts w:hint="eastAsia"/>
                <w:color w:val="000000" w:themeColor="text1"/>
                <w:sz w:val="21"/>
                <w:szCs w:val="21"/>
                <w:u w:val="none"/>
                <w:lang w:val="en-US" w:eastAsia="zh-CN"/>
                <w14:textFill>
                  <w14:solidFill>
                    <w14:schemeClr w14:val="tx1"/>
                  </w14:solidFill>
                </w14:textFill>
              </w:rPr>
              <w:t>5280</w:t>
            </w:r>
            <w:r>
              <w:rPr>
                <w:color w:val="000000" w:themeColor="text1"/>
                <w:sz w:val="21"/>
                <w:szCs w:val="21"/>
                <w:u w:val="none"/>
                <w14:textFill>
                  <w14:solidFill>
                    <w14:schemeClr w14:val="tx1"/>
                  </w14:solidFill>
                </w14:textFill>
              </w:rPr>
              <w:t>h/a）</w:t>
            </w:r>
          </w:p>
        </w:tc>
      </w:tr>
      <w:tr w14:paraId="1D9B4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9" w:hRule="atLeast"/>
          <w:jc w:val="center"/>
        </w:trPr>
        <w:tc>
          <w:tcPr>
            <w:tcW w:w="419" w:type="pct"/>
            <w:vMerge w:val="continue"/>
            <w:vAlign w:val="center"/>
          </w:tcPr>
          <w:p w14:paraId="1E20887C">
            <w:pPr>
              <w:pStyle w:val="35"/>
              <w:rPr>
                <w:color w:val="000000" w:themeColor="text1"/>
                <w:sz w:val="21"/>
                <w:szCs w:val="21"/>
                <w:u w:val="none"/>
                <w14:textFill>
                  <w14:solidFill>
                    <w14:schemeClr w14:val="tx1"/>
                  </w14:solidFill>
                </w14:textFill>
              </w:rPr>
            </w:pPr>
          </w:p>
        </w:tc>
        <w:tc>
          <w:tcPr>
            <w:tcW w:w="400" w:type="pct"/>
            <w:vAlign w:val="center"/>
          </w:tcPr>
          <w:p w14:paraId="79FD5A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u w:val="none"/>
                <w14:textFill>
                  <w14:solidFill>
                    <w14:schemeClr w14:val="tx1"/>
                  </w14:solidFill>
                </w14:textFill>
              </w:rPr>
            </w:pPr>
            <w:r>
              <w:rPr>
                <w:rFonts w:hint="eastAsia"/>
                <w:sz w:val="21"/>
                <w:szCs w:val="21"/>
                <w:u w:val="none"/>
                <w:vertAlign w:val="baseline"/>
                <w:lang w:val="en-US" w:eastAsia="zh-CN"/>
              </w:rPr>
              <w:t>非甲烷总烃</w:t>
            </w:r>
          </w:p>
        </w:tc>
        <w:tc>
          <w:tcPr>
            <w:tcW w:w="989" w:type="dxa"/>
            <w:vAlign w:val="center"/>
          </w:tcPr>
          <w:p w14:paraId="072E53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47.557</w:t>
            </w:r>
          </w:p>
        </w:tc>
        <w:tc>
          <w:tcPr>
            <w:tcW w:w="804" w:type="dxa"/>
            <w:vAlign w:val="center"/>
          </w:tcPr>
          <w:p w14:paraId="1D33FB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0.951</w:t>
            </w:r>
          </w:p>
        </w:tc>
        <w:tc>
          <w:tcPr>
            <w:tcW w:w="297" w:type="pct"/>
            <w:vAlign w:val="center"/>
          </w:tcPr>
          <w:p w14:paraId="6BDFB5AD">
            <w:pPr>
              <w:pStyle w:val="35"/>
              <w:rPr>
                <w:rFonts w:hint="default"/>
                <w:color w:val="000000" w:themeColor="text1"/>
                <w:sz w:val="21"/>
                <w:szCs w:val="21"/>
                <w:u w:val="none"/>
                <w:lang w:val="en-US"/>
                <w14:textFill>
                  <w14:solidFill>
                    <w14:schemeClr w14:val="tx1"/>
                  </w14:solidFill>
                </w14:textFill>
              </w:rPr>
            </w:pPr>
            <w:r>
              <w:rPr>
                <w:rFonts w:hint="eastAsia"/>
                <w:bCs/>
                <w:color w:val="000000"/>
                <w:spacing w:val="-10"/>
                <w:sz w:val="21"/>
                <w:szCs w:val="21"/>
                <w:u w:val="none"/>
                <w:vertAlign w:val="baseline"/>
                <w:lang w:val="en-US" w:eastAsia="zh-CN"/>
              </w:rPr>
              <w:t>5.022</w:t>
            </w:r>
          </w:p>
        </w:tc>
        <w:tc>
          <w:tcPr>
            <w:tcW w:w="543" w:type="pct"/>
            <w:vMerge w:val="continue"/>
            <w:vAlign w:val="center"/>
          </w:tcPr>
          <w:p w14:paraId="120A73A9">
            <w:pPr>
              <w:pStyle w:val="35"/>
              <w:rPr>
                <w:color w:val="000000" w:themeColor="text1"/>
                <w:sz w:val="21"/>
                <w:szCs w:val="21"/>
                <w:u w:val="none"/>
                <w14:textFill>
                  <w14:solidFill>
                    <w14:schemeClr w14:val="tx1"/>
                  </w14:solidFill>
                </w14:textFill>
              </w:rPr>
            </w:pPr>
          </w:p>
        </w:tc>
        <w:tc>
          <w:tcPr>
            <w:tcW w:w="989" w:type="dxa"/>
            <w:vAlign w:val="center"/>
          </w:tcPr>
          <w:p w14:paraId="355FDB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2.377</w:t>
            </w:r>
          </w:p>
        </w:tc>
        <w:tc>
          <w:tcPr>
            <w:tcW w:w="804" w:type="dxa"/>
            <w:vAlign w:val="center"/>
          </w:tcPr>
          <w:p w14:paraId="0830E8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0.048</w:t>
            </w:r>
          </w:p>
        </w:tc>
        <w:tc>
          <w:tcPr>
            <w:tcW w:w="258" w:type="pct"/>
            <w:vAlign w:val="center"/>
          </w:tcPr>
          <w:p w14:paraId="68F4E2CC">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0.251</w:t>
            </w:r>
          </w:p>
        </w:tc>
        <w:tc>
          <w:tcPr>
            <w:tcW w:w="215" w:type="pct"/>
            <w:vMerge w:val="continue"/>
            <w:vAlign w:val="center"/>
          </w:tcPr>
          <w:p w14:paraId="51D37105">
            <w:pPr>
              <w:pStyle w:val="35"/>
              <w:rPr>
                <w:color w:val="000000" w:themeColor="text1"/>
                <w:sz w:val="21"/>
                <w:szCs w:val="21"/>
                <w:u w:val="none"/>
                <w14:textFill>
                  <w14:solidFill>
                    <w14:schemeClr w14:val="tx1"/>
                  </w14:solidFill>
                </w14:textFill>
              </w:rPr>
            </w:pPr>
          </w:p>
        </w:tc>
        <w:tc>
          <w:tcPr>
            <w:tcW w:w="227" w:type="pct"/>
            <w:vMerge w:val="continue"/>
            <w:vAlign w:val="center"/>
          </w:tcPr>
          <w:p w14:paraId="136543D2">
            <w:pPr>
              <w:pStyle w:val="35"/>
              <w:rPr>
                <w:color w:val="000000" w:themeColor="text1"/>
                <w:sz w:val="21"/>
                <w:szCs w:val="21"/>
                <w:u w:val="none"/>
                <w14:textFill>
                  <w14:solidFill>
                    <w14:schemeClr w14:val="tx1"/>
                  </w14:solidFill>
                </w14:textFill>
              </w:rPr>
            </w:pPr>
          </w:p>
        </w:tc>
        <w:tc>
          <w:tcPr>
            <w:tcW w:w="193" w:type="pct"/>
            <w:vMerge w:val="continue"/>
            <w:vAlign w:val="center"/>
          </w:tcPr>
          <w:p w14:paraId="2052541D">
            <w:pPr>
              <w:pStyle w:val="35"/>
              <w:rPr>
                <w:color w:val="000000" w:themeColor="text1"/>
                <w:sz w:val="21"/>
                <w:szCs w:val="21"/>
                <w:u w:val="none"/>
                <w14:textFill>
                  <w14:solidFill>
                    <w14:schemeClr w14:val="tx1"/>
                  </w14:solidFill>
                </w14:textFill>
              </w:rPr>
            </w:pPr>
          </w:p>
        </w:tc>
        <w:tc>
          <w:tcPr>
            <w:tcW w:w="271" w:type="pct"/>
            <w:vMerge w:val="continue"/>
            <w:vAlign w:val="center"/>
          </w:tcPr>
          <w:p w14:paraId="5B92CD5D">
            <w:pPr>
              <w:pStyle w:val="35"/>
              <w:rPr>
                <w:color w:val="000000" w:themeColor="text1"/>
                <w:sz w:val="21"/>
                <w:szCs w:val="21"/>
                <w:u w:val="none"/>
                <w14:textFill>
                  <w14:solidFill>
                    <w14:schemeClr w14:val="tx1"/>
                  </w14:solidFill>
                </w14:textFill>
              </w:rPr>
            </w:pPr>
          </w:p>
        </w:tc>
        <w:tc>
          <w:tcPr>
            <w:tcW w:w="125" w:type="pct"/>
            <w:vMerge w:val="continue"/>
            <w:vAlign w:val="center"/>
          </w:tcPr>
          <w:p w14:paraId="17DE6891">
            <w:pPr>
              <w:pStyle w:val="35"/>
              <w:rPr>
                <w:color w:val="000000" w:themeColor="text1"/>
                <w:sz w:val="21"/>
                <w:szCs w:val="21"/>
                <w:u w:val="none"/>
                <w14:textFill>
                  <w14:solidFill>
                    <w14:schemeClr w14:val="tx1"/>
                  </w14:solidFill>
                </w14:textFill>
              </w:rPr>
            </w:pPr>
          </w:p>
        </w:tc>
        <w:tc>
          <w:tcPr>
            <w:tcW w:w="437" w:type="pct"/>
            <w:vMerge w:val="continue"/>
            <w:vAlign w:val="center"/>
          </w:tcPr>
          <w:p w14:paraId="0CFBB1D1">
            <w:pPr>
              <w:pStyle w:val="35"/>
              <w:rPr>
                <w:color w:val="000000" w:themeColor="text1"/>
                <w:sz w:val="21"/>
                <w:szCs w:val="21"/>
                <w:u w:val="none"/>
                <w14:textFill>
                  <w14:solidFill>
                    <w14:schemeClr w14:val="tx1"/>
                  </w14:solidFill>
                </w14:textFill>
              </w:rPr>
            </w:pPr>
          </w:p>
        </w:tc>
        <w:tc>
          <w:tcPr>
            <w:tcW w:w="398" w:type="pct"/>
            <w:vMerge w:val="continue"/>
            <w:vAlign w:val="center"/>
          </w:tcPr>
          <w:p w14:paraId="442EAD0B">
            <w:pPr>
              <w:pStyle w:val="35"/>
              <w:rPr>
                <w:color w:val="000000" w:themeColor="text1"/>
                <w:sz w:val="21"/>
                <w:szCs w:val="21"/>
                <w:u w:val="none"/>
                <w14:textFill>
                  <w14:solidFill>
                    <w14:schemeClr w14:val="tx1"/>
                  </w14:solidFill>
                </w14:textFill>
              </w:rPr>
            </w:pPr>
          </w:p>
        </w:tc>
      </w:tr>
      <w:tr w14:paraId="51A30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9" w:type="pct"/>
            <w:vMerge w:val="continue"/>
            <w:vAlign w:val="center"/>
          </w:tcPr>
          <w:p w14:paraId="1D5BE715">
            <w:pPr>
              <w:pStyle w:val="35"/>
              <w:rPr>
                <w:color w:val="000000" w:themeColor="text1"/>
                <w:sz w:val="21"/>
                <w:szCs w:val="21"/>
                <w:u w:val="none"/>
                <w14:textFill>
                  <w14:solidFill>
                    <w14:schemeClr w14:val="tx1"/>
                  </w14:solidFill>
                </w14:textFill>
              </w:rPr>
            </w:pPr>
          </w:p>
        </w:tc>
        <w:tc>
          <w:tcPr>
            <w:tcW w:w="400" w:type="pct"/>
            <w:vAlign w:val="center"/>
          </w:tcPr>
          <w:p w14:paraId="4E0B6A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000000" w:themeColor="text1"/>
                <w:sz w:val="21"/>
                <w:szCs w:val="21"/>
                <w:u w:val="none"/>
                <w14:textFill>
                  <w14:solidFill>
                    <w14:schemeClr w14:val="tx1"/>
                  </w14:solidFill>
                </w14:textFill>
              </w:rPr>
            </w:pPr>
            <w:r>
              <w:rPr>
                <w:rFonts w:hint="eastAsia"/>
                <w:sz w:val="21"/>
                <w:szCs w:val="21"/>
                <w:u w:val="none"/>
                <w:vertAlign w:val="baseline"/>
                <w:lang w:val="en-US" w:eastAsia="zh-CN"/>
              </w:rPr>
              <w:t>甲醛</w:t>
            </w:r>
          </w:p>
        </w:tc>
        <w:tc>
          <w:tcPr>
            <w:tcW w:w="989" w:type="dxa"/>
            <w:vAlign w:val="center"/>
          </w:tcPr>
          <w:p w14:paraId="1C7D7B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3.068</w:t>
            </w:r>
          </w:p>
        </w:tc>
        <w:tc>
          <w:tcPr>
            <w:tcW w:w="804" w:type="dxa"/>
            <w:vAlign w:val="center"/>
          </w:tcPr>
          <w:p w14:paraId="694911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0.061</w:t>
            </w:r>
          </w:p>
        </w:tc>
        <w:tc>
          <w:tcPr>
            <w:tcW w:w="297" w:type="pct"/>
            <w:vAlign w:val="center"/>
          </w:tcPr>
          <w:p w14:paraId="5197E226">
            <w:pPr>
              <w:pStyle w:val="35"/>
              <w:rPr>
                <w:rFonts w:hint="default"/>
                <w:color w:val="000000" w:themeColor="text1"/>
                <w:sz w:val="21"/>
                <w:szCs w:val="21"/>
                <w:u w:val="none"/>
                <w:lang w:val="en-US"/>
                <w14:textFill>
                  <w14:solidFill>
                    <w14:schemeClr w14:val="tx1"/>
                  </w14:solidFill>
                </w14:textFill>
              </w:rPr>
            </w:pPr>
            <w:r>
              <w:rPr>
                <w:rFonts w:hint="eastAsia"/>
                <w:bCs/>
                <w:color w:val="000000"/>
                <w:spacing w:val="-10"/>
                <w:sz w:val="21"/>
                <w:szCs w:val="21"/>
                <w:u w:val="none"/>
                <w:vertAlign w:val="baseline"/>
                <w:lang w:val="en-US" w:eastAsia="zh-CN"/>
              </w:rPr>
              <w:t>0.3</w:t>
            </w:r>
            <w:bookmarkStart w:id="403" w:name="_GoBack"/>
            <w:bookmarkEnd w:id="403"/>
            <w:r>
              <w:rPr>
                <w:rFonts w:hint="eastAsia"/>
                <w:bCs/>
                <w:color w:val="000000"/>
                <w:spacing w:val="-10"/>
                <w:sz w:val="21"/>
                <w:szCs w:val="21"/>
                <w:u w:val="none"/>
                <w:vertAlign w:val="baseline"/>
                <w:lang w:val="en-US" w:eastAsia="zh-CN"/>
              </w:rPr>
              <w:t>24</w:t>
            </w:r>
          </w:p>
        </w:tc>
        <w:tc>
          <w:tcPr>
            <w:tcW w:w="543" w:type="pct"/>
            <w:vMerge w:val="continue"/>
            <w:vAlign w:val="center"/>
          </w:tcPr>
          <w:p w14:paraId="564A9D0C">
            <w:pPr>
              <w:pStyle w:val="35"/>
              <w:rPr>
                <w:color w:val="000000" w:themeColor="text1"/>
                <w:sz w:val="21"/>
                <w:szCs w:val="21"/>
                <w:u w:val="none"/>
                <w14:textFill>
                  <w14:solidFill>
                    <w14:schemeClr w14:val="tx1"/>
                  </w14:solidFill>
                </w14:textFill>
              </w:rPr>
            </w:pPr>
          </w:p>
        </w:tc>
        <w:tc>
          <w:tcPr>
            <w:tcW w:w="989" w:type="dxa"/>
            <w:vAlign w:val="center"/>
          </w:tcPr>
          <w:p w14:paraId="595F3E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0.152</w:t>
            </w:r>
          </w:p>
        </w:tc>
        <w:tc>
          <w:tcPr>
            <w:tcW w:w="804" w:type="dxa"/>
            <w:vAlign w:val="center"/>
          </w:tcPr>
          <w:p w14:paraId="722E6E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258" w:type="pct"/>
            <w:vAlign w:val="center"/>
          </w:tcPr>
          <w:p w14:paraId="3F7C79D0">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0.016</w:t>
            </w:r>
          </w:p>
        </w:tc>
        <w:tc>
          <w:tcPr>
            <w:tcW w:w="215" w:type="pct"/>
            <w:vMerge w:val="continue"/>
            <w:vAlign w:val="center"/>
          </w:tcPr>
          <w:p w14:paraId="7A3796EB">
            <w:pPr>
              <w:pStyle w:val="35"/>
              <w:rPr>
                <w:color w:val="000000" w:themeColor="text1"/>
                <w:sz w:val="21"/>
                <w:szCs w:val="21"/>
                <w:u w:val="none"/>
                <w14:textFill>
                  <w14:solidFill>
                    <w14:schemeClr w14:val="tx1"/>
                  </w14:solidFill>
                </w14:textFill>
              </w:rPr>
            </w:pPr>
          </w:p>
        </w:tc>
        <w:tc>
          <w:tcPr>
            <w:tcW w:w="227" w:type="pct"/>
            <w:vMerge w:val="continue"/>
            <w:vAlign w:val="center"/>
          </w:tcPr>
          <w:p w14:paraId="38449849">
            <w:pPr>
              <w:pStyle w:val="35"/>
              <w:rPr>
                <w:color w:val="000000" w:themeColor="text1"/>
                <w:sz w:val="21"/>
                <w:szCs w:val="21"/>
                <w:u w:val="none"/>
                <w14:textFill>
                  <w14:solidFill>
                    <w14:schemeClr w14:val="tx1"/>
                  </w14:solidFill>
                </w14:textFill>
              </w:rPr>
            </w:pPr>
          </w:p>
        </w:tc>
        <w:tc>
          <w:tcPr>
            <w:tcW w:w="193" w:type="pct"/>
            <w:vMerge w:val="continue"/>
            <w:vAlign w:val="center"/>
          </w:tcPr>
          <w:p w14:paraId="08688082">
            <w:pPr>
              <w:pStyle w:val="35"/>
              <w:rPr>
                <w:color w:val="000000" w:themeColor="text1"/>
                <w:sz w:val="21"/>
                <w:szCs w:val="21"/>
                <w:u w:val="none"/>
                <w14:textFill>
                  <w14:solidFill>
                    <w14:schemeClr w14:val="tx1"/>
                  </w14:solidFill>
                </w14:textFill>
              </w:rPr>
            </w:pPr>
          </w:p>
        </w:tc>
        <w:tc>
          <w:tcPr>
            <w:tcW w:w="271" w:type="pct"/>
            <w:vMerge w:val="continue"/>
            <w:vAlign w:val="center"/>
          </w:tcPr>
          <w:p w14:paraId="53975397">
            <w:pPr>
              <w:pStyle w:val="35"/>
              <w:rPr>
                <w:color w:val="000000" w:themeColor="text1"/>
                <w:sz w:val="21"/>
                <w:szCs w:val="21"/>
                <w:u w:val="none"/>
                <w14:textFill>
                  <w14:solidFill>
                    <w14:schemeClr w14:val="tx1"/>
                  </w14:solidFill>
                </w14:textFill>
              </w:rPr>
            </w:pPr>
          </w:p>
        </w:tc>
        <w:tc>
          <w:tcPr>
            <w:tcW w:w="125" w:type="pct"/>
            <w:vMerge w:val="continue"/>
            <w:vAlign w:val="center"/>
          </w:tcPr>
          <w:p w14:paraId="029CF316">
            <w:pPr>
              <w:pStyle w:val="35"/>
              <w:rPr>
                <w:color w:val="000000" w:themeColor="text1"/>
                <w:sz w:val="21"/>
                <w:szCs w:val="21"/>
                <w:u w:val="none"/>
                <w14:textFill>
                  <w14:solidFill>
                    <w14:schemeClr w14:val="tx1"/>
                  </w14:solidFill>
                </w14:textFill>
              </w:rPr>
            </w:pPr>
          </w:p>
        </w:tc>
        <w:tc>
          <w:tcPr>
            <w:tcW w:w="437" w:type="pct"/>
            <w:vMerge w:val="continue"/>
            <w:vAlign w:val="center"/>
          </w:tcPr>
          <w:p w14:paraId="20A11924">
            <w:pPr>
              <w:pStyle w:val="35"/>
              <w:rPr>
                <w:color w:val="000000" w:themeColor="text1"/>
                <w:sz w:val="21"/>
                <w:szCs w:val="21"/>
                <w:u w:val="none"/>
                <w14:textFill>
                  <w14:solidFill>
                    <w14:schemeClr w14:val="tx1"/>
                  </w14:solidFill>
                </w14:textFill>
              </w:rPr>
            </w:pPr>
          </w:p>
        </w:tc>
        <w:tc>
          <w:tcPr>
            <w:tcW w:w="398" w:type="pct"/>
            <w:vMerge w:val="continue"/>
            <w:vAlign w:val="center"/>
          </w:tcPr>
          <w:p w14:paraId="31356204">
            <w:pPr>
              <w:pStyle w:val="35"/>
              <w:rPr>
                <w:color w:val="000000" w:themeColor="text1"/>
                <w:sz w:val="21"/>
                <w:szCs w:val="21"/>
                <w:u w:val="none"/>
                <w14:textFill>
                  <w14:solidFill>
                    <w14:schemeClr w14:val="tx1"/>
                  </w14:solidFill>
                </w14:textFill>
              </w:rPr>
            </w:pPr>
          </w:p>
        </w:tc>
      </w:tr>
      <w:tr w14:paraId="540B9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9" w:type="pct"/>
            <w:vAlign w:val="center"/>
          </w:tcPr>
          <w:p w14:paraId="62690AB0">
            <w:pPr>
              <w:pStyle w:val="35"/>
              <w:rPr>
                <w:color w:val="000000" w:themeColor="text1"/>
                <w:sz w:val="21"/>
                <w:szCs w:val="21"/>
                <w:u w:val="none"/>
                <w14:textFill>
                  <w14:solidFill>
                    <w14:schemeClr w14:val="tx1"/>
                  </w14:solidFill>
                </w14:textFill>
              </w:rPr>
            </w:pPr>
            <w:r>
              <w:rPr>
                <w:rFonts w:hint="eastAsia"/>
                <w:sz w:val="21"/>
                <w:szCs w:val="21"/>
                <w:u w:val="none"/>
                <w:lang w:val="en-US" w:eastAsia="zh-CN"/>
              </w:rPr>
              <w:t>落砂及砂处理工序</w:t>
            </w:r>
          </w:p>
        </w:tc>
        <w:tc>
          <w:tcPr>
            <w:tcW w:w="400" w:type="pct"/>
            <w:vAlign w:val="center"/>
          </w:tcPr>
          <w:p w14:paraId="7B286897">
            <w:pPr>
              <w:pStyle w:val="35"/>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颗粒物</w:t>
            </w:r>
          </w:p>
        </w:tc>
        <w:tc>
          <w:tcPr>
            <w:tcW w:w="325" w:type="pct"/>
            <w:vAlign w:val="center"/>
          </w:tcPr>
          <w:p w14:paraId="2FCCE310">
            <w:pPr>
              <w:pStyle w:val="35"/>
              <w:rPr>
                <w:rFonts w:hint="default"/>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228.295</w:t>
            </w:r>
          </w:p>
        </w:tc>
        <w:tc>
          <w:tcPr>
            <w:tcW w:w="284" w:type="pct"/>
            <w:vAlign w:val="center"/>
          </w:tcPr>
          <w:p w14:paraId="6A340DDF">
            <w:pPr>
              <w:pStyle w:val="35"/>
              <w:rPr>
                <w:rFonts w:hint="default"/>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9.132</w:t>
            </w:r>
          </w:p>
        </w:tc>
        <w:tc>
          <w:tcPr>
            <w:tcW w:w="297" w:type="pct"/>
            <w:vAlign w:val="center"/>
          </w:tcPr>
          <w:p w14:paraId="43FD37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u w:val="none"/>
                <w:lang w:val="en-US"/>
                <w14:textFill>
                  <w14:solidFill>
                    <w14:schemeClr w14:val="tx1"/>
                  </w14:solidFill>
                </w14:textFill>
              </w:rPr>
            </w:pPr>
            <w:r>
              <w:rPr>
                <w:rFonts w:hint="eastAsia"/>
                <w:bCs/>
                <w:color w:val="000000"/>
                <w:spacing w:val="-10"/>
                <w:sz w:val="21"/>
                <w:szCs w:val="21"/>
                <w:highlight w:val="none"/>
                <w:u w:val="none"/>
                <w:vertAlign w:val="baseline"/>
                <w:lang w:val="en-US" w:eastAsia="zh-CN"/>
              </w:rPr>
              <w:t>48.216</w:t>
            </w:r>
          </w:p>
        </w:tc>
        <w:tc>
          <w:tcPr>
            <w:tcW w:w="543" w:type="pct"/>
            <w:vAlign w:val="center"/>
          </w:tcPr>
          <w:p w14:paraId="512E0AA2">
            <w:pPr>
              <w:pStyle w:val="35"/>
              <w:rPr>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袋式除尘器</w:t>
            </w:r>
            <w:r>
              <w:rPr>
                <w:color w:val="000000" w:themeColor="text1"/>
                <w:sz w:val="21"/>
                <w:szCs w:val="21"/>
                <w:u w:val="none"/>
                <w14:textFill>
                  <w14:solidFill>
                    <w14:schemeClr w14:val="tx1"/>
                  </w14:solidFill>
                </w14:textFill>
              </w:rPr>
              <w:t>+15m排气筒</w:t>
            </w:r>
          </w:p>
        </w:tc>
        <w:tc>
          <w:tcPr>
            <w:tcW w:w="311" w:type="pct"/>
            <w:vAlign w:val="center"/>
          </w:tcPr>
          <w:p w14:paraId="044D3985">
            <w:pPr>
              <w:pStyle w:val="35"/>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2.282</w:t>
            </w:r>
          </w:p>
        </w:tc>
        <w:tc>
          <w:tcPr>
            <w:tcW w:w="288" w:type="pct"/>
            <w:vAlign w:val="center"/>
          </w:tcPr>
          <w:p w14:paraId="3FA8F50F">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0.091</w:t>
            </w:r>
          </w:p>
        </w:tc>
        <w:tc>
          <w:tcPr>
            <w:tcW w:w="258" w:type="pct"/>
            <w:vAlign w:val="center"/>
          </w:tcPr>
          <w:p w14:paraId="00162DC6">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0.482</w:t>
            </w:r>
          </w:p>
        </w:tc>
        <w:tc>
          <w:tcPr>
            <w:tcW w:w="215" w:type="pct"/>
            <w:vAlign w:val="center"/>
          </w:tcPr>
          <w:p w14:paraId="2EAEA89F">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15m</w:t>
            </w:r>
          </w:p>
        </w:tc>
        <w:tc>
          <w:tcPr>
            <w:tcW w:w="227" w:type="pct"/>
            <w:vAlign w:val="center"/>
          </w:tcPr>
          <w:p w14:paraId="67289539">
            <w:pPr>
              <w:pStyle w:val="35"/>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0.9m</w:t>
            </w:r>
          </w:p>
        </w:tc>
        <w:tc>
          <w:tcPr>
            <w:tcW w:w="193" w:type="pct"/>
            <w:vAlign w:val="center"/>
          </w:tcPr>
          <w:p w14:paraId="11B6890B">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25</w:t>
            </w:r>
            <w:r>
              <w:rPr>
                <w:rFonts w:hint="default" w:ascii="Times New Roman" w:hAnsi="Times New Roman" w:eastAsia="宋体" w:cs="Times New Roman"/>
                <w:b w:val="0"/>
                <w:bCs w:val="0"/>
                <w:color w:val="auto"/>
                <w:sz w:val="21"/>
                <w:szCs w:val="21"/>
                <w:vertAlign w:val="baseline"/>
                <w:lang w:val="en-US" w:eastAsia="zh-CN"/>
              </w:rPr>
              <w:t>℃</w:t>
            </w:r>
          </w:p>
        </w:tc>
        <w:tc>
          <w:tcPr>
            <w:tcW w:w="271" w:type="pct"/>
            <w:vAlign w:val="center"/>
          </w:tcPr>
          <w:p w14:paraId="370683A5">
            <w:pPr>
              <w:pStyle w:val="35"/>
              <w:rPr>
                <w:rFonts w:hint="eastAsia" w:eastAsia="宋体"/>
                <w:color w:val="000000" w:themeColor="text1"/>
                <w:sz w:val="21"/>
                <w:szCs w:val="21"/>
                <w:u w:val="none"/>
                <w:lang w:val="en-US" w:eastAsia="zh-CN"/>
                <w14:textFill>
                  <w14:solidFill>
                    <w14:schemeClr w14:val="tx1"/>
                  </w14:solidFill>
                </w14:textFill>
              </w:rPr>
            </w:pPr>
            <w:r>
              <w:rPr>
                <w:color w:val="000000" w:themeColor="text1"/>
                <w:sz w:val="21"/>
                <w:szCs w:val="21"/>
                <w:u w:val="none"/>
                <w14:textFill>
                  <w14:solidFill>
                    <w14:schemeClr w14:val="tx1"/>
                  </w14:solidFill>
                </w14:textFill>
              </w:rPr>
              <w:t>DA00</w:t>
            </w:r>
            <w:r>
              <w:rPr>
                <w:rFonts w:hint="eastAsia"/>
                <w:color w:val="000000" w:themeColor="text1"/>
                <w:sz w:val="21"/>
                <w:szCs w:val="21"/>
                <w:u w:val="none"/>
                <w:lang w:val="en-US" w:eastAsia="zh-CN"/>
                <w14:textFill>
                  <w14:solidFill>
                    <w14:schemeClr w14:val="tx1"/>
                  </w14:solidFill>
                </w14:textFill>
              </w:rPr>
              <w:t>3</w:t>
            </w:r>
          </w:p>
        </w:tc>
        <w:tc>
          <w:tcPr>
            <w:tcW w:w="125" w:type="pct"/>
            <w:vMerge w:val="continue"/>
            <w:vAlign w:val="center"/>
          </w:tcPr>
          <w:p w14:paraId="7D940574">
            <w:pPr>
              <w:pStyle w:val="35"/>
              <w:rPr>
                <w:color w:val="000000" w:themeColor="text1"/>
                <w:sz w:val="21"/>
                <w:szCs w:val="21"/>
                <w:u w:val="none"/>
                <w14:textFill>
                  <w14:solidFill>
                    <w14:schemeClr w14:val="tx1"/>
                  </w14:solidFill>
                </w14:textFill>
              </w:rPr>
            </w:pPr>
          </w:p>
        </w:tc>
        <w:tc>
          <w:tcPr>
            <w:tcW w:w="437" w:type="pct"/>
            <w:vAlign w:val="center"/>
          </w:tcPr>
          <w:p w14:paraId="36006207">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112.20434010</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33.03955854</w:t>
            </w:r>
          </w:p>
        </w:tc>
        <w:tc>
          <w:tcPr>
            <w:tcW w:w="398" w:type="pct"/>
            <w:shd w:val="clear" w:color="auto" w:fill="auto"/>
            <w:vAlign w:val="center"/>
          </w:tcPr>
          <w:p w14:paraId="18A298FB">
            <w:pPr>
              <w:pStyle w:val="35"/>
              <w:ind w:firstLine="0" w:firstLineChars="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有组织排放（</w:t>
            </w:r>
            <w:r>
              <w:rPr>
                <w:rFonts w:hint="eastAsia"/>
                <w:color w:val="000000" w:themeColor="text1"/>
                <w:sz w:val="21"/>
                <w:szCs w:val="21"/>
                <w:u w:val="none"/>
                <w:lang w:val="en-US" w:eastAsia="zh-CN"/>
                <w14:textFill>
                  <w14:solidFill>
                    <w14:schemeClr w14:val="tx1"/>
                  </w14:solidFill>
                </w14:textFill>
              </w:rPr>
              <w:t>5280</w:t>
            </w:r>
            <w:r>
              <w:rPr>
                <w:color w:val="000000" w:themeColor="text1"/>
                <w:sz w:val="21"/>
                <w:szCs w:val="21"/>
                <w:u w:val="none"/>
                <w14:textFill>
                  <w14:solidFill>
                    <w14:schemeClr w14:val="tx1"/>
                  </w14:solidFill>
                </w14:textFill>
              </w:rPr>
              <w:t>h/a）</w:t>
            </w:r>
          </w:p>
        </w:tc>
      </w:tr>
      <w:tr w14:paraId="4196A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19" w:type="pct"/>
            <w:vAlign w:val="center"/>
          </w:tcPr>
          <w:p w14:paraId="75E6060E">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抛丸工序</w:t>
            </w:r>
          </w:p>
        </w:tc>
        <w:tc>
          <w:tcPr>
            <w:tcW w:w="400" w:type="pct"/>
            <w:vAlign w:val="center"/>
          </w:tcPr>
          <w:p w14:paraId="256D3273">
            <w:pPr>
              <w:pStyle w:val="35"/>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颗粒物</w:t>
            </w:r>
          </w:p>
        </w:tc>
        <w:tc>
          <w:tcPr>
            <w:tcW w:w="325" w:type="pct"/>
            <w:vAlign w:val="center"/>
          </w:tcPr>
          <w:p w14:paraId="7DF50D3A">
            <w:pPr>
              <w:pStyle w:val="35"/>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209.508</w:t>
            </w:r>
          </w:p>
        </w:tc>
        <w:tc>
          <w:tcPr>
            <w:tcW w:w="284" w:type="pct"/>
            <w:vAlign w:val="center"/>
          </w:tcPr>
          <w:p w14:paraId="2B767647">
            <w:pPr>
              <w:pStyle w:val="35"/>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5.238</w:t>
            </w:r>
          </w:p>
        </w:tc>
        <w:tc>
          <w:tcPr>
            <w:tcW w:w="297" w:type="pct"/>
            <w:vAlign w:val="center"/>
          </w:tcPr>
          <w:p w14:paraId="395D7D1D">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27.655</w:t>
            </w:r>
          </w:p>
        </w:tc>
        <w:tc>
          <w:tcPr>
            <w:tcW w:w="543" w:type="pct"/>
            <w:vAlign w:val="center"/>
          </w:tcPr>
          <w:p w14:paraId="5FEDA1B1">
            <w:pPr>
              <w:pStyle w:val="35"/>
              <w:rPr>
                <w:color w:val="000000" w:themeColor="text1"/>
                <w:sz w:val="21"/>
                <w:szCs w:val="21"/>
                <w:u w:val="none"/>
                <w14:textFill>
                  <w14:solidFill>
                    <w14:schemeClr w14:val="tx1"/>
                  </w14:solidFill>
                </w14:textFill>
              </w:rPr>
            </w:pPr>
            <w:r>
              <w:rPr>
                <w:rFonts w:hint="eastAsia" w:eastAsia="宋体"/>
                <w:sz w:val="21"/>
                <w:szCs w:val="21"/>
                <w:u w:val="none"/>
                <w:vertAlign w:val="baseline"/>
                <w:lang w:val="en-US" w:eastAsia="zh-CN"/>
              </w:rPr>
              <w:t>袋式除尘器</w:t>
            </w:r>
            <w:r>
              <w:rPr>
                <w:color w:val="000000" w:themeColor="text1"/>
                <w:sz w:val="21"/>
                <w:szCs w:val="21"/>
                <w:u w:val="none"/>
                <w14:textFill>
                  <w14:solidFill>
                    <w14:schemeClr w14:val="tx1"/>
                  </w14:solidFill>
                </w14:textFill>
              </w:rPr>
              <w:t>+15m排气筒</w:t>
            </w:r>
          </w:p>
        </w:tc>
        <w:tc>
          <w:tcPr>
            <w:tcW w:w="311" w:type="pct"/>
            <w:vAlign w:val="center"/>
          </w:tcPr>
          <w:p w14:paraId="77895310">
            <w:pPr>
              <w:pStyle w:val="35"/>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2.095</w:t>
            </w:r>
          </w:p>
        </w:tc>
        <w:tc>
          <w:tcPr>
            <w:tcW w:w="288" w:type="pct"/>
            <w:vAlign w:val="center"/>
          </w:tcPr>
          <w:p w14:paraId="3BDA97B0">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0.052</w:t>
            </w:r>
          </w:p>
        </w:tc>
        <w:tc>
          <w:tcPr>
            <w:tcW w:w="258" w:type="pct"/>
            <w:vAlign w:val="center"/>
          </w:tcPr>
          <w:p w14:paraId="71E0FE5D">
            <w:pPr>
              <w:pStyle w:val="35"/>
              <w:ind w:firstLine="0" w:firstLineChars="0"/>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0.277</w:t>
            </w:r>
          </w:p>
        </w:tc>
        <w:tc>
          <w:tcPr>
            <w:tcW w:w="215" w:type="pct"/>
            <w:vAlign w:val="center"/>
          </w:tcPr>
          <w:p w14:paraId="26804855">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15m</w:t>
            </w:r>
          </w:p>
        </w:tc>
        <w:tc>
          <w:tcPr>
            <w:tcW w:w="227" w:type="pct"/>
            <w:vAlign w:val="center"/>
          </w:tcPr>
          <w:p w14:paraId="08F29B6F">
            <w:pPr>
              <w:pStyle w:val="35"/>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0.7m</w:t>
            </w:r>
          </w:p>
        </w:tc>
        <w:tc>
          <w:tcPr>
            <w:tcW w:w="193" w:type="pct"/>
            <w:vAlign w:val="center"/>
          </w:tcPr>
          <w:p w14:paraId="531EC7E5">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25</w:t>
            </w:r>
            <w:r>
              <w:rPr>
                <w:rFonts w:hint="default" w:ascii="Times New Roman" w:hAnsi="Times New Roman" w:eastAsia="宋体" w:cs="Times New Roman"/>
                <w:b w:val="0"/>
                <w:bCs w:val="0"/>
                <w:color w:val="auto"/>
                <w:sz w:val="21"/>
                <w:szCs w:val="21"/>
                <w:vertAlign w:val="baseline"/>
                <w:lang w:val="en-US" w:eastAsia="zh-CN"/>
              </w:rPr>
              <w:t>℃</w:t>
            </w:r>
          </w:p>
        </w:tc>
        <w:tc>
          <w:tcPr>
            <w:tcW w:w="271" w:type="pct"/>
            <w:vAlign w:val="center"/>
          </w:tcPr>
          <w:p w14:paraId="3F14FBFA">
            <w:pPr>
              <w:pStyle w:val="35"/>
              <w:rPr>
                <w:rFonts w:hint="eastAsia" w:eastAsia="宋体"/>
                <w:color w:val="000000" w:themeColor="text1"/>
                <w:sz w:val="21"/>
                <w:szCs w:val="21"/>
                <w:u w:val="none"/>
                <w:lang w:val="en-US" w:eastAsia="zh-CN"/>
                <w14:textFill>
                  <w14:solidFill>
                    <w14:schemeClr w14:val="tx1"/>
                  </w14:solidFill>
                </w14:textFill>
              </w:rPr>
            </w:pPr>
            <w:r>
              <w:rPr>
                <w:color w:val="000000" w:themeColor="text1"/>
                <w:sz w:val="21"/>
                <w:szCs w:val="21"/>
                <w:u w:val="none"/>
                <w14:textFill>
                  <w14:solidFill>
                    <w14:schemeClr w14:val="tx1"/>
                  </w14:solidFill>
                </w14:textFill>
              </w:rPr>
              <w:t>DA00</w:t>
            </w:r>
            <w:r>
              <w:rPr>
                <w:rFonts w:hint="eastAsia"/>
                <w:color w:val="000000" w:themeColor="text1"/>
                <w:sz w:val="21"/>
                <w:szCs w:val="21"/>
                <w:u w:val="none"/>
                <w:lang w:val="en-US" w:eastAsia="zh-CN"/>
                <w14:textFill>
                  <w14:solidFill>
                    <w14:schemeClr w14:val="tx1"/>
                  </w14:solidFill>
                </w14:textFill>
              </w:rPr>
              <w:t>4</w:t>
            </w:r>
          </w:p>
        </w:tc>
        <w:tc>
          <w:tcPr>
            <w:tcW w:w="125" w:type="pct"/>
            <w:vMerge w:val="continue"/>
            <w:vAlign w:val="center"/>
          </w:tcPr>
          <w:p w14:paraId="61B7B43F">
            <w:pPr>
              <w:pStyle w:val="35"/>
              <w:rPr>
                <w:color w:val="000000" w:themeColor="text1"/>
                <w:sz w:val="21"/>
                <w:szCs w:val="21"/>
                <w:u w:val="none"/>
                <w14:textFill>
                  <w14:solidFill>
                    <w14:schemeClr w14:val="tx1"/>
                  </w14:solidFill>
                </w14:textFill>
              </w:rPr>
            </w:pPr>
          </w:p>
        </w:tc>
        <w:tc>
          <w:tcPr>
            <w:tcW w:w="437" w:type="pct"/>
            <w:vAlign w:val="center"/>
          </w:tcPr>
          <w:p w14:paraId="6C3FDE4D">
            <w:pPr>
              <w:pStyle w:val="35"/>
              <w:rPr>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112.20415771</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33.03967546</w:t>
            </w:r>
          </w:p>
        </w:tc>
        <w:tc>
          <w:tcPr>
            <w:tcW w:w="398" w:type="pct"/>
            <w:shd w:val="clear" w:color="auto" w:fill="auto"/>
            <w:vAlign w:val="center"/>
          </w:tcPr>
          <w:p w14:paraId="104AC57D">
            <w:pPr>
              <w:pStyle w:val="35"/>
              <w:ind w:firstLine="0" w:firstLineChars="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有组织排放（</w:t>
            </w:r>
            <w:r>
              <w:rPr>
                <w:rFonts w:hint="eastAsia"/>
                <w:color w:val="000000" w:themeColor="text1"/>
                <w:sz w:val="21"/>
                <w:szCs w:val="21"/>
                <w:u w:val="none"/>
                <w:lang w:val="en-US" w:eastAsia="zh-CN"/>
                <w14:textFill>
                  <w14:solidFill>
                    <w14:schemeClr w14:val="tx1"/>
                  </w14:solidFill>
                </w14:textFill>
              </w:rPr>
              <w:t>5280</w:t>
            </w:r>
            <w:r>
              <w:rPr>
                <w:color w:val="000000" w:themeColor="text1"/>
                <w:sz w:val="21"/>
                <w:szCs w:val="21"/>
                <w:u w:val="none"/>
                <w14:textFill>
                  <w14:solidFill>
                    <w14:schemeClr w14:val="tx1"/>
                  </w14:solidFill>
                </w14:textFill>
              </w:rPr>
              <w:t>h/a）</w:t>
            </w:r>
          </w:p>
        </w:tc>
      </w:tr>
    </w:tbl>
    <w:p w14:paraId="2F7325F1">
      <w:pPr>
        <w:pStyle w:val="57"/>
        <w:ind w:firstLine="0"/>
        <w:jc w:val="center"/>
        <w:rPr>
          <w:rFonts w:hint="default" w:ascii="Times New Roman" w:hAnsi="Times New Roman" w:cs="Times New Roman"/>
          <w:b/>
          <w:bCs/>
          <w:color w:val="auto"/>
        </w:rPr>
      </w:pPr>
      <w:r>
        <w:rPr>
          <w:rFonts w:hint="default" w:ascii="Times New Roman" w:hAnsi="Times New Roman" w:eastAsia="黑体" w:cs="Times New Roman"/>
          <w:b w:val="0"/>
          <w:bCs w:val="0"/>
          <w:color w:val="auto"/>
        </w:rPr>
        <w:t>表</w:t>
      </w:r>
      <w:r>
        <w:rPr>
          <w:rFonts w:hint="default" w:ascii="Times New Roman" w:hAnsi="Times New Roman" w:eastAsia="黑体" w:cs="Times New Roman"/>
          <w:b w:val="0"/>
          <w:bCs w:val="0"/>
          <w:color w:val="auto"/>
          <w:lang w:val="en-US" w:eastAsia="zh-CN"/>
        </w:rPr>
        <w:t>2.5-1</w:t>
      </w:r>
      <w:r>
        <w:rPr>
          <w:rFonts w:hint="eastAsia" w:ascii="Times New Roman" w:hAnsi="Times New Roman" w:eastAsia="黑体" w:cs="Times New Roman"/>
          <w:b w:val="0"/>
          <w:bCs w:val="0"/>
          <w:color w:val="auto"/>
          <w:lang w:val="en-US" w:eastAsia="zh-CN"/>
        </w:rPr>
        <w:t xml:space="preserve">4 </w:t>
      </w:r>
      <w:r>
        <w:rPr>
          <w:rFonts w:hint="default" w:ascii="Times New Roman" w:hAnsi="Times New Roman" w:eastAsia="黑体" w:cs="Times New Roman"/>
          <w:b w:val="0"/>
          <w:bCs w:val="0"/>
          <w:color w:val="auto"/>
        </w:rPr>
        <w:t xml:space="preserve"> </w:t>
      </w:r>
      <w:r>
        <w:rPr>
          <w:rFonts w:hint="default" w:ascii="Times New Roman" w:hAnsi="Times New Roman" w:eastAsia="黑体" w:cs="Times New Roman"/>
          <w:b w:val="0"/>
          <w:bCs w:val="0"/>
          <w:color w:val="auto"/>
          <w:lang w:val="en-US" w:eastAsia="zh-CN"/>
        </w:rPr>
        <w:t>正常工况下</w:t>
      </w:r>
      <w:r>
        <w:rPr>
          <w:rFonts w:hint="eastAsia" w:ascii="Times New Roman" w:hAnsi="Times New Roman" w:eastAsia="黑体" w:cs="Times New Roman"/>
          <w:b w:val="0"/>
          <w:bCs w:val="0"/>
          <w:color w:val="auto"/>
          <w:lang w:val="en-US" w:eastAsia="zh-CN"/>
        </w:rPr>
        <w:t>无</w:t>
      </w:r>
      <w:r>
        <w:rPr>
          <w:rFonts w:hint="default" w:ascii="Times New Roman" w:hAnsi="Times New Roman" w:eastAsia="黑体" w:cs="Times New Roman"/>
          <w:b w:val="0"/>
          <w:bCs w:val="0"/>
          <w:color w:val="auto"/>
        </w:rPr>
        <w:t>组织废气产生及排放情况</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631"/>
        <w:gridCol w:w="1332"/>
        <w:gridCol w:w="1343"/>
        <w:gridCol w:w="1086"/>
        <w:gridCol w:w="1145"/>
        <w:gridCol w:w="1004"/>
        <w:gridCol w:w="1403"/>
        <w:gridCol w:w="1227"/>
        <w:gridCol w:w="1318"/>
        <w:gridCol w:w="998"/>
        <w:gridCol w:w="1089"/>
        <w:gridCol w:w="772"/>
        <w:gridCol w:w="772"/>
      </w:tblGrid>
      <w:tr w14:paraId="183EC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tcBorders>
              <w:tl2br w:val="nil"/>
              <w:tr2bl w:val="nil"/>
            </w:tcBorders>
            <w:noWrap w:val="0"/>
            <w:vAlign w:val="center"/>
          </w:tcPr>
          <w:p w14:paraId="6DECC2ED">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污染源名称</w:t>
            </w:r>
          </w:p>
        </w:tc>
        <w:tc>
          <w:tcPr>
            <w:tcW w:w="471" w:type="pct"/>
            <w:tcBorders>
              <w:tl2br w:val="nil"/>
              <w:tr2bl w:val="nil"/>
            </w:tcBorders>
            <w:noWrap w:val="0"/>
            <w:vAlign w:val="center"/>
          </w:tcPr>
          <w:p w14:paraId="18804E33">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生产工序</w:t>
            </w:r>
          </w:p>
        </w:tc>
        <w:tc>
          <w:tcPr>
            <w:tcW w:w="475" w:type="pct"/>
            <w:tcBorders>
              <w:tl2br w:val="nil"/>
              <w:tr2bl w:val="nil"/>
            </w:tcBorders>
            <w:noWrap w:val="0"/>
            <w:vAlign w:val="center"/>
          </w:tcPr>
          <w:p w14:paraId="2FC3B3BD">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污染物名称</w:t>
            </w:r>
          </w:p>
        </w:tc>
        <w:tc>
          <w:tcPr>
            <w:tcW w:w="384" w:type="pct"/>
            <w:tcBorders>
              <w:tl2br w:val="nil"/>
              <w:tr2bl w:val="nil"/>
            </w:tcBorders>
            <w:noWrap w:val="0"/>
            <w:vAlign w:val="center"/>
          </w:tcPr>
          <w:p w14:paraId="6DDE295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污染物产生量（t/a）</w:t>
            </w:r>
          </w:p>
        </w:tc>
        <w:tc>
          <w:tcPr>
            <w:tcW w:w="405" w:type="pct"/>
            <w:tcBorders>
              <w:tl2br w:val="nil"/>
              <w:tr2bl w:val="nil"/>
            </w:tcBorders>
            <w:noWrap w:val="0"/>
            <w:vAlign w:val="center"/>
          </w:tcPr>
          <w:p w14:paraId="1454E40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处理措施</w:t>
            </w:r>
          </w:p>
        </w:tc>
        <w:tc>
          <w:tcPr>
            <w:tcW w:w="355" w:type="pct"/>
            <w:tcBorders>
              <w:tl2br w:val="nil"/>
              <w:tr2bl w:val="nil"/>
            </w:tcBorders>
            <w:noWrap w:val="0"/>
            <w:vAlign w:val="center"/>
          </w:tcPr>
          <w:p w14:paraId="374069D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削减</w:t>
            </w:r>
            <w:r>
              <w:rPr>
                <w:rFonts w:hint="default" w:ascii="Times New Roman" w:hAnsi="Times New Roman" w:eastAsia="宋体" w:cs="Times New Roman"/>
                <w:b w:val="0"/>
                <w:bCs/>
                <w:color w:val="auto"/>
                <w:sz w:val="21"/>
                <w:szCs w:val="21"/>
              </w:rPr>
              <w:t>量（t/a）</w:t>
            </w:r>
          </w:p>
        </w:tc>
        <w:tc>
          <w:tcPr>
            <w:tcW w:w="496" w:type="pct"/>
            <w:tcBorders>
              <w:tl2br w:val="nil"/>
              <w:tr2bl w:val="nil"/>
            </w:tcBorders>
            <w:noWrap w:val="0"/>
            <w:vAlign w:val="center"/>
          </w:tcPr>
          <w:p w14:paraId="0DAC00A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outlineLvl w:val="9"/>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污染物排放量（t/a）</w:t>
            </w:r>
          </w:p>
        </w:tc>
        <w:tc>
          <w:tcPr>
            <w:tcW w:w="434" w:type="pct"/>
            <w:tcBorders>
              <w:tl2br w:val="nil"/>
              <w:tr2bl w:val="nil"/>
            </w:tcBorders>
            <w:noWrap w:val="0"/>
            <w:vAlign w:val="center"/>
          </w:tcPr>
          <w:p w14:paraId="293B00CA">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排放速</w:t>
            </w:r>
            <w:r>
              <w:rPr>
                <w:rFonts w:hint="default" w:ascii="Times New Roman" w:hAnsi="Times New Roman" w:eastAsia="宋体" w:cs="Times New Roman"/>
                <w:b w:val="0"/>
                <w:bCs/>
                <w:color w:val="auto"/>
                <w:kern w:val="0"/>
                <w:sz w:val="21"/>
                <w:szCs w:val="21"/>
                <w:lang w:val="en-US" w:eastAsia="zh-CN"/>
              </w:rPr>
              <w:t>率</w:t>
            </w:r>
            <w:r>
              <w:rPr>
                <w:rFonts w:hint="default" w:ascii="Times New Roman" w:hAnsi="Times New Roman" w:eastAsia="宋体" w:cs="Times New Roman"/>
                <w:b w:val="0"/>
                <w:bCs/>
                <w:color w:val="auto"/>
                <w:kern w:val="0"/>
                <w:sz w:val="21"/>
                <w:szCs w:val="21"/>
              </w:rPr>
              <w:t>（kg/h）</w:t>
            </w:r>
          </w:p>
        </w:tc>
        <w:tc>
          <w:tcPr>
            <w:tcW w:w="466" w:type="pct"/>
            <w:tcBorders>
              <w:tl2br w:val="nil"/>
              <w:tr2bl w:val="nil"/>
            </w:tcBorders>
            <w:noWrap w:val="0"/>
            <w:vAlign w:val="center"/>
          </w:tcPr>
          <w:p w14:paraId="35E1B0B2">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lang w:eastAsia="zh-CN"/>
              </w:rPr>
              <w:t>排放标准</w:t>
            </w:r>
            <w:r>
              <w:rPr>
                <w:rFonts w:hint="default" w:ascii="Times New Roman" w:hAnsi="Times New Roman" w:eastAsia="宋体" w:cs="Times New Roman"/>
                <w:b w:val="0"/>
                <w:bCs/>
                <w:color w:val="auto"/>
                <w:kern w:val="0"/>
                <w:sz w:val="21"/>
                <w:szCs w:val="21"/>
              </w:rPr>
              <w:t>（</w:t>
            </w:r>
            <w:r>
              <w:rPr>
                <w:rFonts w:hint="default" w:ascii="Times New Roman" w:hAnsi="Times New Roman" w:eastAsia="宋体" w:cs="Times New Roman"/>
                <w:b w:val="0"/>
                <w:bCs/>
                <w:color w:val="auto"/>
                <w:sz w:val="21"/>
                <w:szCs w:val="21"/>
                <w:vertAlign w:val="baseline"/>
                <w:lang w:val="en-US" w:eastAsia="zh-CN"/>
              </w:rPr>
              <w:t>mg/m</w:t>
            </w:r>
            <w:r>
              <w:rPr>
                <w:rFonts w:hint="default" w:ascii="Times New Roman" w:hAnsi="Times New Roman" w:eastAsia="宋体" w:cs="Times New Roman"/>
                <w:b w:val="0"/>
                <w:bCs/>
                <w:color w:val="auto"/>
                <w:sz w:val="21"/>
                <w:szCs w:val="21"/>
                <w:vertAlign w:val="superscript"/>
                <w:lang w:val="en-US" w:eastAsia="zh-CN"/>
              </w:rPr>
              <w:t>3</w:t>
            </w:r>
            <w:r>
              <w:rPr>
                <w:rFonts w:hint="default" w:ascii="Times New Roman" w:hAnsi="Times New Roman" w:eastAsia="宋体" w:cs="Times New Roman"/>
                <w:b w:val="0"/>
                <w:bCs/>
                <w:color w:val="auto"/>
                <w:kern w:val="0"/>
                <w:sz w:val="21"/>
                <w:szCs w:val="21"/>
              </w:rPr>
              <w:t>）</w:t>
            </w:r>
          </w:p>
        </w:tc>
        <w:tc>
          <w:tcPr>
            <w:tcW w:w="353" w:type="pct"/>
            <w:tcBorders>
              <w:tl2br w:val="nil"/>
              <w:tr2bl w:val="nil"/>
            </w:tcBorders>
            <w:noWrap w:val="0"/>
            <w:vAlign w:val="center"/>
          </w:tcPr>
          <w:p w14:paraId="42214F04">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lang w:eastAsia="zh-CN"/>
              </w:rPr>
              <w:t>排放时间</w:t>
            </w:r>
            <w:r>
              <w:rPr>
                <w:rFonts w:hint="default" w:ascii="Times New Roman" w:hAnsi="Times New Roman" w:eastAsia="宋体" w:cs="Times New Roman"/>
                <w:b w:val="0"/>
                <w:bCs/>
                <w:color w:val="auto"/>
                <w:kern w:val="0"/>
                <w:sz w:val="21"/>
                <w:szCs w:val="21"/>
              </w:rPr>
              <w:t>（h</w:t>
            </w:r>
            <w:r>
              <w:rPr>
                <w:rFonts w:hint="default" w:ascii="Times New Roman" w:hAnsi="Times New Roman" w:eastAsia="宋体" w:cs="Times New Roman"/>
                <w:b w:val="0"/>
                <w:bCs/>
                <w:color w:val="auto"/>
                <w:kern w:val="0"/>
                <w:sz w:val="21"/>
                <w:szCs w:val="21"/>
                <w:lang w:val="en-US" w:eastAsia="zh-CN"/>
              </w:rPr>
              <w:t>/a</w:t>
            </w:r>
            <w:r>
              <w:rPr>
                <w:rFonts w:hint="default" w:ascii="Times New Roman" w:hAnsi="Times New Roman" w:eastAsia="宋体" w:cs="Times New Roman"/>
                <w:b w:val="0"/>
                <w:bCs/>
                <w:color w:val="auto"/>
                <w:kern w:val="0"/>
                <w:sz w:val="21"/>
                <w:szCs w:val="21"/>
              </w:rPr>
              <w:t>）</w:t>
            </w:r>
          </w:p>
        </w:tc>
        <w:tc>
          <w:tcPr>
            <w:tcW w:w="385" w:type="pct"/>
            <w:tcBorders>
              <w:tl2br w:val="nil"/>
              <w:tr2bl w:val="nil"/>
            </w:tcBorders>
            <w:noWrap w:val="0"/>
            <w:vAlign w:val="center"/>
          </w:tcPr>
          <w:p w14:paraId="7D53E217">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面源长度（m）</w:t>
            </w:r>
          </w:p>
        </w:tc>
        <w:tc>
          <w:tcPr>
            <w:tcW w:w="273" w:type="pct"/>
            <w:tcBorders>
              <w:tl2br w:val="nil"/>
              <w:tr2bl w:val="nil"/>
            </w:tcBorders>
            <w:noWrap w:val="0"/>
            <w:vAlign w:val="center"/>
          </w:tcPr>
          <w:p w14:paraId="47EE5B9A">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面源宽度（m）</w:t>
            </w:r>
          </w:p>
        </w:tc>
        <w:tc>
          <w:tcPr>
            <w:tcW w:w="273" w:type="pct"/>
            <w:tcBorders>
              <w:tl2br w:val="nil"/>
              <w:tr2bl w:val="nil"/>
            </w:tcBorders>
            <w:noWrap w:val="0"/>
            <w:vAlign w:val="center"/>
          </w:tcPr>
          <w:p w14:paraId="2FF0CE0F">
            <w:pPr>
              <w:keepNext w:val="0"/>
              <w:keepLines w:val="0"/>
              <w:pageBreakBefore w:val="0"/>
              <w:widowControl/>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面源高度（m）</w:t>
            </w:r>
          </w:p>
        </w:tc>
      </w:tr>
      <w:tr w14:paraId="0BB54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vMerge w:val="restart"/>
            <w:tcBorders>
              <w:tl2br w:val="nil"/>
              <w:tr2bl w:val="nil"/>
            </w:tcBorders>
            <w:noWrap w:val="0"/>
            <w:vAlign w:val="center"/>
          </w:tcPr>
          <w:p w14:paraId="54A56281">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生产车间</w:t>
            </w:r>
          </w:p>
        </w:tc>
        <w:tc>
          <w:tcPr>
            <w:tcW w:w="471" w:type="pct"/>
            <w:tcBorders>
              <w:tl2br w:val="nil"/>
              <w:tr2bl w:val="nil"/>
            </w:tcBorders>
            <w:noWrap w:val="0"/>
            <w:vAlign w:val="center"/>
          </w:tcPr>
          <w:p w14:paraId="21527FB0">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val="0"/>
                <w:color w:val="auto"/>
                <w:kern w:val="0"/>
                <w:sz w:val="21"/>
                <w:szCs w:val="21"/>
                <w:highlight w:val="none"/>
                <w:u w:val="none"/>
                <w:lang w:val="en-US" w:eastAsia="zh-CN" w:bidi="ar-SA"/>
              </w:rPr>
              <w:t>熔炼</w:t>
            </w:r>
            <w:r>
              <w:rPr>
                <w:rFonts w:hint="eastAsia" w:ascii="Times New Roman" w:hAnsi="Times New Roman" w:cs="Times New Roman"/>
                <w:b w:val="0"/>
                <w:bCs w:val="0"/>
                <w:color w:val="auto"/>
                <w:kern w:val="0"/>
                <w:sz w:val="21"/>
                <w:szCs w:val="21"/>
                <w:highlight w:val="none"/>
                <w:u w:val="none"/>
                <w:lang w:val="en-US" w:eastAsia="zh-CN" w:bidi="ar-SA"/>
              </w:rPr>
              <w:t>工序</w:t>
            </w:r>
          </w:p>
        </w:tc>
        <w:tc>
          <w:tcPr>
            <w:tcW w:w="475" w:type="pct"/>
            <w:tcBorders>
              <w:tl2br w:val="nil"/>
              <w:tr2bl w:val="nil"/>
            </w:tcBorders>
            <w:noWrap w:val="0"/>
            <w:vAlign w:val="center"/>
          </w:tcPr>
          <w:p w14:paraId="586589E9">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颗粒物</w:t>
            </w:r>
          </w:p>
        </w:tc>
        <w:tc>
          <w:tcPr>
            <w:tcW w:w="384" w:type="pct"/>
            <w:tcBorders>
              <w:tl2br w:val="nil"/>
              <w:tr2bl w:val="nil"/>
            </w:tcBorders>
            <w:noWrap w:val="0"/>
            <w:vAlign w:val="center"/>
          </w:tcPr>
          <w:p w14:paraId="00F37F93">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eastAsia" w:eastAsia="宋体"/>
                <w:sz w:val="21"/>
                <w:szCs w:val="21"/>
                <w:vertAlign w:val="baseline"/>
                <w:lang w:val="en-US" w:eastAsia="zh-CN"/>
              </w:rPr>
              <w:t>0.575</w:t>
            </w:r>
          </w:p>
        </w:tc>
        <w:tc>
          <w:tcPr>
            <w:tcW w:w="405" w:type="pct"/>
            <w:vMerge w:val="restart"/>
            <w:tcBorders>
              <w:tl2br w:val="nil"/>
              <w:tr2bl w:val="nil"/>
            </w:tcBorders>
            <w:noWrap w:val="0"/>
            <w:vAlign w:val="center"/>
          </w:tcPr>
          <w:p w14:paraId="2E0D85F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重力沉淀</w:t>
            </w:r>
          </w:p>
        </w:tc>
        <w:tc>
          <w:tcPr>
            <w:tcW w:w="355" w:type="pct"/>
            <w:tcBorders>
              <w:tl2br w:val="nil"/>
              <w:tr2bl w:val="nil"/>
            </w:tcBorders>
            <w:noWrap w:val="0"/>
            <w:vAlign w:val="center"/>
          </w:tcPr>
          <w:p w14:paraId="6409220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0.402</w:t>
            </w:r>
          </w:p>
        </w:tc>
        <w:tc>
          <w:tcPr>
            <w:tcW w:w="496" w:type="pct"/>
            <w:tcBorders>
              <w:tl2br w:val="nil"/>
              <w:tr2bl w:val="nil"/>
            </w:tcBorders>
            <w:noWrap w:val="0"/>
            <w:vAlign w:val="center"/>
          </w:tcPr>
          <w:p w14:paraId="3DE863D3">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kern w:val="2"/>
                <w:sz w:val="21"/>
                <w:szCs w:val="21"/>
                <w:lang w:val="en-US" w:eastAsia="zh-CN" w:bidi="ar-SA"/>
              </w:rPr>
            </w:pPr>
            <w:r>
              <w:rPr>
                <w:rFonts w:hint="eastAsia"/>
                <w:sz w:val="21"/>
                <w:szCs w:val="21"/>
                <w:vertAlign w:val="baseline"/>
                <w:lang w:val="en-US" w:eastAsia="zh-CN"/>
              </w:rPr>
              <w:t>0.173</w:t>
            </w:r>
          </w:p>
        </w:tc>
        <w:tc>
          <w:tcPr>
            <w:tcW w:w="434" w:type="pct"/>
            <w:tcBorders>
              <w:tl2br w:val="nil"/>
              <w:tr2bl w:val="nil"/>
            </w:tcBorders>
            <w:noWrap w:val="0"/>
            <w:vAlign w:val="center"/>
          </w:tcPr>
          <w:p w14:paraId="5EE3B31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0.0</w:t>
            </w:r>
            <w:r>
              <w:rPr>
                <w:rFonts w:hint="eastAsia" w:cs="Times New Roman"/>
                <w:b w:val="0"/>
                <w:bCs/>
                <w:color w:val="auto"/>
                <w:kern w:val="2"/>
                <w:sz w:val="21"/>
                <w:szCs w:val="21"/>
                <w:lang w:val="en-US" w:eastAsia="zh-CN" w:bidi="ar-SA"/>
              </w:rPr>
              <w:t>33</w:t>
            </w:r>
          </w:p>
        </w:tc>
        <w:tc>
          <w:tcPr>
            <w:tcW w:w="466" w:type="pct"/>
            <w:tcBorders>
              <w:tl2br w:val="nil"/>
              <w:tr2bl w:val="nil"/>
            </w:tcBorders>
            <w:noWrap w:val="0"/>
            <w:vAlign w:val="center"/>
          </w:tcPr>
          <w:p w14:paraId="0E2DEC22">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0.5</w:t>
            </w:r>
          </w:p>
        </w:tc>
        <w:tc>
          <w:tcPr>
            <w:tcW w:w="353" w:type="pct"/>
            <w:tcBorders>
              <w:tl2br w:val="nil"/>
              <w:tr2bl w:val="nil"/>
            </w:tcBorders>
            <w:noWrap w:val="0"/>
            <w:vAlign w:val="center"/>
          </w:tcPr>
          <w:p w14:paraId="188F02F2">
            <w:pPr>
              <w:pStyle w:val="3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000000"/>
                <w:kern w:val="0"/>
                <w:sz w:val="21"/>
                <w:szCs w:val="21"/>
                <w:lang w:val="en-US" w:eastAsia="zh-CN" w:bidi="ar-SA"/>
              </w:rPr>
              <w:t>5280</w:t>
            </w:r>
          </w:p>
        </w:tc>
        <w:tc>
          <w:tcPr>
            <w:tcW w:w="385" w:type="pct"/>
            <w:vMerge w:val="restart"/>
            <w:tcBorders>
              <w:tl2br w:val="nil"/>
              <w:tr2bl w:val="nil"/>
            </w:tcBorders>
            <w:noWrap w:val="0"/>
            <w:vAlign w:val="center"/>
          </w:tcPr>
          <w:p w14:paraId="1A44ACE3">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111.11</w:t>
            </w:r>
          </w:p>
        </w:tc>
        <w:tc>
          <w:tcPr>
            <w:tcW w:w="273" w:type="pct"/>
            <w:vMerge w:val="restart"/>
            <w:tcBorders>
              <w:tl2br w:val="nil"/>
              <w:tr2bl w:val="nil"/>
            </w:tcBorders>
            <w:noWrap w:val="0"/>
            <w:vAlign w:val="center"/>
          </w:tcPr>
          <w:p w14:paraId="2B71F31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45</w:t>
            </w:r>
          </w:p>
        </w:tc>
        <w:tc>
          <w:tcPr>
            <w:tcW w:w="273" w:type="pct"/>
            <w:vMerge w:val="restart"/>
            <w:tcBorders>
              <w:tl2br w:val="nil"/>
              <w:tr2bl w:val="nil"/>
            </w:tcBorders>
            <w:noWrap w:val="0"/>
            <w:vAlign w:val="center"/>
          </w:tcPr>
          <w:p w14:paraId="3C213873">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w:t>
            </w:r>
          </w:p>
        </w:tc>
      </w:tr>
      <w:tr w14:paraId="47C62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vMerge w:val="continue"/>
            <w:tcBorders>
              <w:tl2br w:val="nil"/>
              <w:tr2bl w:val="nil"/>
            </w:tcBorders>
            <w:noWrap w:val="0"/>
            <w:vAlign w:val="center"/>
          </w:tcPr>
          <w:p w14:paraId="64A89091">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1" w:type="pct"/>
            <w:vMerge w:val="restart"/>
            <w:tcBorders>
              <w:tl2br w:val="nil"/>
              <w:tr2bl w:val="nil"/>
            </w:tcBorders>
            <w:noWrap w:val="0"/>
            <w:vAlign w:val="center"/>
          </w:tcPr>
          <w:p w14:paraId="466BE03A">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混砂、造型/浇注、工件清理和不合格品回用切割工序</w:t>
            </w:r>
          </w:p>
        </w:tc>
        <w:tc>
          <w:tcPr>
            <w:tcW w:w="475" w:type="pct"/>
            <w:tcBorders>
              <w:tl2br w:val="nil"/>
              <w:tr2bl w:val="nil"/>
            </w:tcBorders>
            <w:noWrap w:val="0"/>
            <w:vAlign w:val="center"/>
          </w:tcPr>
          <w:p w14:paraId="44DF798F">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颗粒物</w:t>
            </w:r>
          </w:p>
        </w:tc>
        <w:tc>
          <w:tcPr>
            <w:tcW w:w="384" w:type="pct"/>
            <w:tcBorders>
              <w:tl2br w:val="nil"/>
              <w:tr2bl w:val="nil"/>
            </w:tcBorders>
            <w:noWrap w:val="0"/>
            <w:vAlign w:val="center"/>
          </w:tcPr>
          <w:p w14:paraId="32657B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sz w:val="21"/>
                <w:szCs w:val="21"/>
                <w:vertAlign w:val="baseline"/>
                <w:lang w:val="en-US" w:eastAsia="zh-CN"/>
              </w:rPr>
              <w:t>1.464</w:t>
            </w:r>
          </w:p>
        </w:tc>
        <w:tc>
          <w:tcPr>
            <w:tcW w:w="405" w:type="pct"/>
            <w:vMerge w:val="continue"/>
            <w:tcBorders>
              <w:tl2br w:val="nil"/>
              <w:tr2bl w:val="nil"/>
            </w:tcBorders>
            <w:noWrap w:val="0"/>
            <w:vAlign w:val="center"/>
          </w:tcPr>
          <w:p w14:paraId="6D3782FA">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355" w:type="pct"/>
            <w:tcBorders>
              <w:tl2br w:val="nil"/>
              <w:tr2bl w:val="nil"/>
            </w:tcBorders>
            <w:noWrap w:val="0"/>
            <w:vAlign w:val="center"/>
          </w:tcPr>
          <w:p w14:paraId="0DFC97E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1.025</w:t>
            </w:r>
          </w:p>
        </w:tc>
        <w:tc>
          <w:tcPr>
            <w:tcW w:w="496" w:type="pct"/>
            <w:tcBorders>
              <w:tl2br w:val="nil"/>
              <w:tr2bl w:val="nil"/>
            </w:tcBorders>
            <w:noWrap w:val="0"/>
            <w:vAlign w:val="center"/>
          </w:tcPr>
          <w:p w14:paraId="501163D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kern w:val="2"/>
                <w:sz w:val="21"/>
                <w:szCs w:val="21"/>
                <w:lang w:val="en-US" w:eastAsia="zh-CN" w:bidi="ar-SA"/>
              </w:rPr>
            </w:pPr>
            <w:r>
              <w:rPr>
                <w:rFonts w:hint="eastAsia"/>
                <w:sz w:val="21"/>
                <w:szCs w:val="21"/>
                <w:vertAlign w:val="baseline"/>
                <w:lang w:val="en-US" w:eastAsia="zh-CN"/>
              </w:rPr>
              <w:t>0.439</w:t>
            </w:r>
          </w:p>
        </w:tc>
        <w:tc>
          <w:tcPr>
            <w:tcW w:w="1227" w:type="dxa"/>
            <w:tcBorders>
              <w:tl2br w:val="nil"/>
              <w:tr2bl w:val="nil"/>
            </w:tcBorders>
            <w:noWrap w:val="0"/>
            <w:vAlign w:val="center"/>
          </w:tcPr>
          <w:p w14:paraId="6D2BE7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0.083</w:t>
            </w:r>
          </w:p>
        </w:tc>
        <w:tc>
          <w:tcPr>
            <w:tcW w:w="466" w:type="pct"/>
            <w:tcBorders>
              <w:tl2br w:val="nil"/>
              <w:tr2bl w:val="nil"/>
            </w:tcBorders>
            <w:noWrap w:val="0"/>
            <w:vAlign w:val="center"/>
          </w:tcPr>
          <w:p w14:paraId="1A060F6A">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0.5</w:t>
            </w:r>
          </w:p>
        </w:tc>
        <w:tc>
          <w:tcPr>
            <w:tcW w:w="353" w:type="pct"/>
            <w:vMerge w:val="restart"/>
            <w:tcBorders>
              <w:tl2br w:val="nil"/>
              <w:tr2bl w:val="nil"/>
            </w:tcBorders>
            <w:noWrap w:val="0"/>
            <w:vAlign w:val="center"/>
          </w:tcPr>
          <w:p w14:paraId="4CA79016">
            <w:pPr>
              <w:pStyle w:val="3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0"/>
                <w:sz w:val="21"/>
                <w:szCs w:val="21"/>
                <w:lang w:val="en-US" w:eastAsia="zh-CN" w:bidi="ar-SA"/>
              </w:rPr>
            </w:pPr>
            <w:r>
              <w:rPr>
                <w:rFonts w:hint="eastAsia" w:cs="Times New Roman"/>
                <w:b w:val="0"/>
                <w:bCs/>
                <w:color w:val="000000"/>
                <w:kern w:val="0"/>
                <w:sz w:val="21"/>
                <w:szCs w:val="21"/>
                <w:lang w:val="en-US" w:eastAsia="zh-CN" w:bidi="ar-SA"/>
              </w:rPr>
              <w:t>5280</w:t>
            </w:r>
          </w:p>
        </w:tc>
        <w:tc>
          <w:tcPr>
            <w:tcW w:w="385" w:type="pct"/>
            <w:vMerge w:val="continue"/>
            <w:tcBorders>
              <w:tl2br w:val="nil"/>
              <w:tr2bl w:val="nil"/>
            </w:tcBorders>
            <w:noWrap w:val="0"/>
            <w:vAlign w:val="center"/>
          </w:tcPr>
          <w:p w14:paraId="7F41B590">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65FDB6A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506D89AA">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r>
      <w:tr w14:paraId="351D2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vMerge w:val="continue"/>
            <w:tcBorders>
              <w:tl2br w:val="nil"/>
              <w:tr2bl w:val="nil"/>
            </w:tcBorders>
            <w:noWrap w:val="0"/>
            <w:vAlign w:val="center"/>
          </w:tcPr>
          <w:p w14:paraId="13F2918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1" w:type="pct"/>
            <w:vMerge w:val="continue"/>
            <w:tcBorders>
              <w:tl2br w:val="nil"/>
              <w:tr2bl w:val="nil"/>
            </w:tcBorders>
            <w:noWrap w:val="0"/>
            <w:vAlign w:val="center"/>
          </w:tcPr>
          <w:p w14:paraId="1E67B524">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5" w:type="pct"/>
            <w:tcBorders>
              <w:tl2br w:val="nil"/>
              <w:tr2bl w:val="nil"/>
            </w:tcBorders>
            <w:noWrap w:val="0"/>
            <w:vAlign w:val="center"/>
          </w:tcPr>
          <w:p w14:paraId="101F3FE9">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非甲烷总烃</w:t>
            </w:r>
          </w:p>
        </w:tc>
        <w:tc>
          <w:tcPr>
            <w:tcW w:w="384" w:type="pct"/>
            <w:tcBorders>
              <w:tl2br w:val="nil"/>
              <w:tr2bl w:val="nil"/>
            </w:tcBorders>
            <w:noWrap w:val="0"/>
            <w:vAlign w:val="center"/>
          </w:tcPr>
          <w:p w14:paraId="6EA07B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sz w:val="21"/>
                <w:szCs w:val="21"/>
                <w:vertAlign w:val="baseline"/>
                <w:lang w:val="en-US" w:eastAsia="zh-CN"/>
              </w:rPr>
              <w:t>0.558</w:t>
            </w:r>
          </w:p>
        </w:tc>
        <w:tc>
          <w:tcPr>
            <w:tcW w:w="405" w:type="pct"/>
            <w:tcBorders>
              <w:tl2br w:val="nil"/>
              <w:tr2bl w:val="nil"/>
            </w:tcBorders>
            <w:noWrap w:val="0"/>
            <w:vAlign w:val="center"/>
          </w:tcPr>
          <w:p w14:paraId="3C2D3282">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c>
          <w:tcPr>
            <w:tcW w:w="355" w:type="pct"/>
            <w:tcBorders>
              <w:tl2br w:val="nil"/>
              <w:tr2bl w:val="nil"/>
            </w:tcBorders>
            <w:noWrap w:val="0"/>
            <w:vAlign w:val="center"/>
          </w:tcPr>
          <w:p w14:paraId="3CAA7F54">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c>
          <w:tcPr>
            <w:tcW w:w="496" w:type="pct"/>
            <w:tcBorders>
              <w:tl2br w:val="nil"/>
              <w:tr2bl w:val="nil"/>
            </w:tcBorders>
            <w:noWrap w:val="0"/>
            <w:vAlign w:val="center"/>
          </w:tcPr>
          <w:p w14:paraId="66906B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sz w:val="21"/>
                <w:szCs w:val="21"/>
                <w:vertAlign w:val="baseline"/>
                <w:lang w:val="en-US" w:eastAsia="zh-CN"/>
              </w:rPr>
              <w:t>0.558</w:t>
            </w:r>
          </w:p>
        </w:tc>
        <w:tc>
          <w:tcPr>
            <w:tcW w:w="1227" w:type="dxa"/>
            <w:tcBorders>
              <w:tl2br w:val="nil"/>
              <w:tr2bl w:val="nil"/>
            </w:tcBorders>
            <w:noWrap w:val="0"/>
            <w:vAlign w:val="center"/>
          </w:tcPr>
          <w:p w14:paraId="0C50DD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0.106</w:t>
            </w:r>
          </w:p>
        </w:tc>
        <w:tc>
          <w:tcPr>
            <w:tcW w:w="466" w:type="pct"/>
            <w:tcBorders>
              <w:tl2br w:val="nil"/>
              <w:tr2bl w:val="nil"/>
            </w:tcBorders>
            <w:noWrap w:val="0"/>
            <w:vAlign w:val="center"/>
          </w:tcPr>
          <w:p w14:paraId="2890604B">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w:t>
            </w:r>
          </w:p>
        </w:tc>
        <w:tc>
          <w:tcPr>
            <w:tcW w:w="353" w:type="pct"/>
            <w:vMerge w:val="continue"/>
            <w:tcBorders>
              <w:tl2br w:val="nil"/>
              <w:tr2bl w:val="nil"/>
            </w:tcBorders>
            <w:noWrap w:val="0"/>
            <w:vAlign w:val="center"/>
          </w:tcPr>
          <w:p w14:paraId="28D48499">
            <w:pPr>
              <w:pStyle w:val="3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385" w:type="pct"/>
            <w:vMerge w:val="continue"/>
            <w:tcBorders>
              <w:tl2br w:val="nil"/>
              <w:tr2bl w:val="nil"/>
            </w:tcBorders>
            <w:noWrap w:val="0"/>
            <w:vAlign w:val="center"/>
          </w:tcPr>
          <w:p w14:paraId="361E25D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60FBBE99">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646C7138">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r>
      <w:tr w14:paraId="567A2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vMerge w:val="continue"/>
            <w:tcBorders>
              <w:tl2br w:val="nil"/>
              <w:tr2bl w:val="nil"/>
            </w:tcBorders>
            <w:noWrap w:val="0"/>
            <w:vAlign w:val="center"/>
          </w:tcPr>
          <w:p w14:paraId="273E76AC">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1" w:type="pct"/>
            <w:vMerge w:val="continue"/>
            <w:tcBorders>
              <w:tl2br w:val="nil"/>
              <w:tr2bl w:val="nil"/>
            </w:tcBorders>
            <w:noWrap w:val="0"/>
            <w:vAlign w:val="center"/>
          </w:tcPr>
          <w:p w14:paraId="76914BD0">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5" w:type="pct"/>
            <w:tcBorders>
              <w:tl2br w:val="nil"/>
              <w:tr2bl w:val="nil"/>
            </w:tcBorders>
            <w:noWrap w:val="0"/>
            <w:vAlign w:val="center"/>
          </w:tcPr>
          <w:p w14:paraId="512C509B">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甲醛</w:t>
            </w:r>
          </w:p>
        </w:tc>
        <w:tc>
          <w:tcPr>
            <w:tcW w:w="384" w:type="pct"/>
            <w:tcBorders>
              <w:tl2br w:val="nil"/>
              <w:tr2bl w:val="nil"/>
            </w:tcBorders>
            <w:noWrap w:val="0"/>
            <w:vAlign w:val="center"/>
          </w:tcPr>
          <w:p w14:paraId="785D6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eastAsia"/>
                <w:sz w:val="21"/>
                <w:szCs w:val="21"/>
                <w:vertAlign w:val="baseline"/>
                <w:lang w:val="en-US" w:eastAsia="zh-CN"/>
              </w:rPr>
              <w:t>0.036</w:t>
            </w:r>
          </w:p>
        </w:tc>
        <w:tc>
          <w:tcPr>
            <w:tcW w:w="405" w:type="pct"/>
            <w:tcBorders>
              <w:tl2br w:val="nil"/>
              <w:tr2bl w:val="nil"/>
            </w:tcBorders>
            <w:noWrap w:val="0"/>
            <w:vAlign w:val="center"/>
          </w:tcPr>
          <w:p w14:paraId="41D3AF8C">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c>
          <w:tcPr>
            <w:tcW w:w="355" w:type="pct"/>
            <w:tcBorders>
              <w:tl2br w:val="nil"/>
              <w:tr2bl w:val="nil"/>
            </w:tcBorders>
            <w:noWrap w:val="0"/>
            <w:vAlign w:val="center"/>
          </w:tcPr>
          <w:p w14:paraId="32B16C3E">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c>
          <w:tcPr>
            <w:tcW w:w="496" w:type="pct"/>
            <w:tcBorders>
              <w:tl2br w:val="nil"/>
              <w:tr2bl w:val="nil"/>
            </w:tcBorders>
            <w:noWrap w:val="0"/>
            <w:vAlign w:val="center"/>
          </w:tcPr>
          <w:p w14:paraId="53C5D460">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rPr>
                <w:rFonts w:hint="default" w:ascii="Times New Roman" w:hAnsi="Times New Roman" w:eastAsia="宋体" w:cs="Times New Roman"/>
                <w:b w:val="0"/>
                <w:bCs/>
                <w:color w:val="auto"/>
                <w:sz w:val="21"/>
                <w:szCs w:val="21"/>
                <w:lang w:val="en-US" w:eastAsia="zh-CN"/>
              </w:rPr>
            </w:pPr>
            <w:r>
              <w:rPr>
                <w:rFonts w:hint="eastAsia"/>
                <w:sz w:val="21"/>
                <w:szCs w:val="21"/>
                <w:vertAlign w:val="baseline"/>
                <w:lang w:val="en-US" w:eastAsia="zh-CN"/>
              </w:rPr>
              <w:t>0.036</w:t>
            </w:r>
          </w:p>
        </w:tc>
        <w:tc>
          <w:tcPr>
            <w:tcW w:w="1227" w:type="dxa"/>
            <w:tcBorders>
              <w:tl2br w:val="nil"/>
              <w:tr2bl w:val="nil"/>
            </w:tcBorders>
            <w:noWrap w:val="0"/>
            <w:vAlign w:val="center"/>
          </w:tcPr>
          <w:p w14:paraId="53E7A4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0.007</w:t>
            </w:r>
          </w:p>
        </w:tc>
        <w:tc>
          <w:tcPr>
            <w:tcW w:w="466" w:type="pct"/>
            <w:tcBorders>
              <w:tl2br w:val="nil"/>
              <w:tr2bl w:val="nil"/>
            </w:tcBorders>
            <w:noWrap w:val="0"/>
            <w:vAlign w:val="center"/>
          </w:tcPr>
          <w:p w14:paraId="3561F76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0.05</w:t>
            </w:r>
          </w:p>
        </w:tc>
        <w:tc>
          <w:tcPr>
            <w:tcW w:w="353" w:type="pct"/>
            <w:vMerge w:val="continue"/>
            <w:tcBorders>
              <w:tl2br w:val="nil"/>
              <w:tr2bl w:val="nil"/>
            </w:tcBorders>
            <w:noWrap w:val="0"/>
            <w:vAlign w:val="center"/>
          </w:tcPr>
          <w:p w14:paraId="1C51DD72">
            <w:pPr>
              <w:pStyle w:val="3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0"/>
                <w:sz w:val="21"/>
                <w:szCs w:val="21"/>
                <w:lang w:val="en-US" w:eastAsia="zh-CN" w:bidi="ar-SA"/>
              </w:rPr>
            </w:pPr>
          </w:p>
        </w:tc>
        <w:tc>
          <w:tcPr>
            <w:tcW w:w="385" w:type="pct"/>
            <w:vMerge w:val="continue"/>
            <w:tcBorders>
              <w:tl2br w:val="nil"/>
              <w:tr2bl w:val="nil"/>
            </w:tcBorders>
            <w:noWrap w:val="0"/>
            <w:vAlign w:val="center"/>
          </w:tcPr>
          <w:p w14:paraId="59AAAC1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4F5C2BB8">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4A067E4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r>
      <w:tr w14:paraId="5A4F0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454" w:hRule="atLeast"/>
          <w:jc w:val="center"/>
        </w:trPr>
        <w:tc>
          <w:tcPr>
            <w:tcW w:w="223" w:type="pct"/>
            <w:vMerge w:val="continue"/>
            <w:tcBorders>
              <w:tl2br w:val="nil"/>
              <w:tr2bl w:val="nil"/>
            </w:tcBorders>
            <w:noWrap w:val="0"/>
            <w:vAlign w:val="center"/>
          </w:tcPr>
          <w:p w14:paraId="4844F34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471" w:type="pct"/>
            <w:tcBorders>
              <w:tl2br w:val="nil"/>
              <w:tr2bl w:val="nil"/>
            </w:tcBorders>
            <w:noWrap w:val="0"/>
            <w:vAlign w:val="center"/>
          </w:tcPr>
          <w:p w14:paraId="783AC3B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落砂及砂处理工序</w:t>
            </w:r>
          </w:p>
        </w:tc>
        <w:tc>
          <w:tcPr>
            <w:tcW w:w="475" w:type="pct"/>
            <w:tcBorders>
              <w:tl2br w:val="nil"/>
              <w:tr2bl w:val="nil"/>
            </w:tcBorders>
            <w:noWrap w:val="0"/>
            <w:vAlign w:val="center"/>
          </w:tcPr>
          <w:p w14:paraId="57260CE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颗粒物</w:t>
            </w:r>
          </w:p>
        </w:tc>
        <w:tc>
          <w:tcPr>
            <w:tcW w:w="384" w:type="pct"/>
            <w:tcBorders>
              <w:tl2br w:val="nil"/>
              <w:tr2bl w:val="nil"/>
            </w:tcBorders>
            <w:noWrap w:val="0"/>
            <w:vAlign w:val="center"/>
          </w:tcPr>
          <w:p w14:paraId="0C543A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eastAsia="宋体"/>
                <w:sz w:val="21"/>
                <w:szCs w:val="21"/>
                <w:highlight w:val="none"/>
                <w:vertAlign w:val="baseline"/>
                <w:lang w:val="en-US" w:eastAsia="zh-CN"/>
              </w:rPr>
              <w:t>0.36</w:t>
            </w:r>
          </w:p>
        </w:tc>
        <w:tc>
          <w:tcPr>
            <w:tcW w:w="405" w:type="pct"/>
            <w:tcBorders>
              <w:tl2br w:val="nil"/>
              <w:tr2bl w:val="nil"/>
            </w:tcBorders>
            <w:noWrap w:val="0"/>
            <w:vAlign w:val="center"/>
          </w:tcPr>
          <w:p w14:paraId="400C76C2">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重力沉淀</w:t>
            </w:r>
          </w:p>
        </w:tc>
        <w:tc>
          <w:tcPr>
            <w:tcW w:w="355" w:type="pct"/>
            <w:tcBorders>
              <w:tl2br w:val="nil"/>
              <w:tr2bl w:val="nil"/>
            </w:tcBorders>
            <w:noWrap w:val="0"/>
            <w:vAlign w:val="center"/>
          </w:tcPr>
          <w:p w14:paraId="1FAA383B">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0.252</w:t>
            </w:r>
          </w:p>
        </w:tc>
        <w:tc>
          <w:tcPr>
            <w:tcW w:w="496" w:type="pct"/>
            <w:tcBorders>
              <w:tl2br w:val="nil"/>
              <w:tr2bl w:val="nil"/>
            </w:tcBorders>
            <w:noWrap w:val="0"/>
            <w:vAlign w:val="center"/>
          </w:tcPr>
          <w:p w14:paraId="079C3D48">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rPr>
                <w:rFonts w:hint="default"/>
                <w:sz w:val="21"/>
                <w:szCs w:val="21"/>
                <w:vertAlign w:val="baseline"/>
                <w:lang w:val="en-US" w:eastAsia="zh-CN"/>
              </w:rPr>
            </w:pPr>
            <w:r>
              <w:rPr>
                <w:rFonts w:hint="eastAsia"/>
                <w:sz w:val="21"/>
                <w:szCs w:val="21"/>
                <w:vertAlign w:val="baseline"/>
                <w:lang w:val="en-US" w:eastAsia="zh-CN"/>
              </w:rPr>
              <w:t>0.108</w:t>
            </w:r>
          </w:p>
        </w:tc>
        <w:tc>
          <w:tcPr>
            <w:tcW w:w="434" w:type="pct"/>
            <w:tcBorders>
              <w:tl2br w:val="nil"/>
              <w:tr2bl w:val="nil"/>
            </w:tcBorders>
            <w:noWrap w:val="0"/>
            <w:vAlign w:val="center"/>
          </w:tcPr>
          <w:p w14:paraId="61775686">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0.020</w:t>
            </w:r>
          </w:p>
        </w:tc>
        <w:tc>
          <w:tcPr>
            <w:tcW w:w="466" w:type="pct"/>
            <w:tcBorders>
              <w:tl2br w:val="nil"/>
              <w:tr2bl w:val="nil"/>
            </w:tcBorders>
            <w:noWrap w:val="0"/>
            <w:vAlign w:val="center"/>
          </w:tcPr>
          <w:p w14:paraId="376CFAE5">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0.5</w:t>
            </w:r>
          </w:p>
        </w:tc>
        <w:tc>
          <w:tcPr>
            <w:tcW w:w="353" w:type="pct"/>
            <w:tcBorders>
              <w:tl2br w:val="nil"/>
              <w:tr2bl w:val="nil"/>
            </w:tcBorders>
            <w:noWrap w:val="0"/>
            <w:vAlign w:val="center"/>
          </w:tcPr>
          <w:p w14:paraId="2F540CD7">
            <w:pPr>
              <w:pStyle w:val="33"/>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0"/>
                <w:sz w:val="21"/>
                <w:szCs w:val="21"/>
                <w:lang w:val="en-US" w:eastAsia="zh-CN" w:bidi="ar-SA"/>
              </w:rPr>
            </w:pPr>
            <w:r>
              <w:rPr>
                <w:rFonts w:hint="eastAsia" w:cs="Times New Roman"/>
                <w:b w:val="0"/>
                <w:bCs/>
                <w:color w:val="000000"/>
                <w:kern w:val="0"/>
                <w:sz w:val="21"/>
                <w:szCs w:val="21"/>
                <w:lang w:val="en-US" w:eastAsia="zh-CN" w:bidi="ar-SA"/>
              </w:rPr>
              <w:t>5280</w:t>
            </w:r>
          </w:p>
        </w:tc>
        <w:tc>
          <w:tcPr>
            <w:tcW w:w="385" w:type="pct"/>
            <w:vMerge w:val="continue"/>
            <w:tcBorders>
              <w:tl2br w:val="nil"/>
              <w:tr2bl w:val="nil"/>
            </w:tcBorders>
            <w:noWrap w:val="0"/>
            <w:vAlign w:val="center"/>
          </w:tcPr>
          <w:p w14:paraId="372D1A90">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440283AA">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c>
          <w:tcPr>
            <w:tcW w:w="273" w:type="pct"/>
            <w:vMerge w:val="continue"/>
            <w:tcBorders>
              <w:tl2br w:val="nil"/>
              <w:tr2bl w:val="nil"/>
            </w:tcBorders>
            <w:noWrap w:val="0"/>
            <w:vAlign w:val="center"/>
          </w:tcPr>
          <w:p w14:paraId="20863AFD">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Chars="0"/>
              <w:textAlignment w:val="auto"/>
              <w:rPr>
                <w:rFonts w:hint="default" w:ascii="Times New Roman" w:hAnsi="Times New Roman" w:eastAsia="宋体" w:cs="Times New Roman"/>
                <w:b w:val="0"/>
                <w:bCs/>
                <w:color w:val="auto"/>
                <w:sz w:val="21"/>
                <w:szCs w:val="21"/>
                <w:lang w:val="en-US" w:eastAsia="zh-CN"/>
              </w:rPr>
            </w:pPr>
          </w:p>
        </w:tc>
      </w:tr>
    </w:tbl>
    <w:p w14:paraId="02374CE8">
      <w:pPr>
        <w:bidi w:val="0"/>
        <w:ind w:left="0" w:leftChars="0" w:firstLine="0" w:firstLineChars="0"/>
        <w:sectPr>
          <w:pgSz w:w="16838" w:h="11905" w:orient="landscape"/>
          <w:pgMar w:top="1083" w:right="1440" w:bottom="1083" w:left="1440" w:header="850" w:footer="992" w:gutter="0"/>
          <w:cols w:space="720" w:num="1"/>
          <w:titlePg/>
          <w:docGrid w:type="lines" w:linePitch="318" w:charSpace="0"/>
        </w:sectPr>
      </w:pPr>
    </w:p>
    <w:p w14:paraId="71E6E9B3">
      <w:pPr>
        <w:pStyle w:val="4"/>
      </w:pPr>
      <w:bookmarkStart w:id="177" w:name="_Toc25100"/>
      <w:bookmarkStart w:id="178" w:name="_Toc161600310"/>
      <w:bookmarkStart w:id="179" w:name="_Toc20327"/>
      <w:bookmarkStart w:id="180" w:name="_Toc25925"/>
      <w:r>
        <w:rPr>
          <w:rFonts w:hint="eastAsia"/>
        </w:rPr>
        <w:t>2</w:t>
      </w:r>
      <w:r>
        <w:t>.5.2.非正常工况下废气污染源源强分析</w:t>
      </w:r>
      <w:bookmarkEnd w:id="177"/>
      <w:bookmarkEnd w:id="178"/>
      <w:bookmarkEnd w:id="179"/>
      <w:bookmarkEnd w:id="180"/>
    </w:p>
    <w:p w14:paraId="2E5108E7">
      <w:pPr>
        <w:adjustRightInd w:val="0"/>
        <w:snapToGrid w:val="0"/>
        <w:spacing w:line="440" w:lineRule="exact"/>
        <w:ind w:firstLine="480" w:firstLineChars="200"/>
        <w:jc w:val="left"/>
      </w:pPr>
      <w:r>
        <w:rPr>
          <w:sz w:val="24"/>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4A8B09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表2.5-</w:t>
      </w:r>
      <w:r>
        <w:rPr>
          <w:rFonts w:hint="eastAsia" w:ascii="Times New Roman" w:hAnsi="Times New Roman" w:eastAsia="黑体" w:cs="Times New Roman"/>
          <w:lang w:val="en-US" w:eastAsia="zh-CN"/>
        </w:rPr>
        <w:t>15</w:t>
      </w:r>
      <w:r>
        <w:rPr>
          <w:rFonts w:hint="default" w:ascii="Times New Roman" w:hAnsi="Times New Roman" w:eastAsia="黑体" w:cs="Times New Roman"/>
        </w:rPr>
        <w:t xml:space="preserve">  污染物非正常排放量源强表</w:t>
      </w:r>
    </w:p>
    <w:tbl>
      <w:tblPr>
        <w:tblStyle w:val="29"/>
        <w:tblW w:w="50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5"/>
        <w:gridCol w:w="1205"/>
        <w:gridCol w:w="1396"/>
        <w:gridCol w:w="1309"/>
        <w:gridCol w:w="1119"/>
        <w:gridCol w:w="1398"/>
        <w:gridCol w:w="1139"/>
        <w:gridCol w:w="1300"/>
      </w:tblGrid>
      <w:tr w14:paraId="57C35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restart"/>
            <w:vAlign w:val="center"/>
          </w:tcPr>
          <w:p w14:paraId="6D952D38">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614" w:type="pct"/>
            <w:vMerge w:val="restart"/>
            <w:vAlign w:val="center"/>
          </w:tcPr>
          <w:p w14:paraId="74CA2AEE">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污染因子</w:t>
            </w:r>
          </w:p>
        </w:tc>
        <w:tc>
          <w:tcPr>
            <w:tcW w:w="711" w:type="pct"/>
            <w:vMerge w:val="restart"/>
            <w:vAlign w:val="center"/>
          </w:tcPr>
          <w:p w14:paraId="66E36B48">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非正常排放原因</w:t>
            </w:r>
          </w:p>
        </w:tc>
        <w:tc>
          <w:tcPr>
            <w:tcW w:w="667" w:type="pct"/>
            <w:vMerge w:val="restart"/>
            <w:vAlign w:val="center"/>
          </w:tcPr>
          <w:p w14:paraId="2112265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发生频次</w:t>
            </w:r>
          </w:p>
        </w:tc>
        <w:tc>
          <w:tcPr>
            <w:tcW w:w="570" w:type="pct"/>
            <w:vMerge w:val="restart"/>
            <w:vAlign w:val="center"/>
          </w:tcPr>
          <w:p w14:paraId="6A40408C">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单次持续时间</w:t>
            </w:r>
          </w:p>
        </w:tc>
        <w:tc>
          <w:tcPr>
            <w:tcW w:w="1954" w:type="pct"/>
            <w:gridSpan w:val="3"/>
            <w:vAlign w:val="center"/>
          </w:tcPr>
          <w:p w14:paraId="6E02598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非正常排放工况</w:t>
            </w:r>
          </w:p>
        </w:tc>
      </w:tr>
      <w:tr w14:paraId="14201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7051EA65">
            <w:pPr>
              <w:pStyle w:val="35"/>
              <w:rPr>
                <w:rFonts w:hint="default"/>
                <w:color w:val="000000" w:themeColor="text1"/>
                <w14:textFill>
                  <w14:solidFill>
                    <w14:schemeClr w14:val="tx1"/>
                  </w14:solidFill>
                </w14:textFill>
              </w:rPr>
            </w:pPr>
          </w:p>
        </w:tc>
        <w:tc>
          <w:tcPr>
            <w:tcW w:w="614" w:type="pct"/>
            <w:vMerge w:val="continue"/>
            <w:vAlign w:val="center"/>
          </w:tcPr>
          <w:p w14:paraId="0E8981A3">
            <w:pPr>
              <w:pStyle w:val="35"/>
              <w:rPr>
                <w:rFonts w:hint="default"/>
                <w:color w:val="000000" w:themeColor="text1"/>
                <w14:textFill>
                  <w14:solidFill>
                    <w14:schemeClr w14:val="tx1"/>
                  </w14:solidFill>
                </w14:textFill>
              </w:rPr>
            </w:pPr>
          </w:p>
        </w:tc>
        <w:tc>
          <w:tcPr>
            <w:tcW w:w="711" w:type="pct"/>
            <w:vMerge w:val="continue"/>
            <w:vAlign w:val="center"/>
          </w:tcPr>
          <w:p w14:paraId="1C3A00F3">
            <w:pPr>
              <w:pStyle w:val="35"/>
              <w:rPr>
                <w:rFonts w:hint="default"/>
                <w:color w:val="000000" w:themeColor="text1"/>
                <w14:textFill>
                  <w14:solidFill>
                    <w14:schemeClr w14:val="tx1"/>
                  </w14:solidFill>
                </w14:textFill>
              </w:rPr>
            </w:pPr>
          </w:p>
        </w:tc>
        <w:tc>
          <w:tcPr>
            <w:tcW w:w="667" w:type="pct"/>
            <w:vMerge w:val="continue"/>
            <w:vAlign w:val="center"/>
          </w:tcPr>
          <w:p w14:paraId="570D2710">
            <w:pPr>
              <w:pStyle w:val="35"/>
              <w:rPr>
                <w:rFonts w:hint="default"/>
                <w:color w:val="000000" w:themeColor="text1"/>
                <w14:textFill>
                  <w14:solidFill>
                    <w14:schemeClr w14:val="tx1"/>
                  </w14:solidFill>
                </w14:textFill>
              </w:rPr>
            </w:pPr>
          </w:p>
        </w:tc>
        <w:tc>
          <w:tcPr>
            <w:tcW w:w="570" w:type="pct"/>
            <w:vMerge w:val="continue"/>
            <w:vAlign w:val="center"/>
          </w:tcPr>
          <w:p w14:paraId="28D953F6">
            <w:pPr>
              <w:pStyle w:val="35"/>
              <w:rPr>
                <w:rFonts w:hint="default"/>
                <w:color w:val="000000" w:themeColor="text1"/>
                <w14:textFill>
                  <w14:solidFill>
                    <w14:schemeClr w14:val="tx1"/>
                  </w14:solidFill>
                </w14:textFill>
              </w:rPr>
            </w:pPr>
          </w:p>
        </w:tc>
        <w:tc>
          <w:tcPr>
            <w:tcW w:w="712" w:type="pct"/>
            <w:vAlign w:val="center"/>
          </w:tcPr>
          <w:p w14:paraId="7D03E6D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vAlign w:val="center"/>
          </w:tcPr>
          <w:p w14:paraId="0D7B06F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661" w:type="pct"/>
            <w:vAlign w:val="center"/>
          </w:tcPr>
          <w:p w14:paraId="4B2375E4">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单次排放量（kg/次）</w:t>
            </w:r>
          </w:p>
        </w:tc>
      </w:tr>
      <w:tr w14:paraId="07B2B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482" w:type="pct"/>
            <w:vAlign w:val="center"/>
          </w:tcPr>
          <w:p w14:paraId="55547046">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DA001</w:t>
            </w:r>
          </w:p>
        </w:tc>
        <w:tc>
          <w:tcPr>
            <w:tcW w:w="614" w:type="pct"/>
            <w:vAlign w:val="center"/>
          </w:tcPr>
          <w:p w14:paraId="090712C8">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711" w:type="pct"/>
            <w:vMerge w:val="restart"/>
            <w:vAlign w:val="center"/>
          </w:tcPr>
          <w:p w14:paraId="2451B66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废气处理设施故障，按最不利情况考虑，处理效率为0%</w:t>
            </w:r>
          </w:p>
        </w:tc>
        <w:tc>
          <w:tcPr>
            <w:tcW w:w="667" w:type="pct"/>
            <w:vAlign w:val="center"/>
          </w:tcPr>
          <w:p w14:paraId="708984A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0BA41847">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20481A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14:textFill>
                  <w14:solidFill>
                    <w14:schemeClr w14:val="tx1"/>
                  </w14:solidFill>
                </w14:textFill>
              </w:rPr>
            </w:pPr>
            <w:r>
              <w:rPr>
                <w:rFonts w:hint="default"/>
                <w:sz w:val="21"/>
                <w:szCs w:val="21"/>
                <w:lang w:val="en-US" w:eastAsia="zh-CN"/>
              </w:rPr>
              <w:t>244.934</w:t>
            </w:r>
          </w:p>
        </w:tc>
        <w:tc>
          <w:tcPr>
            <w:tcW w:w="1139" w:type="dxa"/>
            <w:vAlign w:val="center"/>
          </w:tcPr>
          <w:p w14:paraId="03463221">
            <w:pPr>
              <w:pStyle w:val="35"/>
              <w:ind w:firstLine="0" w:firstLineChars="0"/>
              <w:rPr>
                <w:rFonts w:hint="default"/>
                <w:color w:val="000000" w:themeColor="text1"/>
                <w14:textFill>
                  <w14:solidFill>
                    <w14:schemeClr w14:val="tx1"/>
                  </w14:solidFill>
                </w14:textFill>
              </w:rPr>
            </w:pPr>
            <w:r>
              <w:rPr>
                <w:rFonts w:hint="default"/>
                <w:sz w:val="21"/>
                <w:szCs w:val="21"/>
                <w:lang w:val="en-US" w:eastAsia="zh-CN"/>
              </w:rPr>
              <w:t>0.980</w:t>
            </w:r>
          </w:p>
        </w:tc>
        <w:tc>
          <w:tcPr>
            <w:tcW w:w="1300" w:type="dxa"/>
            <w:vAlign w:val="center"/>
          </w:tcPr>
          <w:p w14:paraId="0AB7895E">
            <w:pPr>
              <w:pStyle w:val="35"/>
              <w:ind w:firstLine="0" w:firstLineChars="0"/>
              <w:rPr>
                <w:rFonts w:hint="default"/>
                <w:color w:val="000000" w:themeColor="text1"/>
                <w14:textFill>
                  <w14:solidFill>
                    <w14:schemeClr w14:val="tx1"/>
                  </w14:solidFill>
                </w14:textFill>
              </w:rPr>
            </w:pPr>
            <w:r>
              <w:rPr>
                <w:rFonts w:hint="default"/>
                <w:sz w:val="21"/>
                <w:szCs w:val="21"/>
                <w:lang w:val="en-US" w:eastAsia="zh-CN"/>
              </w:rPr>
              <w:t>0.980</w:t>
            </w:r>
          </w:p>
        </w:tc>
      </w:tr>
      <w:tr w14:paraId="3BF9C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482" w:type="pct"/>
            <w:vMerge w:val="restart"/>
            <w:vAlign w:val="center"/>
          </w:tcPr>
          <w:p w14:paraId="2BB9960E">
            <w:pPr>
              <w:pStyle w:val="35"/>
              <w:rPr>
                <w:color w:val="000000" w:themeColor="text1"/>
                <w14:textFill>
                  <w14:solidFill>
                    <w14:schemeClr w14:val="tx1"/>
                  </w14:solidFill>
                </w14:textFill>
              </w:rPr>
            </w:pPr>
            <w:r>
              <w:rPr>
                <w:sz w:val="21"/>
                <w:szCs w:val="21"/>
              </w:rPr>
              <w:t>DA00</w:t>
            </w:r>
            <w:r>
              <w:rPr>
                <w:rFonts w:hint="eastAsia"/>
                <w:sz w:val="21"/>
                <w:szCs w:val="21"/>
              </w:rPr>
              <w:t>2</w:t>
            </w:r>
          </w:p>
        </w:tc>
        <w:tc>
          <w:tcPr>
            <w:tcW w:w="614" w:type="pct"/>
            <w:vAlign w:val="center"/>
          </w:tcPr>
          <w:p w14:paraId="7824593B">
            <w:pPr>
              <w:pStyle w:val="35"/>
              <w:rPr>
                <w:color w:val="000000" w:themeColor="text1"/>
                <w14:textFill>
                  <w14:solidFill>
                    <w14:schemeClr w14:val="tx1"/>
                  </w14:solidFill>
                </w14:textFill>
              </w:rPr>
            </w:pPr>
            <w:r>
              <w:rPr>
                <w:color w:val="000000"/>
                <w:sz w:val="21"/>
                <w:szCs w:val="21"/>
              </w:rPr>
              <w:t>颗粒物</w:t>
            </w:r>
          </w:p>
        </w:tc>
        <w:tc>
          <w:tcPr>
            <w:tcW w:w="711" w:type="pct"/>
            <w:vMerge w:val="continue"/>
            <w:vAlign w:val="center"/>
          </w:tcPr>
          <w:p w14:paraId="4969C91C">
            <w:pPr>
              <w:pStyle w:val="35"/>
              <w:rPr>
                <w:color w:val="000000" w:themeColor="text1"/>
                <w14:textFill>
                  <w14:solidFill>
                    <w14:schemeClr w14:val="tx1"/>
                  </w14:solidFill>
                </w14:textFill>
              </w:rPr>
            </w:pPr>
          </w:p>
        </w:tc>
        <w:tc>
          <w:tcPr>
            <w:tcW w:w="667" w:type="pct"/>
            <w:vAlign w:val="center"/>
          </w:tcPr>
          <w:p w14:paraId="6B741186">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5645F135">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4C8983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197.528</w:t>
            </w:r>
          </w:p>
        </w:tc>
        <w:tc>
          <w:tcPr>
            <w:tcW w:w="1139" w:type="dxa"/>
            <w:vAlign w:val="center"/>
          </w:tcPr>
          <w:p w14:paraId="0B3762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3.951</w:t>
            </w:r>
          </w:p>
        </w:tc>
        <w:tc>
          <w:tcPr>
            <w:tcW w:w="1300" w:type="dxa"/>
            <w:vAlign w:val="center"/>
          </w:tcPr>
          <w:p w14:paraId="2C4B53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3.951</w:t>
            </w:r>
          </w:p>
        </w:tc>
      </w:tr>
      <w:tr w14:paraId="1711A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31371E35">
            <w:pPr>
              <w:pStyle w:val="35"/>
              <w:rPr>
                <w:sz w:val="21"/>
                <w:szCs w:val="21"/>
              </w:rPr>
            </w:pPr>
          </w:p>
        </w:tc>
        <w:tc>
          <w:tcPr>
            <w:tcW w:w="614" w:type="pct"/>
            <w:vAlign w:val="center"/>
          </w:tcPr>
          <w:p w14:paraId="52D9B767">
            <w:pPr>
              <w:pStyle w:val="43"/>
              <w:keepNext w:val="0"/>
              <w:keepLines w:val="0"/>
              <w:pageBreakBefore w:val="0"/>
              <w:kinsoku/>
              <w:wordWrap/>
              <w:overflowPunct/>
              <w:topLinePunct w:val="0"/>
              <w:autoSpaceDE/>
              <w:autoSpaceDN/>
              <w:bidi w:val="0"/>
              <w:adjustRightInd w:val="0"/>
              <w:snapToGrid w:val="0"/>
              <w:spacing w:line="240" w:lineRule="auto"/>
              <w:ind w:firstLine="0" w:firstLineChars="0"/>
              <w:rPr>
                <w:color w:val="000000" w:themeColor="text1"/>
                <w14:textFill>
                  <w14:solidFill>
                    <w14:schemeClr w14:val="tx1"/>
                  </w14:solidFill>
                </w14:textFill>
              </w:rPr>
            </w:pPr>
            <w:r>
              <w:rPr>
                <w:sz w:val="21"/>
                <w:szCs w:val="21"/>
              </w:rPr>
              <w:t>非甲烷总烃</w:t>
            </w:r>
          </w:p>
        </w:tc>
        <w:tc>
          <w:tcPr>
            <w:tcW w:w="711" w:type="pct"/>
            <w:vMerge w:val="continue"/>
            <w:vAlign w:val="center"/>
          </w:tcPr>
          <w:p w14:paraId="07429432">
            <w:pPr>
              <w:pStyle w:val="35"/>
              <w:rPr>
                <w:color w:val="000000" w:themeColor="text1"/>
                <w14:textFill>
                  <w14:solidFill>
                    <w14:schemeClr w14:val="tx1"/>
                  </w14:solidFill>
                </w14:textFill>
              </w:rPr>
            </w:pPr>
          </w:p>
        </w:tc>
        <w:tc>
          <w:tcPr>
            <w:tcW w:w="667" w:type="pct"/>
            <w:vAlign w:val="center"/>
          </w:tcPr>
          <w:p w14:paraId="48182FE9">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1CE4D775">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10FDF1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47.557</w:t>
            </w:r>
          </w:p>
        </w:tc>
        <w:tc>
          <w:tcPr>
            <w:tcW w:w="1139" w:type="dxa"/>
            <w:vAlign w:val="center"/>
          </w:tcPr>
          <w:p w14:paraId="78A6C4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0.951</w:t>
            </w:r>
          </w:p>
        </w:tc>
        <w:tc>
          <w:tcPr>
            <w:tcW w:w="1300" w:type="dxa"/>
            <w:vAlign w:val="center"/>
          </w:tcPr>
          <w:p w14:paraId="3808D2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0.951</w:t>
            </w:r>
          </w:p>
        </w:tc>
      </w:tr>
      <w:tr w14:paraId="686EB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0A716A8B">
            <w:pPr>
              <w:pStyle w:val="35"/>
              <w:rPr>
                <w:sz w:val="21"/>
                <w:szCs w:val="21"/>
              </w:rPr>
            </w:pPr>
          </w:p>
        </w:tc>
        <w:tc>
          <w:tcPr>
            <w:tcW w:w="614" w:type="pct"/>
            <w:vAlign w:val="center"/>
          </w:tcPr>
          <w:p w14:paraId="760C4793">
            <w:pPr>
              <w:pStyle w:val="43"/>
              <w:keepNext w:val="0"/>
              <w:keepLines w:val="0"/>
              <w:pageBreakBefore w:val="0"/>
              <w:kinsoku/>
              <w:wordWrap/>
              <w:overflowPunct/>
              <w:topLinePunct w:val="0"/>
              <w:autoSpaceDE/>
              <w:autoSpaceDN/>
              <w:bidi w:val="0"/>
              <w:adjustRightInd w:val="0"/>
              <w:snapToGrid w:val="0"/>
              <w:spacing w:line="240" w:lineRule="auto"/>
              <w:ind w:firstLine="0" w:firstLineChars="0"/>
              <w:rPr>
                <w:color w:val="000000" w:themeColor="text1"/>
                <w14:textFill>
                  <w14:solidFill>
                    <w14:schemeClr w14:val="tx1"/>
                  </w14:solidFill>
                </w14:textFill>
              </w:rPr>
            </w:pPr>
            <w:r>
              <w:rPr>
                <w:sz w:val="21"/>
                <w:szCs w:val="21"/>
              </w:rPr>
              <w:t>甲醛</w:t>
            </w:r>
          </w:p>
        </w:tc>
        <w:tc>
          <w:tcPr>
            <w:tcW w:w="711" w:type="pct"/>
            <w:vMerge w:val="continue"/>
            <w:vAlign w:val="center"/>
          </w:tcPr>
          <w:p w14:paraId="66CFB84F">
            <w:pPr>
              <w:pStyle w:val="35"/>
              <w:rPr>
                <w:color w:val="000000" w:themeColor="text1"/>
                <w14:textFill>
                  <w14:solidFill>
                    <w14:schemeClr w14:val="tx1"/>
                  </w14:solidFill>
                </w14:textFill>
              </w:rPr>
            </w:pPr>
          </w:p>
        </w:tc>
        <w:tc>
          <w:tcPr>
            <w:tcW w:w="667" w:type="pct"/>
            <w:vAlign w:val="center"/>
          </w:tcPr>
          <w:p w14:paraId="5F2C12A9">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0CEAA482">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5A4361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3.068</w:t>
            </w:r>
          </w:p>
        </w:tc>
        <w:tc>
          <w:tcPr>
            <w:tcW w:w="1139" w:type="dxa"/>
            <w:vAlign w:val="center"/>
          </w:tcPr>
          <w:p w14:paraId="77549E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0.061</w:t>
            </w:r>
          </w:p>
        </w:tc>
        <w:tc>
          <w:tcPr>
            <w:tcW w:w="1300" w:type="dxa"/>
            <w:vAlign w:val="center"/>
          </w:tcPr>
          <w:p w14:paraId="5ACA8D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0.061</w:t>
            </w:r>
          </w:p>
        </w:tc>
      </w:tr>
      <w:tr w14:paraId="08C00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Align w:val="center"/>
          </w:tcPr>
          <w:p w14:paraId="2113A870">
            <w:pPr>
              <w:keepNext w:val="0"/>
              <w:keepLines w:val="0"/>
              <w:pageBreakBefore w:val="0"/>
              <w:kinsoku/>
              <w:wordWrap/>
              <w:overflowPunct/>
              <w:topLinePunct w:val="0"/>
              <w:autoSpaceDE/>
              <w:autoSpaceDN/>
              <w:bidi w:val="0"/>
              <w:spacing w:line="240" w:lineRule="auto"/>
              <w:ind w:firstLine="0" w:firstLineChars="0"/>
              <w:jc w:val="center"/>
              <w:rPr>
                <w:color w:val="000000" w:themeColor="text1"/>
                <w14:textFill>
                  <w14:solidFill>
                    <w14:schemeClr w14:val="tx1"/>
                  </w14:solidFill>
                </w14:textFill>
              </w:rPr>
            </w:pPr>
            <w:r>
              <w:rPr>
                <w:sz w:val="21"/>
                <w:szCs w:val="21"/>
              </w:rPr>
              <w:t>DA0</w:t>
            </w:r>
            <w:r>
              <w:rPr>
                <w:rFonts w:hint="eastAsia"/>
                <w:sz w:val="21"/>
                <w:szCs w:val="21"/>
              </w:rPr>
              <w:t>03</w:t>
            </w:r>
          </w:p>
        </w:tc>
        <w:tc>
          <w:tcPr>
            <w:tcW w:w="614" w:type="pct"/>
            <w:vAlign w:val="center"/>
          </w:tcPr>
          <w:p w14:paraId="3FB5215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color w:val="000000" w:themeColor="text1"/>
                <w14:textFill>
                  <w14:solidFill>
                    <w14:schemeClr w14:val="tx1"/>
                  </w14:solidFill>
                </w14:textFill>
              </w:rPr>
            </w:pPr>
            <w:r>
              <w:rPr>
                <w:sz w:val="21"/>
                <w:szCs w:val="21"/>
              </w:rPr>
              <w:t>颗粒物</w:t>
            </w:r>
          </w:p>
        </w:tc>
        <w:tc>
          <w:tcPr>
            <w:tcW w:w="711" w:type="pct"/>
            <w:vMerge w:val="continue"/>
            <w:vAlign w:val="center"/>
          </w:tcPr>
          <w:p w14:paraId="54A494BD">
            <w:pPr>
              <w:pStyle w:val="35"/>
              <w:rPr>
                <w:color w:val="000000" w:themeColor="text1"/>
                <w14:textFill>
                  <w14:solidFill>
                    <w14:schemeClr w14:val="tx1"/>
                  </w14:solidFill>
                </w14:textFill>
              </w:rPr>
            </w:pPr>
          </w:p>
        </w:tc>
        <w:tc>
          <w:tcPr>
            <w:tcW w:w="667" w:type="pct"/>
            <w:vAlign w:val="center"/>
          </w:tcPr>
          <w:p w14:paraId="433467C9">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13C358D8">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4F928EB8">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228.295</w:t>
            </w:r>
          </w:p>
        </w:tc>
        <w:tc>
          <w:tcPr>
            <w:tcW w:w="1139" w:type="dxa"/>
            <w:vAlign w:val="center"/>
          </w:tcPr>
          <w:p w14:paraId="4CF680B0">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9.132</w:t>
            </w:r>
          </w:p>
        </w:tc>
        <w:tc>
          <w:tcPr>
            <w:tcW w:w="1300" w:type="dxa"/>
            <w:vAlign w:val="center"/>
          </w:tcPr>
          <w:p w14:paraId="37B60359">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9.132</w:t>
            </w:r>
          </w:p>
        </w:tc>
      </w:tr>
      <w:tr w14:paraId="73DE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Align w:val="center"/>
          </w:tcPr>
          <w:p w14:paraId="60398C4C">
            <w:pPr>
              <w:keepNext w:val="0"/>
              <w:keepLines w:val="0"/>
              <w:pageBreakBefore w:val="0"/>
              <w:kinsoku/>
              <w:wordWrap/>
              <w:overflowPunct/>
              <w:topLinePunct w:val="0"/>
              <w:autoSpaceDE/>
              <w:autoSpaceDN/>
              <w:bidi w:val="0"/>
              <w:spacing w:line="240" w:lineRule="auto"/>
              <w:ind w:firstLine="0" w:firstLineChars="0"/>
              <w:jc w:val="center"/>
              <w:rPr>
                <w:color w:val="000000" w:themeColor="text1"/>
                <w14:textFill>
                  <w14:solidFill>
                    <w14:schemeClr w14:val="tx1"/>
                  </w14:solidFill>
                </w14:textFill>
              </w:rPr>
            </w:pPr>
            <w:r>
              <w:rPr>
                <w:sz w:val="21"/>
                <w:szCs w:val="21"/>
              </w:rPr>
              <w:t>DA0</w:t>
            </w:r>
            <w:r>
              <w:rPr>
                <w:rFonts w:hint="eastAsia"/>
                <w:sz w:val="21"/>
                <w:szCs w:val="21"/>
              </w:rPr>
              <w:t>04</w:t>
            </w:r>
          </w:p>
        </w:tc>
        <w:tc>
          <w:tcPr>
            <w:tcW w:w="614" w:type="pct"/>
            <w:vAlign w:val="center"/>
          </w:tcPr>
          <w:p w14:paraId="4184F4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color w:val="000000" w:themeColor="text1"/>
                <w14:textFill>
                  <w14:solidFill>
                    <w14:schemeClr w14:val="tx1"/>
                  </w14:solidFill>
                </w14:textFill>
              </w:rPr>
            </w:pPr>
            <w:r>
              <w:rPr>
                <w:sz w:val="21"/>
                <w:szCs w:val="21"/>
              </w:rPr>
              <w:t>颗粒物</w:t>
            </w:r>
          </w:p>
        </w:tc>
        <w:tc>
          <w:tcPr>
            <w:tcW w:w="711" w:type="pct"/>
            <w:vMerge w:val="continue"/>
            <w:vAlign w:val="center"/>
          </w:tcPr>
          <w:p w14:paraId="0A3228B8">
            <w:pPr>
              <w:pStyle w:val="35"/>
              <w:rPr>
                <w:color w:val="000000" w:themeColor="text1"/>
                <w14:textFill>
                  <w14:solidFill>
                    <w14:schemeClr w14:val="tx1"/>
                  </w14:solidFill>
                </w14:textFill>
              </w:rPr>
            </w:pPr>
          </w:p>
        </w:tc>
        <w:tc>
          <w:tcPr>
            <w:tcW w:w="667" w:type="pct"/>
            <w:vAlign w:val="center"/>
          </w:tcPr>
          <w:p w14:paraId="6A3DA6DD">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5D5E57E7">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25F0735E">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209.508</w:t>
            </w:r>
          </w:p>
        </w:tc>
        <w:tc>
          <w:tcPr>
            <w:tcW w:w="1139" w:type="dxa"/>
            <w:vAlign w:val="center"/>
          </w:tcPr>
          <w:p w14:paraId="74D63CF8">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5.238</w:t>
            </w:r>
          </w:p>
        </w:tc>
        <w:tc>
          <w:tcPr>
            <w:tcW w:w="1300" w:type="dxa"/>
            <w:vAlign w:val="center"/>
          </w:tcPr>
          <w:p w14:paraId="1934D17B">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5.238</w:t>
            </w:r>
          </w:p>
        </w:tc>
      </w:tr>
    </w:tbl>
    <w:p w14:paraId="16B4D108">
      <w:pPr>
        <w:ind w:left="0" w:leftChars="0" w:firstLine="0" w:firstLineChars="0"/>
      </w:pPr>
    </w:p>
    <w:p w14:paraId="6F3282F6">
      <w:pPr>
        <w:rPr>
          <w:rFonts w:hint="eastAsia"/>
        </w:rPr>
        <w:sectPr>
          <w:pgSz w:w="11905" w:h="16838"/>
          <w:pgMar w:top="1440" w:right="1083" w:bottom="1440" w:left="1083" w:header="850" w:footer="992" w:gutter="0"/>
          <w:cols w:space="720" w:num="1"/>
          <w:titlePg/>
          <w:docGrid w:type="lines" w:linePitch="318" w:charSpace="0"/>
        </w:sectPr>
      </w:pPr>
    </w:p>
    <w:p w14:paraId="6BB51868">
      <w:pPr>
        <w:pStyle w:val="2"/>
        <w:jc w:val="center"/>
      </w:pPr>
      <w:bookmarkStart w:id="181" w:name="_Toc16976"/>
      <w:bookmarkStart w:id="182" w:name="_Toc29008"/>
      <w:bookmarkStart w:id="183" w:name="_Toc13469"/>
      <w:bookmarkStart w:id="184" w:name="_Toc28119"/>
      <w:bookmarkStart w:id="185" w:name="_Toc5615"/>
      <w:bookmarkStart w:id="186" w:name="_Toc161600311"/>
      <w:r>
        <w:rPr>
          <w:rFonts w:hint="eastAsia"/>
        </w:rPr>
        <w:t xml:space="preserve">第3章 </w:t>
      </w:r>
      <w:r>
        <w:t>环境空气质量现状评价</w:t>
      </w:r>
      <w:bookmarkEnd w:id="181"/>
      <w:bookmarkEnd w:id="182"/>
      <w:bookmarkEnd w:id="183"/>
      <w:bookmarkEnd w:id="184"/>
      <w:bookmarkEnd w:id="185"/>
      <w:bookmarkEnd w:id="186"/>
    </w:p>
    <w:p w14:paraId="0E4B3333">
      <w:pPr>
        <w:pStyle w:val="3"/>
      </w:pPr>
      <w:bookmarkStart w:id="187" w:name="_bookmark14"/>
      <w:bookmarkEnd w:id="187"/>
      <w:bookmarkStart w:id="188" w:name="_bookmark15"/>
      <w:bookmarkEnd w:id="188"/>
      <w:bookmarkStart w:id="189" w:name="_Toc14768"/>
      <w:bookmarkStart w:id="190" w:name="_Toc27797"/>
      <w:bookmarkStart w:id="191" w:name="_Toc6051"/>
      <w:bookmarkStart w:id="192" w:name="_Toc161600312"/>
      <w:r>
        <w:rPr>
          <w:rFonts w:hint="eastAsia"/>
        </w:rPr>
        <w:t>3</w:t>
      </w:r>
      <w:r>
        <w:t>.1.环境空气质量评价标准</w:t>
      </w:r>
      <w:bookmarkEnd w:id="189"/>
      <w:bookmarkEnd w:id="190"/>
      <w:bookmarkEnd w:id="191"/>
      <w:bookmarkEnd w:id="192"/>
    </w:p>
    <w:p w14:paraId="4B74CEB7">
      <w:pPr>
        <w:snapToGrid w:val="0"/>
        <w:spacing w:line="440" w:lineRule="exact"/>
        <w:ind w:firstLine="480" w:firstLineChars="200"/>
        <w:jc w:val="left"/>
        <w:rPr>
          <w:sz w:val="24"/>
        </w:rPr>
      </w:pPr>
      <w:r>
        <w:rPr>
          <w:kern w:val="0"/>
          <w:sz w:val="24"/>
        </w:rPr>
        <w:t>根据大气环境功能区划，项目所在地区为二类区，大气环境质量执行《环境空气质量标准》（GB3095-2012）及修改清单中</w:t>
      </w:r>
      <w:r>
        <w:rPr>
          <w:sz w:val="24"/>
        </w:rPr>
        <w:t>二级浓度限值，</w:t>
      </w:r>
      <w:r>
        <w:rPr>
          <w:snapToGrid w:val="0"/>
          <w:kern w:val="0"/>
          <w:sz w:val="24"/>
        </w:rPr>
        <w:t>甲醛执行《环境影响评价技术导则 大气环境》（HJ2.2-2018）中附录D表D.1其他污染物空气质量浓度参考限值，</w:t>
      </w:r>
      <w:r>
        <w:rPr>
          <w:rFonts w:hint="eastAsia"/>
        </w:rPr>
        <w:t>非甲烷总烃执行《大气污染物综合排放标准详解》（国家环境保护局科技标准司）中要求</w:t>
      </w:r>
      <w:r>
        <w:rPr>
          <w:rFonts w:hint="eastAsia"/>
          <w:snapToGrid w:val="0"/>
          <w:kern w:val="0"/>
          <w:sz w:val="24"/>
        </w:rPr>
        <w:t>，</w:t>
      </w:r>
      <w:r>
        <w:rPr>
          <w:snapToGrid w:val="0"/>
          <w:kern w:val="0"/>
          <w:sz w:val="24"/>
        </w:rPr>
        <w:t>具体标准值见下表</w:t>
      </w:r>
      <w:r>
        <w:rPr>
          <w:sz w:val="24"/>
        </w:rPr>
        <w:t>。</w:t>
      </w:r>
    </w:p>
    <w:p w14:paraId="39FC5B02">
      <w:pPr>
        <w:pStyle w:val="32"/>
        <w:spacing w:line="440" w:lineRule="exact"/>
        <w:rPr>
          <w:spacing w:val="0"/>
          <w:szCs w:val="24"/>
        </w:rPr>
      </w:pPr>
      <w:r>
        <w:rPr>
          <w:spacing w:val="0"/>
          <w:szCs w:val="24"/>
        </w:rPr>
        <w:t>表3</w:t>
      </w:r>
      <w:r>
        <w:rPr>
          <w:rFonts w:hint="eastAsia"/>
          <w:spacing w:val="0"/>
          <w:szCs w:val="24"/>
        </w:rPr>
        <w:t>.1</w:t>
      </w:r>
      <w:r>
        <w:rPr>
          <w:spacing w:val="0"/>
          <w:szCs w:val="24"/>
        </w:rPr>
        <w:t>-1  环境空气质量标准</w:t>
      </w:r>
    </w:p>
    <w:tbl>
      <w:tblPr>
        <w:tblStyle w:val="28"/>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2550"/>
        <w:gridCol w:w="2189"/>
        <w:gridCol w:w="3612"/>
      </w:tblGrid>
      <w:tr w14:paraId="4E8BE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noWrap w:val="0"/>
            <w:tcMar>
              <w:top w:w="28" w:type="dxa"/>
              <w:left w:w="28" w:type="dxa"/>
              <w:bottom w:w="28" w:type="dxa"/>
              <w:right w:w="28" w:type="dxa"/>
            </w:tcMar>
            <w:vAlign w:val="center"/>
          </w:tcPr>
          <w:p w14:paraId="0E6304AC">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bookmarkStart w:id="193" w:name="_Hlk531780968"/>
            <w:r>
              <w:t>污染因子</w:t>
            </w:r>
          </w:p>
        </w:tc>
        <w:tc>
          <w:tcPr>
            <w:tcW w:w="1305" w:type="pct"/>
            <w:noWrap w:val="0"/>
            <w:tcMar>
              <w:top w:w="28" w:type="dxa"/>
              <w:left w:w="28" w:type="dxa"/>
              <w:bottom w:w="28" w:type="dxa"/>
              <w:right w:w="28" w:type="dxa"/>
            </w:tcMar>
            <w:vAlign w:val="center"/>
          </w:tcPr>
          <w:p w14:paraId="0C7DF10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取值时间</w:t>
            </w:r>
          </w:p>
        </w:tc>
        <w:tc>
          <w:tcPr>
            <w:tcW w:w="1120" w:type="pct"/>
            <w:noWrap w:val="0"/>
            <w:tcMar>
              <w:top w:w="28" w:type="dxa"/>
              <w:left w:w="28" w:type="dxa"/>
              <w:bottom w:w="28" w:type="dxa"/>
              <w:right w:w="28" w:type="dxa"/>
            </w:tcMar>
            <w:vAlign w:val="center"/>
          </w:tcPr>
          <w:p w14:paraId="1792C39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浓度限值（mg/m</w:t>
            </w:r>
            <w:r>
              <w:rPr>
                <w:vertAlign w:val="superscript"/>
              </w:rPr>
              <w:t>3</w:t>
            </w:r>
            <w:r>
              <w:t>）</w:t>
            </w:r>
          </w:p>
        </w:tc>
        <w:tc>
          <w:tcPr>
            <w:tcW w:w="1848" w:type="pct"/>
            <w:noWrap w:val="0"/>
            <w:tcMar>
              <w:top w:w="28" w:type="dxa"/>
              <w:left w:w="28" w:type="dxa"/>
              <w:bottom w:w="28" w:type="dxa"/>
              <w:right w:w="28" w:type="dxa"/>
            </w:tcMar>
            <w:vAlign w:val="center"/>
          </w:tcPr>
          <w:p w14:paraId="1FE9085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标准来源</w:t>
            </w:r>
          </w:p>
        </w:tc>
      </w:tr>
      <w:tr w14:paraId="27AA6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530F4F9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SO</w:t>
            </w:r>
            <w:r>
              <w:rPr>
                <w:vertAlign w:val="subscript"/>
              </w:rPr>
              <w:t>2</w:t>
            </w:r>
          </w:p>
        </w:tc>
        <w:tc>
          <w:tcPr>
            <w:tcW w:w="1305" w:type="pct"/>
            <w:noWrap w:val="0"/>
            <w:tcMar>
              <w:top w:w="28" w:type="dxa"/>
              <w:left w:w="28" w:type="dxa"/>
              <w:bottom w:w="28" w:type="dxa"/>
              <w:right w:w="28" w:type="dxa"/>
            </w:tcMar>
            <w:vAlign w:val="center"/>
          </w:tcPr>
          <w:p w14:paraId="090FAAC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年平均</w:t>
            </w:r>
          </w:p>
        </w:tc>
        <w:tc>
          <w:tcPr>
            <w:tcW w:w="1120" w:type="pct"/>
            <w:noWrap w:val="0"/>
            <w:tcMar>
              <w:top w:w="28" w:type="dxa"/>
              <w:left w:w="28" w:type="dxa"/>
              <w:bottom w:w="28" w:type="dxa"/>
              <w:right w:w="28" w:type="dxa"/>
            </w:tcMar>
            <w:vAlign w:val="center"/>
          </w:tcPr>
          <w:p w14:paraId="6602007F">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0.06</w:t>
            </w:r>
          </w:p>
        </w:tc>
        <w:tc>
          <w:tcPr>
            <w:tcW w:w="1848" w:type="pct"/>
            <w:vMerge w:val="restart"/>
            <w:noWrap w:val="0"/>
            <w:tcMar>
              <w:top w:w="28" w:type="dxa"/>
              <w:left w:w="28" w:type="dxa"/>
              <w:bottom w:w="28" w:type="dxa"/>
              <w:right w:w="28" w:type="dxa"/>
            </w:tcMar>
            <w:vAlign w:val="center"/>
          </w:tcPr>
          <w:p w14:paraId="2ECCBDC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rPr>
                <w:rFonts w:hint="eastAsia"/>
                <w:lang w:eastAsia="zh-CN"/>
              </w:rPr>
              <w:t>《环境空气质量标准》（GB3095-2026）中的过渡阶段二级</w:t>
            </w:r>
            <w:r>
              <w:t>标准</w:t>
            </w:r>
          </w:p>
        </w:tc>
      </w:tr>
      <w:tr w14:paraId="67C2A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5BDD3145">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633424C8">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3D3F4235">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0.15</w:t>
            </w:r>
          </w:p>
        </w:tc>
        <w:tc>
          <w:tcPr>
            <w:tcW w:w="1848" w:type="pct"/>
            <w:vMerge w:val="continue"/>
            <w:noWrap w:val="0"/>
            <w:tcMar>
              <w:top w:w="28" w:type="dxa"/>
              <w:left w:w="28" w:type="dxa"/>
              <w:bottom w:w="28" w:type="dxa"/>
              <w:right w:w="28" w:type="dxa"/>
            </w:tcMar>
            <w:vAlign w:val="center"/>
          </w:tcPr>
          <w:p w14:paraId="0311E6A8">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0D652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1D50647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759C21F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1小时平均</w:t>
            </w:r>
          </w:p>
        </w:tc>
        <w:tc>
          <w:tcPr>
            <w:tcW w:w="1120" w:type="pct"/>
            <w:noWrap w:val="0"/>
            <w:tcMar>
              <w:top w:w="28" w:type="dxa"/>
              <w:left w:w="28" w:type="dxa"/>
              <w:bottom w:w="28" w:type="dxa"/>
              <w:right w:w="28" w:type="dxa"/>
            </w:tcMar>
            <w:vAlign w:val="center"/>
          </w:tcPr>
          <w:p w14:paraId="0808B0EE">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0.50</w:t>
            </w:r>
          </w:p>
        </w:tc>
        <w:tc>
          <w:tcPr>
            <w:tcW w:w="1848" w:type="pct"/>
            <w:vMerge w:val="continue"/>
            <w:noWrap w:val="0"/>
            <w:tcMar>
              <w:top w:w="28" w:type="dxa"/>
              <w:left w:w="28" w:type="dxa"/>
              <w:bottom w:w="28" w:type="dxa"/>
              <w:right w:w="28" w:type="dxa"/>
            </w:tcMar>
            <w:vAlign w:val="center"/>
          </w:tcPr>
          <w:p w14:paraId="2590575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288CE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2664D56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NO</w:t>
            </w:r>
            <w:r>
              <w:rPr>
                <w:vertAlign w:val="subscript"/>
              </w:rPr>
              <w:t>2</w:t>
            </w:r>
          </w:p>
        </w:tc>
        <w:tc>
          <w:tcPr>
            <w:tcW w:w="1305" w:type="pct"/>
            <w:noWrap w:val="0"/>
            <w:tcMar>
              <w:top w:w="28" w:type="dxa"/>
              <w:left w:w="28" w:type="dxa"/>
              <w:bottom w:w="28" w:type="dxa"/>
              <w:right w:w="28" w:type="dxa"/>
            </w:tcMar>
            <w:vAlign w:val="center"/>
          </w:tcPr>
          <w:p w14:paraId="65859F5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年平均</w:t>
            </w:r>
          </w:p>
        </w:tc>
        <w:tc>
          <w:tcPr>
            <w:tcW w:w="1120" w:type="pct"/>
            <w:noWrap w:val="0"/>
            <w:tcMar>
              <w:top w:w="28" w:type="dxa"/>
              <w:left w:w="28" w:type="dxa"/>
              <w:bottom w:w="28" w:type="dxa"/>
              <w:right w:w="28" w:type="dxa"/>
            </w:tcMar>
            <w:vAlign w:val="center"/>
          </w:tcPr>
          <w:p w14:paraId="7D3A611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0.04</w:t>
            </w:r>
          </w:p>
        </w:tc>
        <w:tc>
          <w:tcPr>
            <w:tcW w:w="1848" w:type="pct"/>
            <w:vMerge w:val="continue"/>
            <w:noWrap w:val="0"/>
            <w:tcMar>
              <w:top w:w="28" w:type="dxa"/>
              <w:left w:w="28" w:type="dxa"/>
              <w:bottom w:w="28" w:type="dxa"/>
              <w:right w:w="28" w:type="dxa"/>
            </w:tcMar>
            <w:vAlign w:val="center"/>
          </w:tcPr>
          <w:p w14:paraId="7226433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0228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14A8DCC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60D8773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5E394A1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0.08</w:t>
            </w:r>
          </w:p>
        </w:tc>
        <w:tc>
          <w:tcPr>
            <w:tcW w:w="1848" w:type="pct"/>
            <w:vMerge w:val="continue"/>
            <w:noWrap w:val="0"/>
            <w:tcMar>
              <w:top w:w="28" w:type="dxa"/>
              <w:left w:w="28" w:type="dxa"/>
              <w:bottom w:w="28" w:type="dxa"/>
              <w:right w:w="28" w:type="dxa"/>
            </w:tcMar>
            <w:vAlign w:val="center"/>
          </w:tcPr>
          <w:p w14:paraId="4A6C5DE2">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76398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2601AB0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24F2252C">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1小时平均</w:t>
            </w:r>
          </w:p>
        </w:tc>
        <w:tc>
          <w:tcPr>
            <w:tcW w:w="1120" w:type="pct"/>
            <w:noWrap w:val="0"/>
            <w:tcMar>
              <w:top w:w="28" w:type="dxa"/>
              <w:left w:w="28" w:type="dxa"/>
              <w:bottom w:w="28" w:type="dxa"/>
              <w:right w:w="28" w:type="dxa"/>
            </w:tcMar>
            <w:vAlign w:val="center"/>
          </w:tcPr>
          <w:p w14:paraId="4028981C">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0.2</w:t>
            </w:r>
          </w:p>
        </w:tc>
        <w:tc>
          <w:tcPr>
            <w:tcW w:w="1848" w:type="pct"/>
            <w:vMerge w:val="continue"/>
            <w:noWrap w:val="0"/>
            <w:tcMar>
              <w:top w:w="28" w:type="dxa"/>
              <w:left w:w="28" w:type="dxa"/>
              <w:bottom w:w="28" w:type="dxa"/>
              <w:right w:w="28" w:type="dxa"/>
            </w:tcMar>
            <w:vAlign w:val="center"/>
          </w:tcPr>
          <w:p w14:paraId="00C28D4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03713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3EE7DD3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PM</w:t>
            </w:r>
            <w:r>
              <w:rPr>
                <w:vertAlign w:val="subscript"/>
              </w:rPr>
              <w:t>10</w:t>
            </w:r>
          </w:p>
        </w:tc>
        <w:tc>
          <w:tcPr>
            <w:tcW w:w="1305" w:type="pct"/>
            <w:noWrap w:val="0"/>
            <w:tcMar>
              <w:top w:w="28" w:type="dxa"/>
              <w:left w:w="28" w:type="dxa"/>
              <w:bottom w:w="28" w:type="dxa"/>
              <w:right w:w="28" w:type="dxa"/>
            </w:tcMar>
            <w:vAlign w:val="center"/>
          </w:tcPr>
          <w:p w14:paraId="42A43E42">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年平均</w:t>
            </w:r>
          </w:p>
        </w:tc>
        <w:tc>
          <w:tcPr>
            <w:tcW w:w="1120" w:type="pct"/>
            <w:noWrap w:val="0"/>
            <w:tcMar>
              <w:top w:w="28" w:type="dxa"/>
              <w:left w:w="28" w:type="dxa"/>
              <w:bottom w:w="28" w:type="dxa"/>
              <w:right w:w="28" w:type="dxa"/>
            </w:tcMar>
            <w:vAlign w:val="center"/>
          </w:tcPr>
          <w:p w14:paraId="4BEACAA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lang w:eastAsia="zh-CN"/>
              </w:rPr>
            </w:pPr>
            <w:r>
              <w:t>0.0</w:t>
            </w:r>
            <w:r>
              <w:rPr>
                <w:rFonts w:hint="eastAsia"/>
                <w:lang w:val="en-US" w:eastAsia="zh-CN"/>
              </w:rPr>
              <w:t>6</w:t>
            </w:r>
          </w:p>
        </w:tc>
        <w:tc>
          <w:tcPr>
            <w:tcW w:w="1848" w:type="pct"/>
            <w:vMerge w:val="continue"/>
            <w:noWrap w:val="0"/>
            <w:tcMar>
              <w:top w:w="28" w:type="dxa"/>
              <w:left w:w="28" w:type="dxa"/>
              <w:bottom w:w="28" w:type="dxa"/>
              <w:right w:w="28" w:type="dxa"/>
            </w:tcMar>
            <w:vAlign w:val="center"/>
          </w:tcPr>
          <w:p w14:paraId="6C44DEDB">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3F1C4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7FB806B5">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155BEDD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336B51D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lang w:eastAsia="zh-CN"/>
              </w:rPr>
            </w:pPr>
            <w:r>
              <w:t>0.1</w:t>
            </w:r>
            <w:r>
              <w:rPr>
                <w:rFonts w:hint="eastAsia"/>
                <w:lang w:val="en-US" w:eastAsia="zh-CN"/>
              </w:rPr>
              <w:t>2</w:t>
            </w:r>
          </w:p>
        </w:tc>
        <w:tc>
          <w:tcPr>
            <w:tcW w:w="1848" w:type="pct"/>
            <w:vMerge w:val="continue"/>
            <w:noWrap w:val="0"/>
            <w:tcMar>
              <w:top w:w="28" w:type="dxa"/>
              <w:left w:w="28" w:type="dxa"/>
              <w:bottom w:w="28" w:type="dxa"/>
              <w:right w:w="28" w:type="dxa"/>
            </w:tcMar>
            <w:vAlign w:val="center"/>
          </w:tcPr>
          <w:p w14:paraId="2431B79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3480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089FFF0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PM</w:t>
            </w:r>
            <w:r>
              <w:rPr>
                <w:vertAlign w:val="subscript"/>
              </w:rPr>
              <w:t>2.5</w:t>
            </w:r>
          </w:p>
        </w:tc>
        <w:tc>
          <w:tcPr>
            <w:tcW w:w="1305" w:type="pct"/>
            <w:noWrap w:val="0"/>
            <w:tcMar>
              <w:top w:w="28" w:type="dxa"/>
              <w:left w:w="28" w:type="dxa"/>
              <w:bottom w:w="28" w:type="dxa"/>
              <w:right w:w="28" w:type="dxa"/>
            </w:tcMar>
            <w:vAlign w:val="center"/>
          </w:tcPr>
          <w:p w14:paraId="051C38D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年平均</w:t>
            </w:r>
          </w:p>
        </w:tc>
        <w:tc>
          <w:tcPr>
            <w:tcW w:w="1120" w:type="pct"/>
            <w:noWrap w:val="0"/>
            <w:tcMar>
              <w:top w:w="28" w:type="dxa"/>
              <w:left w:w="28" w:type="dxa"/>
              <w:bottom w:w="28" w:type="dxa"/>
              <w:right w:w="28" w:type="dxa"/>
            </w:tcMar>
            <w:vAlign w:val="center"/>
          </w:tcPr>
          <w:p w14:paraId="5D77C10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lang w:eastAsia="zh-CN"/>
              </w:rPr>
            </w:pPr>
            <w:r>
              <w:t>0.03</w:t>
            </w:r>
          </w:p>
        </w:tc>
        <w:tc>
          <w:tcPr>
            <w:tcW w:w="1848" w:type="pct"/>
            <w:vMerge w:val="continue"/>
            <w:noWrap w:val="0"/>
            <w:tcMar>
              <w:top w:w="28" w:type="dxa"/>
              <w:left w:w="28" w:type="dxa"/>
              <w:bottom w:w="28" w:type="dxa"/>
              <w:right w:w="28" w:type="dxa"/>
            </w:tcMar>
            <w:vAlign w:val="center"/>
          </w:tcPr>
          <w:p w14:paraId="1467097D">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4321A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4861980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6998B08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09FB7AE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default" w:eastAsia="宋体"/>
                <w:lang w:val="en-US" w:eastAsia="zh-CN"/>
              </w:rPr>
            </w:pPr>
            <w:r>
              <w:t>0.0</w:t>
            </w:r>
            <w:r>
              <w:rPr>
                <w:rFonts w:hint="eastAsia"/>
                <w:lang w:val="en-US" w:eastAsia="zh-CN"/>
              </w:rPr>
              <w:t>6</w:t>
            </w:r>
          </w:p>
        </w:tc>
        <w:tc>
          <w:tcPr>
            <w:tcW w:w="1848" w:type="pct"/>
            <w:vMerge w:val="continue"/>
            <w:noWrap w:val="0"/>
            <w:tcMar>
              <w:top w:w="28" w:type="dxa"/>
              <w:left w:w="28" w:type="dxa"/>
              <w:bottom w:w="28" w:type="dxa"/>
              <w:right w:w="28" w:type="dxa"/>
            </w:tcMar>
            <w:vAlign w:val="center"/>
          </w:tcPr>
          <w:p w14:paraId="15B81EFE">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42197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58E0B34B">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O</w:t>
            </w:r>
            <w:r>
              <w:rPr>
                <w:vertAlign w:val="subscript"/>
              </w:rPr>
              <w:t>3</w:t>
            </w:r>
          </w:p>
        </w:tc>
        <w:tc>
          <w:tcPr>
            <w:tcW w:w="1305" w:type="pct"/>
            <w:noWrap w:val="0"/>
            <w:tcMar>
              <w:top w:w="28" w:type="dxa"/>
              <w:left w:w="28" w:type="dxa"/>
              <w:bottom w:w="28" w:type="dxa"/>
              <w:right w:w="28" w:type="dxa"/>
            </w:tcMar>
            <w:vAlign w:val="center"/>
          </w:tcPr>
          <w:p w14:paraId="54C4808B">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1小时平均</w:t>
            </w:r>
          </w:p>
        </w:tc>
        <w:tc>
          <w:tcPr>
            <w:tcW w:w="1120" w:type="pct"/>
            <w:noWrap w:val="0"/>
            <w:tcMar>
              <w:top w:w="28" w:type="dxa"/>
              <w:left w:w="28" w:type="dxa"/>
              <w:bottom w:w="28" w:type="dxa"/>
              <w:right w:w="28" w:type="dxa"/>
            </w:tcMar>
            <w:vAlign w:val="center"/>
          </w:tcPr>
          <w:p w14:paraId="21F2038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0.20</w:t>
            </w:r>
          </w:p>
        </w:tc>
        <w:tc>
          <w:tcPr>
            <w:tcW w:w="1848" w:type="pct"/>
            <w:vMerge w:val="continue"/>
            <w:noWrap w:val="0"/>
            <w:tcMar>
              <w:top w:w="28" w:type="dxa"/>
              <w:left w:w="28" w:type="dxa"/>
              <w:bottom w:w="28" w:type="dxa"/>
              <w:right w:w="28" w:type="dxa"/>
            </w:tcMar>
            <w:vAlign w:val="center"/>
          </w:tcPr>
          <w:p w14:paraId="2260C9C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2D662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128341D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4F15F78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日最大8小时平均</w:t>
            </w:r>
          </w:p>
        </w:tc>
        <w:tc>
          <w:tcPr>
            <w:tcW w:w="1120" w:type="pct"/>
            <w:noWrap w:val="0"/>
            <w:tcMar>
              <w:top w:w="28" w:type="dxa"/>
              <w:left w:w="28" w:type="dxa"/>
              <w:bottom w:w="28" w:type="dxa"/>
              <w:right w:w="28" w:type="dxa"/>
            </w:tcMar>
            <w:vAlign w:val="center"/>
          </w:tcPr>
          <w:p w14:paraId="4DD7C5F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0.16</w:t>
            </w:r>
          </w:p>
        </w:tc>
        <w:tc>
          <w:tcPr>
            <w:tcW w:w="1848" w:type="pct"/>
            <w:vMerge w:val="continue"/>
            <w:noWrap w:val="0"/>
            <w:tcMar>
              <w:top w:w="28" w:type="dxa"/>
              <w:left w:w="28" w:type="dxa"/>
              <w:bottom w:w="28" w:type="dxa"/>
              <w:right w:w="28" w:type="dxa"/>
            </w:tcMar>
            <w:vAlign w:val="center"/>
          </w:tcPr>
          <w:p w14:paraId="171753FA">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77C28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56CE120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CO</w:t>
            </w:r>
          </w:p>
        </w:tc>
        <w:tc>
          <w:tcPr>
            <w:tcW w:w="1305" w:type="pct"/>
            <w:noWrap w:val="0"/>
            <w:tcMar>
              <w:top w:w="28" w:type="dxa"/>
              <w:left w:w="28" w:type="dxa"/>
              <w:bottom w:w="28" w:type="dxa"/>
              <w:right w:w="28" w:type="dxa"/>
            </w:tcMar>
            <w:vAlign w:val="center"/>
          </w:tcPr>
          <w:p w14:paraId="3D71414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1小时平均</w:t>
            </w:r>
          </w:p>
        </w:tc>
        <w:tc>
          <w:tcPr>
            <w:tcW w:w="1120" w:type="pct"/>
            <w:noWrap w:val="0"/>
            <w:tcMar>
              <w:top w:w="28" w:type="dxa"/>
              <w:left w:w="28" w:type="dxa"/>
              <w:bottom w:w="28" w:type="dxa"/>
              <w:right w:w="28" w:type="dxa"/>
            </w:tcMar>
            <w:vAlign w:val="center"/>
          </w:tcPr>
          <w:p w14:paraId="3EEC340C">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10</w:t>
            </w:r>
          </w:p>
        </w:tc>
        <w:tc>
          <w:tcPr>
            <w:tcW w:w="1848" w:type="pct"/>
            <w:vMerge w:val="continue"/>
            <w:noWrap w:val="0"/>
            <w:tcMar>
              <w:top w:w="28" w:type="dxa"/>
              <w:left w:w="28" w:type="dxa"/>
              <w:bottom w:w="28" w:type="dxa"/>
              <w:right w:w="28" w:type="dxa"/>
            </w:tcMar>
            <w:vAlign w:val="center"/>
          </w:tcPr>
          <w:p w14:paraId="2286AD53">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22BA9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72E52534">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3083CE4A">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5035EFC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4</w:t>
            </w:r>
          </w:p>
        </w:tc>
        <w:tc>
          <w:tcPr>
            <w:tcW w:w="1848" w:type="pct"/>
            <w:vMerge w:val="continue"/>
            <w:noWrap w:val="0"/>
            <w:tcMar>
              <w:top w:w="28" w:type="dxa"/>
              <w:left w:w="28" w:type="dxa"/>
              <w:bottom w:w="28" w:type="dxa"/>
              <w:right w:w="28" w:type="dxa"/>
            </w:tcMar>
            <w:vAlign w:val="center"/>
          </w:tcPr>
          <w:p w14:paraId="12298D4D">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7D89F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restart"/>
            <w:noWrap w:val="0"/>
            <w:tcMar>
              <w:top w:w="28" w:type="dxa"/>
              <w:left w:w="28" w:type="dxa"/>
              <w:bottom w:w="28" w:type="dxa"/>
              <w:right w:w="28" w:type="dxa"/>
            </w:tcMar>
            <w:vAlign w:val="center"/>
          </w:tcPr>
          <w:p w14:paraId="6743D76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总悬浮颗粒物</w:t>
            </w:r>
          </w:p>
          <w:p w14:paraId="032C3A1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（TSP）</w:t>
            </w:r>
          </w:p>
        </w:tc>
        <w:tc>
          <w:tcPr>
            <w:tcW w:w="1305" w:type="pct"/>
            <w:noWrap w:val="0"/>
            <w:tcMar>
              <w:top w:w="28" w:type="dxa"/>
              <w:left w:w="28" w:type="dxa"/>
              <w:bottom w:w="28" w:type="dxa"/>
              <w:right w:w="28" w:type="dxa"/>
            </w:tcMar>
            <w:vAlign w:val="center"/>
          </w:tcPr>
          <w:p w14:paraId="302B7BDD">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年平均</w:t>
            </w:r>
          </w:p>
        </w:tc>
        <w:tc>
          <w:tcPr>
            <w:tcW w:w="1120" w:type="pct"/>
            <w:noWrap w:val="0"/>
            <w:tcMar>
              <w:top w:w="28" w:type="dxa"/>
              <w:left w:w="28" w:type="dxa"/>
              <w:bottom w:w="28" w:type="dxa"/>
              <w:right w:w="28" w:type="dxa"/>
            </w:tcMar>
            <w:vAlign w:val="center"/>
          </w:tcPr>
          <w:p w14:paraId="79EB5CD7">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0.2</w:t>
            </w:r>
          </w:p>
        </w:tc>
        <w:tc>
          <w:tcPr>
            <w:tcW w:w="1848" w:type="pct"/>
            <w:vMerge w:val="continue"/>
            <w:noWrap w:val="0"/>
            <w:tcMar>
              <w:top w:w="28" w:type="dxa"/>
              <w:left w:w="28" w:type="dxa"/>
              <w:bottom w:w="28" w:type="dxa"/>
              <w:right w:w="28" w:type="dxa"/>
            </w:tcMar>
            <w:vAlign w:val="center"/>
          </w:tcPr>
          <w:p w14:paraId="645B977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2E576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vMerge w:val="continue"/>
            <w:noWrap w:val="0"/>
            <w:tcMar>
              <w:top w:w="28" w:type="dxa"/>
              <w:left w:w="28" w:type="dxa"/>
              <w:bottom w:w="28" w:type="dxa"/>
              <w:right w:w="28" w:type="dxa"/>
            </w:tcMar>
            <w:vAlign w:val="center"/>
          </w:tcPr>
          <w:p w14:paraId="042ACF2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c>
          <w:tcPr>
            <w:tcW w:w="1305" w:type="pct"/>
            <w:noWrap w:val="0"/>
            <w:tcMar>
              <w:top w:w="28" w:type="dxa"/>
              <w:left w:w="28" w:type="dxa"/>
              <w:bottom w:w="28" w:type="dxa"/>
              <w:right w:w="28" w:type="dxa"/>
            </w:tcMar>
            <w:vAlign w:val="center"/>
          </w:tcPr>
          <w:p w14:paraId="63C99F96">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24小时平均</w:t>
            </w:r>
          </w:p>
        </w:tc>
        <w:tc>
          <w:tcPr>
            <w:tcW w:w="1120" w:type="pct"/>
            <w:noWrap w:val="0"/>
            <w:tcMar>
              <w:top w:w="28" w:type="dxa"/>
              <w:left w:w="28" w:type="dxa"/>
              <w:bottom w:w="28" w:type="dxa"/>
              <w:right w:w="28" w:type="dxa"/>
            </w:tcMar>
            <w:vAlign w:val="center"/>
          </w:tcPr>
          <w:p w14:paraId="66FD0421">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0.3</w:t>
            </w:r>
          </w:p>
        </w:tc>
        <w:tc>
          <w:tcPr>
            <w:tcW w:w="1848" w:type="pct"/>
            <w:vMerge w:val="continue"/>
            <w:noWrap w:val="0"/>
            <w:tcMar>
              <w:top w:w="28" w:type="dxa"/>
              <w:left w:w="28" w:type="dxa"/>
              <w:bottom w:w="28" w:type="dxa"/>
              <w:right w:w="28" w:type="dxa"/>
            </w:tcMar>
            <w:vAlign w:val="center"/>
          </w:tcPr>
          <w:p w14:paraId="666AE6AD">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p>
        </w:tc>
      </w:tr>
      <w:tr w14:paraId="6B1CD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noWrap w:val="0"/>
            <w:tcMar>
              <w:top w:w="28" w:type="dxa"/>
              <w:left w:w="28" w:type="dxa"/>
              <w:bottom w:w="28" w:type="dxa"/>
              <w:right w:w="28" w:type="dxa"/>
            </w:tcMar>
            <w:vAlign w:val="center"/>
          </w:tcPr>
          <w:p w14:paraId="02727112">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甲醛</w:t>
            </w:r>
          </w:p>
        </w:tc>
        <w:tc>
          <w:tcPr>
            <w:tcW w:w="1305" w:type="pct"/>
            <w:noWrap w:val="0"/>
            <w:tcMar>
              <w:top w:w="28" w:type="dxa"/>
              <w:left w:w="28" w:type="dxa"/>
              <w:bottom w:w="28" w:type="dxa"/>
              <w:right w:w="28" w:type="dxa"/>
            </w:tcMar>
            <w:vAlign w:val="center"/>
          </w:tcPr>
          <w:p w14:paraId="1AB5837E">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1小时平均</w:t>
            </w:r>
          </w:p>
        </w:tc>
        <w:tc>
          <w:tcPr>
            <w:tcW w:w="1120" w:type="pct"/>
            <w:noWrap w:val="0"/>
            <w:tcMar>
              <w:top w:w="28" w:type="dxa"/>
              <w:left w:w="28" w:type="dxa"/>
              <w:bottom w:w="28" w:type="dxa"/>
              <w:right w:w="28" w:type="dxa"/>
            </w:tcMar>
            <w:vAlign w:val="center"/>
          </w:tcPr>
          <w:p w14:paraId="7FD342A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0.05</w:t>
            </w:r>
          </w:p>
        </w:tc>
        <w:tc>
          <w:tcPr>
            <w:tcW w:w="1848" w:type="pct"/>
            <w:noWrap w:val="0"/>
            <w:tcMar>
              <w:top w:w="28" w:type="dxa"/>
              <w:left w:w="28" w:type="dxa"/>
              <w:bottom w:w="28" w:type="dxa"/>
              <w:right w:w="28" w:type="dxa"/>
            </w:tcMar>
            <w:vAlign w:val="center"/>
          </w:tcPr>
          <w:p w14:paraId="5073FA39">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《环境影响评价技术导则 大气环境》（HJ2.2-2018）附录D表D.1 其他污染物空气质量浓度参考限值</w:t>
            </w:r>
          </w:p>
        </w:tc>
      </w:tr>
      <w:tr w14:paraId="2C202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26" w:type="pct"/>
            <w:noWrap w:val="0"/>
            <w:tcMar>
              <w:top w:w="28" w:type="dxa"/>
              <w:left w:w="28" w:type="dxa"/>
              <w:bottom w:w="28" w:type="dxa"/>
              <w:right w:w="28" w:type="dxa"/>
            </w:tcMar>
            <w:vAlign w:val="center"/>
          </w:tcPr>
          <w:p w14:paraId="6E47C33F">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rPr>
                <w:rFonts w:hint="eastAsia"/>
              </w:rPr>
              <w:t>非甲烷总烃</w:t>
            </w:r>
          </w:p>
        </w:tc>
        <w:tc>
          <w:tcPr>
            <w:tcW w:w="1305" w:type="pct"/>
            <w:noWrap w:val="0"/>
            <w:tcMar>
              <w:top w:w="28" w:type="dxa"/>
              <w:left w:w="28" w:type="dxa"/>
              <w:bottom w:w="28" w:type="dxa"/>
              <w:right w:w="28" w:type="dxa"/>
            </w:tcMar>
            <w:vAlign w:val="center"/>
          </w:tcPr>
          <w:p w14:paraId="15112252">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rPr>
                <w:rFonts w:hint="eastAsia"/>
              </w:rPr>
              <w:t>小时平均</w:t>
            </w:r>
          </w:p>
        </w:tc>
        <w:tc>
          <w:tcPr>
            <w:tcW w:w="1120" w:type="pct"/>
            <w:noWrap w:val="0"/>
            <w:tcMar>
              <w:top w:w="28" w:type="dxa"/>
              <w:left w:w="28" w:type="dxa"/>
              <w:bottom w:w="28" w:type="dxa"/>
              <w:right w:w="28" w:type="dxa"/>
            </w:tcMar>
            <w:vAlign w:val="center"/>
          </w:tcPr>
          <w:p w14:paraId="04F488F0">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t>2</w:t>
            </w:r>
            <w:r>
              <w:rPr>
                <w:rFonts w:hint="eastAsia"/>
              </w:rPr>
              <w:t>.</w:t>
            </w:r>
            <w:r>
              <w:t>0</w:t>
            </w:r>
          </w:p>
        </w:tc>
        <w:tc>
          <w:tcPr>
            <w:tcW w:w="1848" w:type="pct"/>
            <w:noWrap w:val="0"/>
            <w:tcMar>
              <w:top w:w="28" w:type="dxa"/>
              <w:left w:w="28" w:type="dxa"/>
              <w:bottom w:w="28" w:type="dxa"/>
              <w:right w:w="28" w:type="dxa"/>
            </w:tcMar>
            <w:vAlign w:val="center"/>
          </w:tcPr>
          <w:p w14:paraId="69B080FF">
            <w:pPr>
              <w:pStyle w:val="33"/>
              <w:keepNext w:val="0"/>
              <w:keepLines w:val="0"/>
              <w:pageBreakBefore w:val="0"/>
              <w:widowControl w:val="0"/>
              <w:kinsoku/>
              <w:wordWrap/>
              <w:overflowPunct/>
              <w:topLinePunct w:val="0"/>
              <w:autoSpaceDE/>
              <w:autoSpaceDN/>
              <w:bidi w:val="0"/>
              <w:adjustRightInd w:val="0"/>
              <w:snapToGrid w:val="0"/>
              <w:ind w:firstLineChars="0"/>
              <w:textAlignment w:val="auto"/>
            </w:pPr>
            <w:r>
              <w:rPr>
                <w:rFonts w:hint="eastAsia"/>
              </w:rPr>
              <w:t>《大气污染物综合排放标准详解》（国家环境保护局科技标准司）</w:t>
            </w:r>
          </w:p>
        </w:tc>
      </w:tr>
      <w:bookmarkEnd w:id="193"/>
    </w:tbl>
    <w:p w14:paraId="44A1625D">
      <w:pPr>
        <w:pStyle w:val="3"/>
      </w:pPr>
      <w:bookmarkStart w:id="194" w:name="_Toc13106"/>
      <w:bookmarkStart w:id="195" w:name="_Toc161600313"/>
      <w:bookmarkStart w:id="196" w:name="_Toc29508"/>
      <w:bookmarkStart w:id="197" w:name="_Toc31567"/>
      <w:r>
        <w:rPr>
          <w:rFonts w:hint="eastAsia"/>
        </w:rPr>
        <w:t>3</w:t>
      </w:r>
      <w:r>
        <w:t>.2.基本污染物环境质量现状</w:t>
      </w:r>
      <w:bookmarkEnd w:id="194"/>
      <w:bookmarkEnd w:id="195"/>
      <w:bookmarkEnd w:id="196"/>
      <w:bookmarkEnd w:id="197"/>
    </w:p>
    <w:p w14:paraId="2DB72D4F">
      <w:pPr>
        <w:bidi w:val="0"/>
        <w:rPr>
          <w:rFonts w:hint="default"/>
        </w:rPr>
      </w:pPr>
      <w:r>
        <w:rPr>
          <w:rFonts w:hint="eastAsia"/>
          <w:lang w:val="en-US" w:eastAsia="zh-CN"/>
        </w:rPr>
        <w:t>根</w:t>
      </w:r>
      <w:r>
        <w:rPr>
          <w:rFonts w:hint="default"/>
        </w:rPr>
        <w:t>据</w:t>
      </w:r>
      <w:r>
        <w:rPr>
          <w:rFonts w:hint="default"/>
          <w:lang w:val="en-US" w:eastAsia="zh-CN"/>
        </w:rPr>
        <w:t>《2024年河南省南阳市生态环境质量报告书》</w:t>
      </w:r>
      <w:r>
        <w:rPr>
          <w:rFonts w:hint="default"/>
        </w:rPr>
        <w:t>：镇平县202</w:t>
      </w:r>
      <w:r>
        <w:rPr>
          <w:rFonts w:hint="default"/>
          <w:lang w:val="en-US" w:eastAsia="zh-CN"/>
        </w:rPr>
        <w:t>4</w:t>
      </w:r>
      <w:r>
        <w:rPr>
          <w:rFonts w:hint="default"/>
        </w:rPr>
        <w:t>年环境空气中二氧化硫</w:t>
      </w:r>
      <w:r>
        <w:rPr>
          <w:rFonts w:hint="eastAsia"/>
          <w:lang w:eastAsia="zh-CN"/>
        </w:rPr>
        <w:t>（</w:t>
      </w:r>
      <w:r>
        <w:rPr>
          <w:rFonts w:cs="Times New Roman"/>
          <w:color w:val="000000"/>
          <w:kern w:val="0"/>
          <w:szCs w:val="20"/>
        </w:rPr>
        <w:t>SO</w:t>
      </w:r>
      <w:r>
        <w:rPr>
          <w:rFonts w:cs="Times New Roman"/>
          <w:color w:val="000000"/>
          <w:kern w:val="0"/>
          <w:szCs w:val="20"/>
          <w:vertAlign w:val="subscript"/>
        </w:rPr>
        <w:t>2</w:t>
      </w:r>
      <w:r>
        <w:rPr>
          <w:rFonts w:hint="eastAsia"/>
          <w:lang w:eastAsia="zh-CN"/>
        </w:rPr>
        <w:t>）</w:t>
      </w:r>
      <w:r>
        <w:rPr>
          <w:rFonts w:hint="default"/>
        </w:rPr>
        <w:t>、二氧化氮</w:t>
      </w:r>
      <w:r>
        <w:rPr>
          <w:rFonts w:hint="eastAsia"/>
          <w:lang w:eastAsia="zh-CN"/>
        </w:rPr>
        <w:t>（</w:t>
      </w:r>
      <w:r>
        <w:rPr>
          <w:rFonts w:cs="Times New Roman"/>
          <w:color w:val="000000"/>
          <w:kern w:val="0"/>
          <w:szCs w:val="20"/>
        </w:rPr>
        <w:t>NO</w:t>
      </w:r>
      <w:r>
        <w:rPr>
          <w:rFonts w:cs="Times New Roman"/>
          <w:color w:val="000000"/>
          <w:kern w:val="0"/>
          <w:szCs w:val="20"/>
          <w:vertAlign w:val="subscript"/>
        </w:rPr>
        <w:t>2</w:t>
      </w:r>
      <w:r>
        <w:rPr>
          <w:rFonts w:hint="eastAsia"/>
          <w:lang w:eastAsia="zh-CN"/>
        </w:rPr>
        <w:t>）</w:t>
      </w:r>
      <w:r>
        <w:rPr>
          <w:rFonts w:hint="default"/>
        </w:rPr>
        <w:t>、可吸入颗粒物</w:t>
      </w:r>
      <w:r>
        <w:rPr>
          <w:rFonts w:hint="eastAsia"/>
          <w:lang w:eastAsia="zh-CN"/>
        </w:rPr>
        <w:t>（</w:t>
      </w:r>
      <w:r>
        <w:rPr>
          <w:rFonts w:cs="Times New Roman"/>
          <w:color w:val="000000"/>
          <w:kern w:val="0"/>
          <w:szCs w:val="20"/>
        </w:rPr>
        <w:t>PM</w:t>
      </w:r>
      <w:r>
        <w:rPr>
          <w:rFonts w:cs="Times New Roman"/>
          <w:color w:val="000000"/>
          <w:kern w:val="0"/>
          <w:szCs w:val="20"/>
          <w:vertAlign w:val="subscript"/>
        </w:rPr>
        <w:t>10</w:t>
      </w:r>
      <w:r>
        <w:rPr>
          <w:rFonts w:hint="eastAsia"/>
          <w:lang w:eastAsia="zh-CN"/>
        </w:rPr>
        <w:t>）</w:t>
      </w:r>
      <w:r>
        <w:rPr>
          <w:rFonts w:hint="default"/>
        </w:rPr>
        <w:t>、细颗粒物</w:t>
      </w:r>
      <w:r>
        <w:rPr>
          <w:rFonts w:hint="eastAsia"/>
          <w:lang w:eastAsia="zh-CN"/>
        </w:rPr>
        <w:t>（</w:t>
      </w:r>
      <w:r>
        <w:rPr>
          <w:rFonts w:cs="Times New Roman"/>
          <w:color w:val="000000"/>
          <w:kern w:val="0"/>
          <w:szCs w:val="20"/>
        </w:rPr>
        <w:t>PM</w:t>
      </w:r>
      <w:r>
        <w:rPr>
          <w:rFonts w:cs="Times New Roman"/>
          <w:color w:val="000000"/>
          <w:kern w:val="0"/>
          <w:szCs w:val="20"/>
          <w:vertAlign w:val="subscript"/>
        </w:rPr>
        <w:t>2.5</w:t>
      </w:r>
      <w:r>
        <w:rPr>
          <w:rFonts w:hint="eastAsia"/>
          <w:lang w:eastAsia="zh-CN"/>
        </w:rPr>
        <w:t>）</w:t>
      </w:r>
      <w:r>
        <w:rPr>
          <w:rFonts w:hint="default"/>
        </w:rPr>
        <w:t>年均浓度分别为</w:t>
      </w:r>
      <w:r>
        <w:rPr>
          <w:rFonts w:hint="eastAsia" w:cs="Times New Roman"/>
          <w:color w:val="000000"/>
          <w:kern w:val="0"/>
          <w:szCs w:val="20"/>
          <w:lang w:val="en-US" w:eastAsia="zh-CN"/>
        </w:rPr>
        <w:t>7</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14</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72</w:t>
      </w:r>
      <w:r>
        <w:rPr>
          <w:rFonts w:cs="Times New Roman"/>
          <w:color w:val="000000"/>
          <w:kern w:val="0"/>
          <w:szCs w:val="20"/>
        </w:rPr>
        <w:t>μg/m</w:t>
      </w:r>
      <w:r>
        <w:rPr>
          <w:rFonts w:cs="Times New Roman"/>
          <w:color w:val="000000"/>
          <w:kern w:val="0"/>
          <w:szCs w:val="20"/>
          <w:vertAlign w:val="superscript"/>
        </w:rPr>
        <w:t>3</w:t>
      </w:r>
      <w:r>
        <w:rPr>
          <w:rFonts w:cs="Times New Roman"/>
          <w:color w:val="000000"/>
          <w:kern w:val="0"/>
          <w:szCs w:val="20"/>
        </w:rPr>
        <w:t>、</w:t>
      </w:r>
      <w:r>
        <w:rPr>
          <w:rFonts w:hint="eastAsia" w:cs="Times New Roman"/>
          <w:color w:val="000000"/>
          <w:kern w:val="0"/>
          <w:szCs w:val="20"/>
          <w:lang w:val="en-US" w:eastAsia="zh-CN"/>
        </w:rPr>
        <w:t>41</w:t>
      </w:r>
      <w:r>
        <w:rPr>
          <w:rFonts w:cs="Times New Roman"/>
          <w:color w:val="000000"/>
          <w:kern w:val="0"/>
          <w:szCs w:val="20"/>
        </w:rPr>
        <w:t>μg/m</w:t>
      </w:r>
      <w:r>
        <w:rPr>
          <w:rFonts w:cs="Times New Roman"/>
          <w:color w:val="000000"/>
          <w:kern w:val="0"/>
          <w:szCs w:val="20"/>
          <w:vertAlign w:val="superscript"/>
        </w:rPr>
        <w:t>3</w:t>
      </w:r>
      <w:r>
        <w:rPr>
          <w:rFonts w:hint="default"/>
        </w:rPr>
        <w:t>，一氧化碳</w:t>
      </w:r>
      <w:r>
        <w:rPr>
          <w:rFonts w:hint="eastAsia"/>
          <w:lang w:eastAsia="zh-CN"/>
        </w:rPr>
        <w:t>（</w:t>
      </w:r>
      <w:r>
        <w:rPr>
          <w:rFonts w:hint="default"/>
        </w:rPr>
        <w:t>CO</w:t>
      </w:r>
      <w:r>
        <w:rPr>
          <w:rFonts w:hint="eastAsia"/>
          <w:lang w:eastAsia="zh-CN"/>
        </w:rPr>
        <w:t>）</w:t>
      </w:r>
      <w:r>
        <w:rPr>
          <w:rFonts w:hint="default"/>
        </w:rPr>
        <w:t>和臭氧</w:t>
      </w:r>
      <w:r>
        <w:rPr>
          <w:rFonts w:hint="eastAsia"/>
          <w:lang w:eastAsia="zh-CN"/>
        </w:rPr>
        <w:t>（</w:t>
      </w:r>
      <w:r>
        <w:rPr>
          <w:rFonts w:cs="Times New Roman"/>
          <w:color w:val="000000"/>
          <w:kern w:val="0"/>
          <w:szCs w:val="20"/>
        </w:rPr>
        <w:t>O</w:t>
      </w:r>
      <w:r>
        <w:rPr>
          <w:rFonts w:cs="Times New Roman"/>
          <w:color w:val="000000"/>
          <w:kern w:val="0"/>
          <w:szCs w:val="20"/>
          <w:vertAlign w:val="subscript"/>
        </w:rPr>
        <w:t>3</w:t>
      </w:r>
      <w:r>
        <w:rPr>
          <w:rFonts w:hint="eastAsia"/>
          <w:lang w:eastAsia="zh-CN"/>
        </w:rPr>
        <w:t>）</w:t>
      </w:r>
      <w:r>
        <w:rPr>
          <w:rFonts w:hint="default"/>
        </w:rPr>
        <w:t>特定百分数浓度分别为</w:t>
      </w:r>
      <w:r>
        <w:rPr>
          <w:rFonts w:hint="eastAsia" w:cs="Times New Roman"/>
          <w:color w:val="000000"/>
          <w:kern w:val="0"/>
          <w:szCs w:val="20"/>
        </w:rPr>
        <w:t>1.</w:t>
      </w:r>
      <w:r>
        <w:rPr>
          <w:rFonts w:hint="eastAsia" w:cs="Times New Roman"/>
          <w:color w:val="000000"/>
          <w:kern w:val="0"/>
          <w:szCs w:val="20"/>
          <w:lang w:val="en-US" w:eastAsia="zh-CN"/>
        </w:rPr>
        <w:t>0</w:t>
      </w:r>
      <w:r>
        <w:rPr>
          <w:rFonts w:hint="eastAsia" w:cs="Times New Roman"/>
          <w:color w:val="000000"/>
          <w:kern w:val="0"/>
          <w:szCs w:val="20"/>
        </w:rPr>
        <w:t>m</w:t>
      </w:r>
      <w:r>
        <w:rPr>
          <w:rFonts w:cs="Times New Roman"/>
          <w:color w:val="000000"/>
          <w:kern w:val="0"/>
          <w:szCs w:val="20"/>
        </w:rPr>
        <w:t>g/m</w:t>
      </w:r>
      <w:r>
        <w:rPr>
          <w:rFonts w:cs="Times New Roman"/>
          <w:color w:val="000000"/>
          <w:kern w:val="0"/>
          <w:szCs w:val="20"/>
          <w:vertAlign w:val="superscript"/>
        </w:rPr>
        <w:t>3</w:t>
      </w:r>
      <w:r>
        <w:rPr>
          <w:rFonts w:hint="default"/>
        </w:rPr>
        <w:t>、</w:t>
      </w:r>
      <w:r>
        <w:rPr>
          <w:rFonts w:hint="eastAsia" w:cs="Times New Roman"/>
          <w:color w:val="000000"/>
          <w:kern w:val="0"/>
          <w:szCs w:val="20"/>
        </w:rPr>
        <w:t>1</w:t>
      </w:r>
      <w:r>
        <w:rPr>
          <w:rFonts w:hint="eastAsia" w:cs="Times New Roman"/>
          <w:color w:val="000000"/>
          <w:kern w:val="0"/>
          <w:szCs w:val="20"/>
          <w:lang w:val="en-US" w:eastAsia="zh-CN"/>
        </w:rPr>
        <w:t>53</w:t>
      </w:r>
      <w:r>
        <w:rPr>
          <w:rFonts w:cs="Times New Roman"/>
          <w:color w:val="000000"/>
          <w:kern w:val="0"/>
          <w:szCs w:val="20"/>
        </w:rPr>
        <w:t>μg/m</w:t>
      </w:r>
      <w:r>
        <w:rPr>
          <w:rFonts w:cs="Times New Roman"/>
          <w:color w:val="000000"/>
          <w:kern w:val="0"/>
          <w:szCs w:val="20"/>
          <w:vertAlign w:val="superscript"/>
        </w:rPr>
        <w:t>3</w:t>
      </w:r>
      <w:r>
        <w:rPr>
          <w:rFonts w:hint="default"/>
        </w:rPr>
        <w:t>，镇平县六项基本污染物除</w:t>
      </w:r>
      <w:r>
        <w:rPr>
          <w:rFonts w:cs="Times New Roman"/>
          <w:color w:val="000000"/>
          <w:kern w:val="0"/>
          <w:szCs w:val="20"/>
        </w:rPr>
        <w:t>PM</w:t>
      </w:r>
      <w:r>
        <w:rPr>
          <w:rFonts w:cs="Times New Roman"/>
          <w:color w:val="000000"/>
          <w:kern w:val="0"/>
          <w:szCs w:val="20"/>
          <w:vertAlign w:val="subscript"/>
        </w:rPr>
        <w:t>10</w:t>
      </w:r>
      <w:r>
        <w:rPr>
          <w:rFonts w:cs="Times New Roman"/>
          <w:color w:val="000000"/>
          <w:kern w:val="0"/>
          <w:szCs w:val="20"/>
        </w:rPr>
        <w:t>、PM</w:t>
      </w:r>
      <w:r>
        <w:rPr>
          <w:rFonts w:cs="Times New Roman"/>
          <w:color w:val="000000"/>
          <w:kern w:val="0"/>
          <w:szCs w:val="20"/>
          <w:vertAlign w:val="subscript"/>
        </w:rPr>
        <w:t>2.5</w:t>
      </w:r>
      <w:r>
        <w:rPr>
          <w:rFonts w:hint="default"/>
        </w:rPr>
        <w:t>超标外，其他评价指标均满足《环境空气质量标准》（GB 3095-2012）二级标准要求，项目所在区域环境空气质量为不达标区。</w:t>
      </w:r>
    </w:p>
    <w:p w14:paraId="71D767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lang w:eastAsia="zh-TW" w:bidi="ar"/>
        </w:rPr>
      </w:pPr>
      <w:r>
        <w:rPr>
          <w:sz w:val="24"/>
          <w:lang w:eastAsia="zh-TW" w:bidi="ar"/>
        </w:rPr>
        <w:t>为此，南阳市生态环境保护委员会已经制定了《南阳市2025年蓝天保卫战实施方案》（宛环委办〔2025〕5号），</w:t>
      </w:r>
      <w:r>
        <w:rPr>
          <w:rFonts w:hint="eastAsia"/>
          <w:color w:val="auto"/>
          <w:sz w:val="24"/>
          <w:u w:val="none"/>
        </w:rPr>
        <w:t>通过依法依规淘汰落后低效产能、推进产业集群综合整治、加快燃煤锅炉关停整合、实施工业炉窑清洁能源替代、工业企业提标治理、移动源污染排放控制、面源污染防控、重污染天气应对、监管能力提升等措施，可有效控制与消减区域大气污染物排放，区域环境空气质量将逐步改善。</w:t>
      </w:r>
    </w:p>
    <w:p w14:paraId="2C78B680">
      <w:pPr>
        <w:pStyle w:val="3"/>
      </w:pPr>
      <w:bookmarkStart w:id="198" w:name="_Toc23777"/>
      <w:bookmarkStart w:id="199" w:name="_Toc11869"/>
      <w:bookmarkStart w:id="200" w:name="_Toc12717"/>
      <w:bookmarkStart w:id="201" w:name="_Toc161600314"/>
      <w:r>
        <w:rPr>
          <w:rFonts w:hint="eastAsia"/>
        </w:rPr>
        <w:t>3</w:t>
      </w:r>
      <w:r>
        <w:t>.3.特征污染物环境质量现状</w:t>
      </w:r>
      <w:bookmarkEnd w:id="198"/>
      <w:bookmarkEnd w:id="199"/>
      <w:bookmarkEnd w:id="200"/>
      <w:bookmarkEnd w:id="201"/>
    </w:p>
    <w:p w14:paraId="4142A893">
      <w:pPr>
        <w:bidi w:val="0"/>
      </w:pPr>
      <w:r>
        <w:t>项目特征因子为</w:t>
      </w:r>
      <w:r>
        <w:rPr>
          <w:rFonts w:hint="eastAsia"/>
          <w:lang w:val="en-US" w:eastAsia="zh-CN"/>
        </w:rPr>
        <w:t>TSP、甲醛和非甲烷总烃</w:t>
      </w:r>
      <w:r>
        <w:t>。</w:t>
      </w:r>
    </w:p>
    <w:p w14:paraId="2974F725">
      <w:pPr>
        <w:keepNext w:val="0"/>
        <w:keepLines w:val="0"/>
        <w:suppressLineNumbers w:val="0"/>
        <w:spacing w:before="0" w:beforeAutospacing="0" w:after="0" w:afterAutospacing="0" w:line="360" w:lineRule="auto"/>
        <w:ind w:left="0" w:right="0" w:firstLine="480" w:firstLineChars="200"/>
        <w:rPr>
          <w:rFonts w:hint="eastAsia"/>
          <w:color w:val="auto"/>
          <w:sz w:val="24"/>
          <w:u w:val="none"/>
          <w:lang w:val="en-US" w:eastAsia="zh-CN"/>
        </w:rPr>
      </w:pPr>
      <w:r>
        <w:rPr>
          <w:rFonts w:hint="eastAsia"/>
          <w:lang w:val="en-US" w:eastAsia="zh-CN"/>
        </w:rPr>
        <w:t>本项目TSP、甲醛和非甲烷总烃环境空气质量现状引用《南阳微特防爆电机有限公司铸造分公司技术改造项目环境影响报告表》中委托河南景顺检测科技有限公司在2025.10.23-2025.10.29，连续7天的监测数据。</w:t>
      </w:r>
      <w:r>
        <w:rPr>
          <w:rFonts w:hint="eastAsia"/>
          <w:color w:val="auto"/>
          <w:sz w:val="24"/>
          <w:u w:val="none"/>
          <w:lang w:val="en-US" w:eastAsia="zh-CN"/>
        </w:rPr>
        <w:t>汤庄位于本项目西北方向，距离本项目819米（具体见下图），引用的监测数据具有完整性、有效性，满足引用监测数据的相关要求，可作为本项目大气环境现状评价的依据。具体监测结果见下表3.3-1。</w:t>
      </w:r>
    </w:p>
    <w:p w14:paraId="5C26E0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黑体" w:cs="Times New Roman"/>
          <w:b w:val="0"/>
          <w:bCs/>
          <w:color w:val="auto"/>
          <w:sz w:val="24"/>
          <w:szCs w:val="24"/>
          <w:u w:val="none"/>
          <w:lang w:eastAsia="zh-CN"/>
        </w:rPr>
      </w:pPr>
      <w:r>
        <w:rPr>
          <w:rFonts w:hint="default" w:ascii="Times New Roman" w:hAnsi="Times New Roman" w:eastAsia="黑体" w:cs="Times New Roman"/>
          <w:b w:val="0"/>
          <w:bCs/>
          <w:color w:val="auto"/>
          <w:sz w:val="24"/>
          <w:szCs w:val="24"/>
          <w:u w:val="none"/>
          <w:lang w:val="en-US" w:eastAsia="zh-CN"/>
        </w:rPr>
        <w:t>表3</w:t>
      </w:r>
      <w:r>
        <w:rPr>
          <w:rFonts w:hint="eastAsia" w:ascii="Times New Roman" w:hAnsi="Times New Roman" w:eastAsia="黑体" w:cs="Times New Roman"/>
          <w:b w:val="0"/>
          <w:bCs/>
          <w:color w:val="auto"/>
          <w:sz w:val="24"/>
          <w:szCs w:val="24"/>
          <w:u w:val="none"/>
          <w:lang w:val="en-US" w:eastAsia="zh-CN"/>
        </w:rPr>
        <w:t>.3</w:t>
      </w:r>
      <w:r>
        <w:rPr>
          <w:rFonts w:hint="default" w:ascii="Times New Roman" w:hAnsi="Times New Roman" w:eastAsia="黑体" w:cs="Times New Roman"/>
          <w:b w:val="0"/>
          <w:bCs/>
          <w:color w:val="auto"/>
          <w:sz w:val="24"/>
          <w:szCs w:val="24"/>
          <w:u w:val="none"/>
          <w:lang w:val="en-US" w:eastAsia="zh-CN"/>
        </w:rPr>
        <w:t>-</w:t>
      </w:r>
      <w:r>
        <w:rPr>
          <w:rFonts w:hint="eastAsia" w:ascii="Times New Roman" w:hAnsi="Times New Roman" w:eastAsia="黑体" w:cs="Times New Roman"/>
          <w:b w:val="0"/>
          <w:bCs/>
          <w:color w:val="auto"/>
          <w:sz w:val="24"/>
          <w:szCs w:val="24"/>
          <w:u w:val="none"/>
          <w:lang w:val="en-US" w:eastAsia="zh-CN"/>
        </w:rPr>
        <w:t>1</w:t>
      </w:r>
      <w:r>
        <w:rPr>
          <w:rFonts w:hint="default" w:ascii="Times New Roman" w:hAnsi="Times New Roman" w:eastAsia="黑体" w:cs="Times New Roman"/>
          <w:b w:val="0"/>
          <w:bCs/>
          <w:color w:val="auto"/>
          <w:sz w:val="24"/>
          <w:szCs w:val="24"/>
          <w:u w:val="none"/>
          <w:lang w:val="en-US" w:eastAsia="zh-CN"/>
        </w:rPr>
        <w:t xml:space="preserve">  </w:t>
      </w:r>
      <w:r>
        <w:rPr>
          <w:rFonts w:hint="default" w:ascii="Times New Roman" w:hAnsi="Times New Roman" w:eastAsia="黑体" w:cs="Times New Roman"/>
          <w:b w:val="0"/>
          <w:bCs/>
          <w:color w:val="auto"/>
          <w:sz w:val="24"/>
          <w:szCs w:val="24"/>
          <w:u w:val="none"/>
          <w:lang w:eastAsia="zh-CN"/>
        </w:rPr>
        <w:t>环境空气质量现状监测统计及评价结果表</w:t>
      </w:r>
    </w:p>
    <w:tbl>
      <w:tblPr>
        <w:tblStyle w:val="28"/>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759"/>
        <w:gridCol w:w="1419"/>
        <w:gridCol w:w="1439"/>
        <w:gridCol w:w="1439"/>
        <w:gridCol w:w="1336"/>
        <w:gridCol w:w="1348"/>
        <w:gridCol w:w="1007"/>
        <w:gridCol w:w="1100"/>
      </w:tblGrid>
      <w:tr w14:paraId="1CB906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tcBorders>
              <w:tl2br w:val="nil"/>
              <w:tr2bl w:val="nil"/>
            </w:tcBorders>
            <w:noWrap w:val="0"/>
            <w:vAlign w:val="center"/>
          </w:tcPr>
          <w:p w14:paraId="324517AC">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default" w:ascii="Times New Roman" w:hAnsi="Times New Roman" w:eastAsia="宋体" w:cs="Times New Roman"/>
                <w:b w:val="0"/>
                <w:bCs w:val="0"/>
                <w:color w:val="auto"/>
                <w:kern w:val="0"/>
                <w:sz w:val="21"/>
                <w:szCs w:val="21"/>
                <w:u w:val="none"/>
                <w:lang w:val="zh-CN"/>
              </w:rPr>
              <w:t>监测</w:t>
            </w:r>
            <w:r>
              <w:rPr>
                <w:rFonts w:hint="eastAsia" w:ascii="Times New Roman" w:hAnsi="Times New Roman" w:eastAsia="宋体" w:cs="Times New Roman"/>
                <w:b w:val="0"/>
                <w:bCs w:val="0"/>
                <w:color w:val="auto"/>
                <w:kern w:val="0"/>
                <w:sz w:val="21"/>
                <w:szCs w:val="21"/>
                <w:u w:val="none"/>
                <w:lang w:val="zh-CN" w:eastAsia="zh-CN"/>
              </w:rPr>
              <w:t>点位</w:t>
            </w:r>
          </w:p>
        </w:tc>
        <w:tc>
          <w:tcPr>
            <w:tcW w:w="720" w:type="pct"/>
            <w:tcBorders>
              <w:tl2br w:val="nil"/>
              <w:tr2bl w:val="nil"/>
            </w:tcBorders>
            <w:noWrap w:val="0"/>
            <w:vAlign w:val="center"/>
          </w:tcPr>
          <w:p w14:paraId="42328C2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zh-CN"/>
              </w:rPr>
              <w:t>监测</w:t>
            </w:r>
            <w:r>
              <w:rPr>
                <w:rFonts w:hint="eastAsia" w:eastAsia="宋体" w:cs="Times New Roman"/>
                <w:b w:val="0"/>
                <w:bCs w:val="0"/>
                <w:color w:val="auto"/>
                <w:kern w:val="0"/>
                <w:sz w:val="21"/>
                <w:szCs w:val="21"/>
                <w:u w:val="none"/>
                <w:lang w:val="en-US" w:eastAsia="zh-CN"/>
              </w:rPr>
              <w:t>因子</w:t>
            </w:r>
          </w:p>
        </w:tc>
        <w:tc>
          <w:tcPr>
            <w:tcW w:w="730" w:type="pct"/>
            <w:tcBorders>
              <w:tl2br w:val="nil"/>
              <w:tr2bl w:val="nil"/>
            </w:tcBorders>
            <w:noWrap w:val="0"/>
            <w:vAlign w:val="center"/>
          </w:tcPr>
          <w:p w14:paraId="017CCCC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eastAsia" w:ascii="Times New Roman" w:hAnsi="Times New Roman" w:eastAsia="宋体" w:cs="Times New Roman"/>
                <w:b w:val="0"/>
                <w:bCs w:val="0"/>
                <w:color w:val="auto"/>
                <w:kern w:val="0"/>
                <w:sz w:val="21"/>
                <w:szCs w:val="21"/>
                <w:u w:val="none"/>
                <w:lang w:val="zh-CN" w:eastAsia="zh-CN"/>
              </w:rPr>
              <w:t>取值类型</w:t>
            </w:r>
          </w:p>
        </w:tc>
        <w:tc>
          <w:tcPr>
            <w:tcW w:w="730" w:type="pct"/>
            <w:tcBorders>
              <w:tl2br w:val="nil"/>
              <w:tr2bl w:val="nil"/>
            </w:tcBorders>
            <w:noWrap w:val="0"/>
            <w:vAlign w:val="center"/>
          </w:tcPr>
          <w:p w14:paraId="60AFAA3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监测值范围</w:t>
            </w:r>
          </w:p>
          <w:p w14:paraId="3A6AB90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w:t>
            </w:r>
            <w:r>
              <w:rPr>
                <w:rFonts w:hint="eastAsia" w:eastAsia="宋体" w:cs="Times New Roman"/>
                <w:b w:val="0"/>
                <w:bCs w:val="0"/>
                <w:color w:val="auto"/>
                <w:kern w:val="0"/>
                <w:sz w:val="21"/>
                <w:szCs w:val="21"/>
                <w:u w:val="none"/>
                <w:lang w:val="en-US" w:eastAsia="zh-CN"/>
              </w:rPr>
              <w:t>m</w:t>
            </w:r>
            <w:r>
              <w:rPr>
                <w:rFonts w:hint="default" w:ascii="Times New Roman" w:hAnsi="Times New Roman" w:eastAsia="宋体" w:cs="Times New Roman"/>
                <w:b w:val="0"/>
                <w:bCs w:val="0"/>
                <w:color w:val="auto"/>
                <w:kern w:val="0"/>
                <w:sz w:val="21"/>
                <w:szCs w:val="21"/>
                <w:u w:val="none"/>
                <w:lang w:val="zh-CN"/>
              </w:rPr>
              <w:t>g/m</w:t>
            </w:r>
            <w:r>
              <w:rPr>
                <w:rFonts w:hint="default" w:ascii="Times New Roman" w:hAnsi="Times New Roman" w:eastAsia="宋体" w:cs="Times New Roman"/>
                <w:b w:val="0"/>
                <w:bCs w:val="0"/>
                <w:color w:val="auto"/>
                <w:kern w:val="0"/>
                <w:sz w:val="21"/>
                <w:szCs w:val="21"/>
                <w:u w:val="none"/>
                <w:vertAlign w:val="superscript"/>
                <w:lang w:val="zh-CN"/>
              </w:rPr>
              <w:t>3</w:t>
            </w:r>
            <w:r>
              <w:rPr>
                <w:rFonts w:hint="default" w:ascii="Times New Roman" w:hAnsi="Times New Roman" w:eastAsia="宋体" w:cs="Times New Roman"/>
                <w:b w:val="0"/>
                <w:bCs w:val="0"/>
                <w:color w:val="auto"/>
                <w:kern w:val="0"/>
                <w:sz w:val="21"/>
                <w:szCs w:val="21"/>
                <w:u w:val="none"/>
                <w:lang w:val="zh-CN"/>
              </w:rPr>
              <w:t>）</w:t>
            </w:r>
          </w:p>
        </w:tc>
        <w:tc>
          <w:tcPr>
            <w:tcW w:w="678" w:type="pct"/>
            <w:tcBorders>
              <w:tl2br w:val="nil"/>
              <w:tr2bl w:val="nil"/>
            </w:tcBorders>
            <w:noWrap w:val="0"/>
            <w:vAlign w:val="center"/>
          </w:tcPr>
          <w:p w14:paraId="18F7812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u w:val="none"/>
                <w:lang w:val="zh-CN" w:eastAsia="zh-CN" w:bidi="ar-SA"/>
              </w:rPr>
            </w:pPr>
            <w:r>
              <w:rPr>
                <w:rFonts w:hint="default" w:ascii="Times New Roman" w:hAnsi="Times New Roman" w:eastAsia="宋体" w:cs="Times New Roman"/>
                <w:b w:val="0"/>
                <w:bCs w:val="0"/>
                <w:kern w:val="0"/>
                <w:sz w:val="21"/>
                <w:szCs w:val="21"/>
                <w:u w:val="none"/>
                <w:lang w:val="zh-CN"/>
              </w:rPr>
              <w:t>标准</w:t>
            </w:r>
            <w:r>
              <w:rPr>
                <w:rFonts w:hint="eastAsia" w:eastAsia="宋体" w:cs="Times New Roman"/>
                <w:b w:val="0"/>
                <w:bCs w:val="0"/>
                <w:kern w:val="0"/>
                <w:sz w:val="21"/>
                <w:szCs w:val="21"/>
                <w:u w:val="none"/>
                <w:lang w:val="en-US" w:eastAsia="zh-CN"/>
              </w:rPr>
              <w:t>限值</w:t>
            </w:r>
            <w:r>
              <w:rPr>
                <w:rFonts w:hint="default" w:ascii="Times New Roman" w:hAnsi="Times New Roman" w:eastAsia="宋体" w:cs="Times New Roman"/>
                <w:b w:val="0"/>
                <w:bCs w:val="0"/>
                <w:kern w:val="0"/>
                <w:sz w:val="21"/>
                <w:szCs w:val="21"/>
                <w:u w:val="none"/>
                <w:lang w:val="zh-CN"/>
              </w:rPr>
              <w:t>（</w:t>
            </w:r>
            <w:r>
              <w:rPr>
                <w:rFonts w:hint="eastAsia" w:ascii="Times New Roman" w:hAnsi="Times New Roman" w:eastAsia="宋体" w:cs="Times New Roman"/>
                <w:b w:val="0"/>
                <w:bCs w:val="0"/>
                <w:color w:val="auto"/>
                <w:kern w:val="0"/>
                <w:sz w:val="21"/>
                <w:szCs w:val="21"/>
                <w:u w:val="none"/>
                <w:lang w:val="en-US" w:eastAsia="zh-CN"/>
              </w:rPr>
              <w:t>m</w:t>
            </w:r>
            <w:r>
              <w:rPr>
                <w:rFonts w:hint="default" w:ascii="Times New Roman" w:hAnsi="Times New Roman" w:eastAsia="宋体" w:cs="Times New Roman"/>
                <w:b w:val="0"/>
                <w:bCs w:val="0"/>
                <w:kern w:val="0"/>
                <w:sz w:val="21"/>
                <w:szCs w:val="21"/>
                <w:u w:val="none"/>
                <w:lang w:val="zh-CN"/>
              </w:rPr>
              <w:t>g/m</w:t>
            </w:r>
            <w:r>
              <w:rPr>
                <w:rFonts w:hint="default" w:ascii="Times New Roman" w:hAnsi="Times New Roman" w:eastAsia="宋体" w:cs="Times New Roman"/>
                <w:b w:val="0"/>
                <w:bCs w:val="0"/>
                <w:kern w:val="0"/>
                <w:sz w:val="21"/>
                <w:szCs w:val="21"/>
                <w:u w:val="none"/>
                <w:vertAlign w:val="superscript"/>
                <w:lang w:val="zh-CN"/>
              </w:rPr>
              <w:t>3</w:t>
            </w:r>
            <w:r>
              <w:rPr>
                <w:rFonts w:hint="default" w:ascii="Times New Roman" w:hAnsi="Times New Roman" w:eastAsia="宋体" w:cs="Times New Roman"/>
                <w:b w:val="0"/>
                <w:bCs w:val="0"/>
                <w:kern w:val="0"/>
                <w:sz w:val="21"/>
                <w:szCs w:val="21"/>
                <w:u w:val="none"/>
                <w:lang w:val="zh-CN"/>
              </w:rPr>
              <w:t>）</w:t>
            </w:r>
          </w:p>
        </w:tc>
        <w:tc>
          <w:tcPr>
            <w:tcW w:w="684" w:type="pct"/>
            <w:tcBorders>
              <w:tl2br w:val="nil"/>
              <w:tr2bl w:val="nil"/>
            </w:tcBorders>
            <w:noWrap w:val="0"/>
            <w:vAlign w:val="center"/>
          </w:tcPr>
          <w:p w14:paraId="475BB0D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eastAsia="zh-CN" w:bidi="ar-SA"/>
              </w:rPr>
            </w:pPr>
            <w:r>
              <w:rPr>
                <w:rFonts w:hint="default" w:ascii="Times New Roman" w:hAnsi="Times New Roman" w:eastAsia="宋体" w:cs="Times New Roman"/>
                <w:b w:val="0"/>
                <w:bCs w:val="0"/>
                <w:color w:val="auto"/>
                <w:kern w:val="0"/>
                <w:sz w:val="21"/>
                <w:szCs w:val="21"/>
                <w:u w:val="none"/>
                <w:lang w:val="zh-CN"/>
              </w:rPr>
              <w:t>单因子指数范围</w:t>
            </w:r>
          </w:p>
        </w:tc>
        <w:tc>
          <w:tcPr>
            <w:tcW w:w="511" w:type="pct"/>
            <w:tcBorders>
              <w:tl2br w:val="nil"/>
              <w:tr2bl w:val="nil"/>
            </w:tcBorders>
            <w:noWrap w:val="0"/>
            <w:vAlign w:val="center"/>
          </w:tcPr>
          <w:p w14:paraId="48DCD9E2">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超标率</w:t>
            </w:r>
          </w:p>
          <w:p w14:paraId="5CEDD44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default" w:ascii="Times New Roman" w:hAnsi="Times New Roman" w:eastAsia="宋体" w:cs="Times New Roman"/>
                <w:b w:val="0"/>
                <w:bCs w:val="0"/>
                <w:color w:val="auto"/>
                <w:kern w:val="0"/>
                <w:sz w:val="21"/>
                <w:szCs w:val="21"/>
                <w:u w:val="none"/>
                <w:lang w:val="zh-CN"/>
              </w:rPr>
              <w:t>（%）</w:t>
            </w:r>
          </w:p>
        </w:tc>
        <w:tc>
          <w:tcPr>
            <w:tcW w:w="558" w:type="pct"/>
            <w:tcBorders>
              <w:tl2br w:val="nil"/>
              <w:tr2bl w:val="nil"/>
            </w:tcBorders>
            <w:noWrap w:val="0"/>
            <w:vAlign w:val="center"/>
          </w:tcPr>
          <w:p w14:paraId="55DDA58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达标情况</w:t>
            </w:r>
          </w:p>
        </w:tc>
      </w:tr>
      <w:tr w14:paraId="5A0935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restart"/>
            <w:tcBorders>
              <w:tl2br w:val="nil"/>
              <w:tr2bl w:val="nil"/>
            </w:tcBorders>
            <w:noWrap w:val="0"/>
            <w:vAlign w:val="center"/>
          </w:tcPr>
          <w:p w14:paraId="24AE877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汤庄</w:t>
            </w:r>
          </w:p>
        </w:tc>
        <w:tc>
          <w:tcPr>
            <w:tcW w:w="720" w:type="pct"/>
            <w:tcBorders>
              <w:tl2br w:val="nil"/>
              <w:tr2bl w:val="nil"/>
            </w:tcBorders>
            <w:noWrap w:val="0"/>
            <w:vAlign w:val="center"/>
          </w:tcPr>
          <w:p w14:paraId="40E14275">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eastAsia" w:eastAsia="宋体" w:cs="Times New Roman"/>
                <w:b w:val="0"/>
                <w:bCs w:val="0"/>
                <w:color w:val="auto"/>
                <w:kern w:val="0"/>
                <w:sz w:val="21"/>
                <w:szCs w:val="21"/>
                <w:u w:val="none"/>
                <w:lang w:val="en-US" w:eastAsia="zh-CN"/>
              </w:rPr>
              <w:t>TSP</w:t>
            </w:r>
          </w:p>
        </w:tc>
        <w:tc>
          <w:tcPr>
            <w:tcW w:w="730" w:type="pct"/>
            <w:tcBorders>
              <w:tl2br w:val="nil"/>
              <w:tr2bl w:val="nil"/>
            </w:tcBorders>
            <w:noWrap w:val="0"/>
            <w:vAlign w:val="center"/>
          </w:tcPr>
          <w:p w14:paraId="48CB72E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zh-CN"/>
              </w:rPr>
            </w:pPr>
            <w:r>
              <w:rPr>
                <w:rFonts w:hint="eastAsia" w:ascii="Times New Roman" w:hAnsi="Times New Roman" w:eastAsia="宋体" w:cs="Times New Roman"/>
                <w:b w:val="0"/>
                <w:bCs w:val="0"/>
                <w:color w:val="auto"/>
                <w:kern w:val="0"/>
                <w:sz w:val="21"/>
                <w:szCs w:val="21"/>
                <w:u w:val="none"/>
                <w:lang w:val="en-US" w:eastAsia="zh-CN"/>
              </w:rPr>
              <w:t>24小时平均</w:t>
            </w:r>
          </w:p>
        </w:tc>
        <w:tc>
          <w:tcPr>
            <w:tcW w:w="730" w:type="pct"/>
            <w:tcBorders>
              <w:tl2br w:val="nil"/>
              <w:tr2bl w:val="nil"/>
            </w:tcBorders>
            <w:noWrap w:val="0"/>
            <w:vAlign w:val="center"/>
          </w:tcPr>
          <w:p w14:paraId="4A9DE7D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0.156-0.187</w:t>
            </w:r>
          </w:p>
        </w:tc>
        <w:tc>
          <w:tcPr>
            <w:tcW w:w="678" w:type="pct"/>
            <w:tcBorders>
              <w:tl2br w:val="nil"/>
              <w:tr2bl w:val="nil"/>
            </w:tcBorders>
            <w:noWrap w:val="0"/>
            <w:vAlign w:val="center"/>
          </w:tcPr>
          <w:p w14:paraId="7EDB9BE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ascii="Times New Roman" w:hAnsi="Times New Roman" w:eastAsia="宋体" w:cs="Times New Roman"/>
                <w:b w:val="0"/>
                <w:bCs w:val="0"/>
                <w:kern w:val="2"/>
                <w:sz w:val="21"/>
                <w:szCs w:val="21"/>
                <w:u w:val="none"/>
                <w:lang w:val="en-US" w:eastAsia="zh-CN" w:bidi="ar-SA"/>
              </w:rPr>
              <w:t>0.3</w:t>
            </w:r>
          </w:p>
        </w:tc>
        <w:tc>
          <w:tcPr>
            <w:tcW w:w="684" w:type="pct"/>
            <w:tcBorders>
              <w:tl2br w:val="nil"/>
              <w:tr2bl w:val="nil"/>
            </w:tcBorders>
            <w:noWrap w:val="0"/>
            <w:vAlign w:val="center"/>
          </w:tcPr>
          <w:p w14:paraId="2FC2A6B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0.52-0.623</w:t>
            </w:r>
          </w:p>
        </w:tc>
        <w:tc>
          <w:tcPr>
            <w:tcW w:w="511" w:type="pct"/>
            <w:tcBorders>
              <w:tl2br w:val="nil"/>
              <w:tr2bl w:val="nil"/>
            </w:tcBorders>
            <w:noWrap w:val="0"/>
            <w:vAlign w:val="center"/>
          </w:tcPr>
          <w:p w14:paraId="7BB641A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8" w:type="pct"/>
            <w:tcBorders>
              <w:tl2br w:val="nil"/>
              <w:tr2bl w:val="nil"/>
            </w:tcBorders>
            <w:noWrap w:val="0"/>
            <w:vAlign w:val="center"/>
          </w:tcPr>
          <w:p w14:paraId="7F46DF8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r w14:paraId="59984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continue"/>
            <w:tcBorders>
              <w:tl2br w:val="nil"/>
              <w:tr2bl w:val="nil"/>
            </w:tcBorders>
            <w:noWrap w:val="0"/>
            <w:vAlign w:val="center"/>
          </w:tcPr>
          <w:p w14:paraId="09EE465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p>
        </w:tc>
        <w:tc>
          <w:tcPr>
            <w:tcW w:w="720" w:type="pct"/>
            <w:tcBorders>
              <w:tl2br w:val="nil"/>
              <w:tr2bl w:val="nil"/>
            </w:tcBorders>
            <w:noWrap w:val="0"/>
            <w:vAlign w:val="center"/>
          </w:tcPr>
          <w:p w14:paraId="19929F0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甲醛</w:t>
            </w:r>
          </w:p>
        </w:tc>
        <w:tc>
          <w:tcPr>
            <w:tcW w:w="730" w:type="pct"/>
            <w:tcBorders>
              <w:tl2br w:val="nil"/>
              <w:tr2bl w:val="nil"/>
            </w:tcBorders>
            <w:noWrap w:val="0"/>
            <w:vAlign w:val="center"/>
          </w:tcPr>
          <w:p w14:paraId="6D965F8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kern w:val="0"/>
                <w:sz w:val="21"/>
                <w:szCs w:val="21"/>
                <w:u w:val="none"/>
                <w:lang w:val="en-US" w:eastAsia="zh-CN"/>
              </w:rPr>
              <w:t>1小时平均</w:t>
            </w:r>
          </w:p>
        </w:tc>
        <w:tc>
          <w:tcPr>
            <w:tcW w:w="730" w:type="pct"/>
            <w:tcBorders>
              <w:tl2br w:val="nil"/>
              <w:tr2bl w:val="nil"/>
            </w:tcBorders>
            <w:noWrap w:val="0"/>
            <w:vAlign w:val="center"/>
          </w:tcPr>
          <w:p w14:paraId="1181D9F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未检出</w:t>
            </w:r>
          </w:p>
        </w:tc>
        <w:tc>
          <w:tcPr>
            <w:tcW w:w="678" w:type="pct"/>
            <w:tcBorders>
              <w:tl2br w:val="nil"/>
              <w:tr2bl w:val="nil"/>
            </w:tcBorders>
            <w:noWrap w:val="0"/>
            <w:vAlign w:val="center"/>
          </w:tcPr>
          <w:p w14:paraId="1A29E7D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eastAsia="宋体" w:cs="Times New Roman"/>
                <w:b w:val="0"/>
                <w:bCs w:val="0"/>
                <w:kern w:val="2"/>
                <w:sz w:val="21"/>
                <w:szCs w:val="21"/>
                <w:u w:val="none"/>
                <w:lang w:val="en-US" w:eastAsia="zh-CN" w:bidi="ar-SA"/>
              </w:rPr>
              <w:t>0.05</w:t>
            </w:r>
          </w:p>
        </w:tc>
        <w:tc>
          <w:tcPr>
            <w:tcW w:w="684" w:type="pct"/>
            <w:tcBorders>
              <w:tl2br w:val="nil"/>
              <w:tr2bl w:val="nil"/>
            </w:tcBorders>
            <w:noWrap w:val="0"/>
            <w:vAlign w:val="center"/>
          </w:tcPr>
          <w:p w14:paraId="0FADF48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w:t>
            </w:r>
          </w:p>
        </w:tc>
        <w:tc>
          <w:tcPr>
            <w:tcW w:w="511" w:type="pct"/>
            <w:tcBorders>
              <w:tl2br w:val="nil"/>
              <w:tr2bl w:val="nil"/>
            </w:tcBorders>
            <w:noWrap w:val="0"/>
            <w:vAlign w:val="center"/>
          </w:tcPr>
          <w:p w14:paraId="4F63E0D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8" w:type="pct"/>
            <w:tcBorders>
              <w:tl2br w:val="nil"/>
              <w:tr2bl w:val="nil"/>
            </w:tcBorders>
            <w:noWrap w:val="0"/>
            <w:vAlign w:val="center"/>
          </w:tcPr>
          <w:p w14:paraId="57AC772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r w14:paraId="58ABC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85" w:type="pct"/>
            <w:vMerge w:val="continue"/>
            <w:tcBorders>
              <w:tl2br w:val="nil"/>
              <w:tr2bl w:val="nil"/>
            </w:tcBorders>
            <w:noWrap w:val="0"/>
            <w:vAlign w:val="center"/>
          </w:tcPr>
          <w:p w14:paraId="09AA844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p>
        </w:tc>
        <w:tc>
          <w:tcPr>
            <w:tcW w:w="720" w:type="pct"/>
            <w:tcBorders>
              <w:tl2br w:val="nil"/>
              <w:tr2bl w:val="nil"/>
            </w:tcBorders>
            <w:noWrap w:val="0"/>
            <w:vAlign w:val="center"/>
          </w:tcPr>
          <w:p w14:paraId="69DA7BC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zh-CN" w:eastAsia="zh-CN"/>
              </w:rPr>
            </w:pPr>
            <w:r>
              <w:rPr>
                <w:rFonts w:hint="eastAsia" w:hAnsi="宋体" w:eastAsia="宋体" w:cs="Times New Roman"/>
                <w:b w:val="0"/>
                <w:bCs w:val="0"/>
                <w:kern w:val="0"/>
                <w:sz w:val="21"/>
                <w:szCs w:val="21"/>
                <w:u w:val="none"/>
                <w:lang w:val="en-US" w:eastAsia="zh-CN"/>
              </w:rPr>
              <w:t>非甲烷总烃</w:t>
            </w:r>
          </w:p>
        </w:tc>
        <w:tc>
          <w:tcPr>
            <w:tcW w:w="730" w:type="pct"/>
            <w:tcBorders>
              <w:tl2br w:val="nil"/>
              <w:tr2bl w:val="nil"/>
            </w:tcBorders>
            <w:noWrap w:val="0"/>
            <w:vAlign w:val="center"/>
          </w:tcPr>
          <w:p w14:paraId="11AEF39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1</w:t>
            </w:r>
            <w:r>
              <w:rPr>
                <w:rFonts w:hint="eastAsia" w:ascii="Times New Roman" w:hAnsi="Times New Roman" w:eastAsia="宋体" w:cs="Times New Roman"/>
                <w:b w:val="0"/>
                <w:bCs w:val="0"/>
                <w:color w:val="auto"/>
                <w:kern w:val="0"/>
                <w:sz w:val="21"/>
                <w:szCs w:val="21"/>
                <w:u w:val="none"/>
                <w:lang w:val="en-US" w:eastAsia="zh-CN"/>
              </w:rPr>
              <w:t>小时平均</w:t>
            </w:r>
          </w:p>
        </w:tc>
        <w:tc>
          <w:tcPr>
            <w:tcW w:w="730" w:type="pct"/>
            <w:tcBorders>
              <w:tl2br w:val="nil"/>
              <w:tr2bl w:val="nil"/>
            </w:tcBorders>
            <w:noWrap w:val="0"/>
            <w:vAlign w:val="center"/>
          </w:tcPr>
          <w:p w14:paraId="4ACBDC0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0.24-0.50</w:t>
            </w:r>
          </w:p>
        </w:tc>
        <w:tc>
          <w:tcPr>
            <w:tcW w:w="678" w:type="pct"/>
            <w:tcBorders>
              <w:tl2br w:val="nil"/>
              <w:tr2bl w:val="nil"/>
            </w:tcBorders>
            <w:noWrap w:val="0"/>
            <w:vAlign w:val="center"/>
          </w:tcPr>
          <w:p w14:paraId="3BDCA722">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ascii="Times New Roman" w:hAnsi="Times New Roman" w:eastAsia="宋体" w:cs="Times New Roman"/>
                <w:b w:val="0"/>
                <w:bCs w:val="0"/>
                <w:kern w:val="2"/>
                <w:sz w:val="21"/>
                <w:szCs w:val="21"/>
                <w:u w:val="none"/>
                <w:lang w:val="en-US" w:eastAsia="zh-CN" w:bidi="ar-SA"/>
              </w:rPr>
              <w:t>2.0</w:t>
            </w:r>
          </w:p>
        </w:tc>
        <w:tc>
          <w:tcPr>
            <w:tcW w:w="684" w:type="pct"/>
            <w:tcBorders>
              <w:tl2br w:val="nil"/>
              <w:tr2bl w:val="nil"/>
            </w:tcBorders>
            <w:noWrap w:val="0"/>
            <w:vAlign w:val="center"/>
          </w:tcPr>
          <w:p w14:paraId="46ACA89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eastAsia" w:ascii="Times New Roman" w:hAnsi="Times New Roman" w:eastAsia="宋体" w:cs="Times New Roman"/>
                <w:b w:val="0"/>
                <w:bCs w:val="0"/>
                <w:color w:val="auto"/>
                <w:kern w:val="0"/>
                <w:sz w:val="21"/>
                <w:szCs w:val="21"/>
                <w:u w:val="none"/>
                <w:lang w:val="en-US" w:eastAsia="zh-CN" w:bidi="ar-SA"/>
              </w:rPr>
              <w:t>0.12-0.25</w:t>
            </w:r>
          </w:p>
        </w:tc>
        <w:tc>
          <w:tcPr>
            <w:tcW w:w="511" w:type="pct"/>
            <w:tcBorders>
              <w:tl2br w:val="nil"/>
              <w:tr2bl w:val="nil"/>
            </w:tcBorders>
            <w:noWrap w:val="0"/>
            <w:vAlign w:val="center"/>
          </w:tcPr>
          <w:p w14:paraId="4702105E">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ascii="Times New Roman" w:hAnsi="Times New Roman" w:eastAsia="宋体" w:cs="Times New Roman"/>
                <w:b w:val="0"/>
                <w:bCs w:val="0"/>
                <w:color w:val="auto"/>
                <w:kern w:val="0"/>
                <w:sz w:val="21"/>
                <w:szCs w:val="21"/>
                <w:u w:val="none"/>
                <w:lang w:val="en-US" w:eastAsia="zh-CN"/>
              </w:rPr>
              <w:t>0</w:t>
            </w:r>
          </w:p>
        </w:tc>
        <w:tc>
          <w:tcPr>
            <w:tcW w:w="558" w:type="pct"/>
            <w:tcBorders>
              <w:tl2br w:val="nil"/>
              <w:tr2bl w:val="nil"/>
            </w:tcBorders>
            <w:noWrap w:val="0"/>
            <w:vAlign w:val="center"/>
          </w:tcPr>
          <w:p w14:paraId="5EB2DD3F">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rPr>
            </w:pPr>
            <w:r>
              <w:rPr>
                <w:rFonts w:hint="eastAsia" w:eastAsia="宋体" w:cs="Times New Roman"/>
                <w:b w:val="0"/>
                <w:bCs w:val="0"/>
                <w:color w:val="auto"/>
                <w:kern w:val="0"/>
                <w:sz w:val="21"/>
                <w:szCs w:val="21"/>
                <w:u w:val="none"/>
                <w:lang w:val="en-US" w:eastAsia="zh-CN"/>
              </w:rPr>
              <w:t>达标</w:t>
            </w:r>
          </w:p>
        </w:tc>
      </w:tr>
    </w:tbl>
    <w:p w14:paraId="31BCAAC5">
      <w:pPr>
        <w:snapToGrid w:val="0"/>
        <w:spacing w:line="440" w:lineRule="exact"/>
        <w:ind w:firstLine="480" w:firstLineChars="200"/>
        <w:jc w:val="both"/>
        <w:rPr>
          <w:snapToGrid w:val="0"/>
          <w:kern w:val="0"/>
          <w:sz w:val="24"/>
        </w:rPr>
      </w:pPr>
      <w:r>
        <w:rPr>
          <w:rFonts w:hint="eastAsia"/>
          <w:color w:val="000000" w:themeColor="text1"/>
          <w:sz w:val="24"/>
          <w:szCs w:val="24"/>
          <w:highlight w:val="none"/>
          <w:lang w:val="en-US" w:eastAsia="zh-CN"/>
          <w14:textFill>
            <w14:solidFill>
              <w14:schemeClr w14:val="tx1"/>
            </w14:solidFill>
          </w14:textFill>
        </w:rPr>
        <w:t>根据上述监测结果，</w:t>
      </w:r>
      <w:r>
        <w:rPr>
          <w:rFonts w:hint="eastAsia" w:ascii="Times New Roman" w:hAnsi="Times New Roman" w:cs="Times New Roman"/>
          <w:color w:val="000000" w:themeColor="text1"/>
          <w:sz w:val="24"/>
          <w:szCs w:val="24"/>
          <w:highlight w:val="none"/>
          <w:lang w:eastAsia="zh-CN"/>
          <w14:textFill>
            <w14:solidFill>
              <w14:schemeClr w14:val="tx1"/>
            </w14:solidFill>
          </w14:textFill>
        </w:rPr>
        <w:t>评价</w:t>
      </w:r>
      <w:r>
        <w:rPr>
          <w:rFonts w:hint="default" w:ascii="Times New Roman" w:hAnsi="Times New Roman" w:cs="Times New Roman"/>
          <w:color w:val="000000" w:themeColor="text1"/>
          <w:sz w:val="24"/>
          <w:szCs w:val="24"/>
          <w:highlight w:val="none"/>
          <w:lang w:eastAsia="zh-CN"/>
          <w14:textFill>
            <w14:solidFill>
              <w14:schemeClr w14:val="tx1"/>
            </w14:solidFill>
          </w14:textFill>
        </w:rPr>
        <w:t>区域内TSP日均浓度可以满足《环境空气质量标准》（GB3095-2012）中二级标准要求；</w:t>
      </w:r>
      <w:r>
        <w:rPr>
          <w:rFonts w:hint="eastAsia"/>
          <w:color w:val="000000" w:themeColor="text1"/>
          <w:sz w:val="24"/>
          <w:szCs w:val="24"/>
          <w:highlight w:val="none"/>
          <w:lang w:val="en-US" w:eastAsia="zh-CN"/>
          <w14:textFill>
            <w14:solidFill>
              <w14:schemeClr w14:val="tx1"/>
            </w14:solidFill>
          </w14:textFill>
        </w:rPr>
        <w:t>甲醛的小时浓度可以满足《环境影响评价技术导则 大气环境》（HJ2.2-2018）附录D浓度限值</w:t>
      </w:r>
      <w:r>
        <w:rPr>
          <w:rFonts w:hint="eastAsia"/>
          <w:color w:val="000000" w:themeColor="text1"/>
          <w:sz w:val="24"/>
          <w:szCs w:val="24"/>
          <w:highlight w:val="none"/>
          <w:lang w:eastAsia="zh-CN"/>
          <w14:textFill>
            <w14:solidFill>
              <w14:schemeClr w14:val="tx1"/>
            </w14:solidFill>
          </w14:textFill>
        </w:rPr>
        <w:t>要求；</w:t>
      </w:r>
      <w:r>
        <w:rPr>
          <w:rFonts w:hint="eastAsia"/>
          <w:color w:val="000000" w:themeColor="text1"/>
          <w:sz w:val="24"/>
          <w:szCs w:val="24"/>
          <w:highlight w:val="none"/>
          <w:lang w:val="en-US" w:eastAsia="zh-CN"/>
          <w14:textFill>
            <w14:solidFill>
              <w14:schemeClr w14:val="tx1"/>
            </w14:solidFill>
          </w14:textFill>
        </w:rPr>
        <w:t>非甲烷总烃</w:t>
      </w:r>
      <w:r>
        <w:rPr>
          <w:rFonts w:hint="default" w:ascii="Times New Roman" w:hAnsi="Times New Roman" w:cs="Times New Roman"/>
          <w:color w:val="000000" w:themeColor="text1"/>
          <w:sz w:val="24"/>
          <w:szCs w:val="24"/>
          <w:highlight w:val="none"/>
          <w:lang w:eastAsia="zh-CN"/>
          <w14:textFill>
            <w14:solidFill>
              <w14:schemeClr w14:val="tx1"/>
            </w14:solidFill>
          </w14:textFill>
        </w:rPr>
        <w:t>小时</w:t>
      </w:r>
      <w:r>
        <w:rPr>
          <w:rFonts w:hint="eastAsia" w:cs="Times New Roman"/>
          <w:color w:val="000000" w:themeColor="text1"/>
          <w:sz w:val="24"/>
          <w:szCs w:val="24"/>
          <w:highlight w:val="none"/>
          <w:lang w:eastAsia="zh-CN"/>
          <w14:textFill>
            <w14:solidFill>
              <w14:schemeClr w14:val="tx1"/>
            </w14:solidFill>
          </w14:textFill>
        </w:rPr>
        <w:t>浓度</w:t>
      </w:r>
      <w:r>
        <w:rPr>
          <w:rFonts w:hint="default" w:ascii="Times New Roman" w:hAnsi="Times New Roman" w:cs="Times New Roman"/>
          <w:color w:val="000000" w:themeColor="text1"/>
          <w:sz w:val="24"/>
          <w:szCs w:val="24"/>
          <w:highlight w:val="none"/>
          <w:lang w:eastAsia="zh-CN"/>
          <w14:textFill>
            <w14:solidFill>
              <w14:schemeClr w14:val="tx1"/>
            </w14:solidFill>
          </w14:textFill>
        </w:rPr>
        <w:t>可以满足《大气污染物综合排放标准详解》</w:t>
      </w:r>
      <w:r>
        <w:rPr>
          <w:rFonts w:hint="eastAsia"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cs="Times New Roman"/>
          <w:color w:val="000000" w:themeColor="text1"/>
          <w:sz w:val="24"/>
          <w:szCs w:val="24"/>
          <w:highlight w:val="none"/>
          <w:lang w:eastAsia="zh-CN"/>
          <w14:textFill>
            <w14:solidFill>
              <w14:schemeClr w14:val="tx1"/>
            </w14:solidFill>
          </w14:textFill>
        </w:rPr>
        <w:t>限值要求。</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表明区域大气环境质量现状较好，有一定的环境容量。</w:t>
      </w:r>
    </w:p>
    <w:p w14:paraId="35F56727">
      <w:pPr>
        <w:pStyle w:val="3"/>
      </w:pPr>
      <w:bookmarkStart w:id="202" w:name="_Toc15857"/>
      <w:bookmarkStart w:id="203" w:name="_Toc11817"/>
      <w:bookmarkStart w:id="204" w:name="_Toc161600315"/>
      <w:bookmarkStart w:id="205" w:name="_Toc2881"/>
      <w:r>
        <w:rPr>
          <w:rFonts w:hint="eastAsia"/>
        </w:rPr>
        <w:t>3</w:t>
      </w:r>
      <w:r>
        <w:t>.4.环境空气质量现状评价结论</w:t>
      </w:r>
      <w:bookmarkEnd w:id="202"/>
      <w:bookmarkEnd w:id="203"/>
      <w:bookmarkEnd w:id="204"/>
      <w:bookmarkEnd w:id="205"/>
    </w:p>
    <w:p w14:paraId="715EC436">
      <w:pPr>
        <w:snapToGrid w:val="0"/>
        <w:spacing w:line="440" w:lineRule="exact"/>
        <w:ind w:firstLine="480" w:firstLineChars="200"/>
        <w:jc w:val="left"/>
        <w:rPr>
          <w:kern w:val="0"/>
          <w:sz w:val="24"/>
        </w:rPr>
      </w:pPr>
      <w:r>
        <w:rPr>
          <w:snapToGrid w:val="0"/>
          <w:kern w:val="0"/>
          <w:sz w:val="24"/>
        </w:rPr>
        <w:t>据</w:t>
      </w:r>
      <w:r>
        <w:rPr>
          <w:kern w:val="0"/>
          <w:sz w:val="24"/>
        </w:rPr>
        <w:t>《检测报告》与</w:t>
      </w:r>
      <w:r>
        <w:rPr>
          <w:sz w:val="24"/>
          <w:szCs w:val="20"/>
        </w:rPr>
        <w:t>《2023年河南省南阳市生态环境质量报告》</w:t>
      </w:r>
      <w:r>
        <w:rPr>
          <w:snapToGrid w:val="0"/>
          <w:kern w:val="0"/>
          <w:sz w:val="24"/>
        </w:rPr>
        <w:t>，项目所在区域</w:t>
      </w:r>
      <w:r>
        <w:rPr>
          <w:kern w:val="0"/>
          <w:sz w:val="24"/>
        </w:rPr>
        <w:t>环境空气质量</w:t>
      </w:r>
      <w:r>
        <w:rPr>
          <w:bCs/>
          <w:sz w:val="24"/>
        </w:rPr>
        <w:t>除PM</w:t>
      </w:r>
      <w:r>
        <w:rPr>
          <w:bCs/>
          <w:sz w:val="24"/>
          <w:vertAlign w:val="subscript"/>
        </w:rPr>
        <w:t>10</w:t>
      </w:r>
      <w:r>
        <w:rPr>
          <w:bCs/>
          <w:sz w:val="24"/>
        </w:rPr>
        <w:t>、PM</w:t>
      </w:r>
      <w:r>
        <w:rPr>
          <w:bCs/>
          <w:sz w:val="24"/>
          <w:vertAlign w:val="subscript"/>
        </w:rPr>
        <w:t>2.5</w:t>
      </w:r>
      <w:r>
        <w:rPr>
          <w:bCs/>
          <w:sz w:val="24"/>
        </w:rPr>
        <w:t>超标外，其他评价指标均满足《环境空气质量标准》（GB 3095-2012）二级标准要求</w:t>
      </w:r>
      <w:r>
        <w:rPr>
          <w:rFonts w:hint="eastAsia"/>
          <w:kern w:val="0"/>
          <w:sz w:val="24"/>
          <w:lang w:eastAsia="zh-CN"/>
        </w:rPr>
        <w:t>、</w:t>
      </w:r>
      <w:r>
        <w:rPr>
          <w:kern w:val="0"/>
          <w:sz w:val="24"/>
        </w:rPr>
        <w:t>《环境影响评价技术导则 大气环境》（HJ2.2-2018）附录D表D.1其他污染物空气质量浓度参考限值要求</w:t>
      </w:r>
      <w:r>
        <w:rPr>
          <w:rFonts w:hint="eastAsia"/>
          <w:kern w:val="0"/>
          <w:sz w:val="24"/>
          <w:lang w:val="en-US" w:eastAsia="zh-CN"/>
        </w:rPr>
        <w:t>和</w:t>
      </w:r>
      <w:r>
        <w:rPr>
          <w:rFonts w:hint="default" w:ascii="Times New Roman" w:hAnsi="Times New Roman" w:cs="Times New Roman"/>
          <w:color w:val="000000" w:themeColor="text1"/>
          <w:sz w:val="24"/>
          <w:szCs w:val="24"/>
          <w:highlight w:val="none"/>
          <w:lang w:eastAsia="zh-CN"/>
          <w14:textFill>
            <w14:solidFill>
              <w14:schemeClr w14:val="tx1"/>
            </w14:solidFill>
          </w14:textFill>
        </w:rPr>
        <w:t>《大气污染物综合排放标准详解》</w:t>
      </w:r>
      <w:r>
        <w:rPr>
          <w:rFonts w:hint="eastAsia"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cs="Times New Roman"/>
          <w:color w:val="000000" w:themeColor="text1"/>
          <w:sz w:val="24"/>
          <w:szCs w:val="24"/>
          <w:highlight w:val="none"/>
          <w:lang w:eastAsia="zh-CN"/>
          <w14:textFill>
            <w14:solidFill>
              <w14:schemeClr w14:val="tx1"/>
            </w14:solidFill>
          </w14:textFill>
        </w:rPr>
        <w:t>限值要求</w:t>
      </w:r>
      <w:r>
        <w:rPr>
          <w:kern w:val="0"/>
          <w:sz w:val="24"/>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表明区域大气环境质量现状较好，有一定的环境容量。</w:t>
      </w:r>
    </w:p>
    <w:p w14:paraId="5CCCDA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kern w:val="0"/>
          <w:sz w:val="24"/>
          <w:lang w:eastAsia="zh-TW"/>
        </w:rPr>
      </w:pPr>
      <w:r>
        <w:rPr>
          <w:sz w:val="24"/>
          <w:lang w:eastAsia="zh-TW" w:bidi="ar"/>
        </w:rPr>
        <w:t>为此，南阳市生态环境保护委员会已经制定了《南阳市2025年蓝天保卫战实施方案》（宛环委办〔2025〕5号），</w:t>
      </w:r>
      <w:r>
        <w:rPr>
          <w:rFonts w:hint="eastAsia"/>
          <w:color w:val="auto"/>
          <w:sz w:val="24"/>
          <w:u w:val="none"/>
        </w:rPr>
        <w:t>通过依法依规淘汰落后低效产能、推进产业集群综合整治、加快燃煤锅炉关停整合、实施工业炉窑清洁能源替代、工业企业提标治理、移动源污染排放控制、面源污染防控、重污染天气应对、监管能力提升等措施，可有效控制与消减区域大气污染物排放，区域环境空气质量将逐步改善。</w:t>
      </w:r>
    </w:p>
    <w:p w14:paraId="42983B37">
      <w:pPr>
        <w:snapToGrid w:val="0"/>
        <w:spacing w:line="440" w:lineRule="exact"/>
        <w:ind w:firstLine="480" w:firstLineChars="200"/>
        <w:jc w:val="left"/>
        <w:rPr>
          <w:color w:val="000000"/>
          <w:kern w:val="0"/>
          <w:sz w:val="24"/>
        </w:rPr>
        <w:sectPr>
          <w:pgSz w:w="11905" w:h="16838"/>
          <w:pgMar w:top="1440" w:right="1083" w:bottom="1440" w:left="1083" w:header="850" w:footer="992" w:gutter="0"/>
          <w:cols w:space="720" w:num="1"/>
          <w:titlePg/>
          <w:docGrid w:type="lines" w:linePitch="318" w:charSpace="0"/>
        </w:sectPr>
      </w:pPr>
    </w:p>
    <w:p w14:paraId="24B4E426">
      <w:pPr>
        <w:pStyle w:val="2"/>
        <w:jc w:val="center"/>
        <w:rPr>
          <w:color w:val="000000"/>
        </w:rPr>
      </w:pPr>
      <w:bookmarkStart w:id="206" w:name="_Toc161600316"/>
      <w:bookmarkStart w:id="207" w:name="_Toc8655"/>
      <w:bookmarkStart w:id="208" w:name="_Toc17877"/>
      <w:bookmarkStart w:id="209" w:name="_Toc8041"/>
      <w:bookmarkStart w:id="210" w:name="_Toc86845763"/>
      <w:bookmarkStart w:id="211" w:name="_Toc1145"/>
      <w:bookmarkStart w:id="212" w:name="_Toc18134"/>
      <w:bookmarkStart w:id="213" w:name="_Toc23429"/>
      <w:bookmarkStart w:id="214" w:name="_Toc3325"/>
      <w:r>
        <w:rPr>
          <w:rFonts w:hint="eastAsia"/>
          <w:color w:val="000000"/>
        </w:rPr>
        <w:t xml:space="preserve">第4章 </w:t>
      </w:r>
      <w:r>
        <w:rPr>
          <w:color w:val="000000"/>
        </w:rPr>
        <w:t>大气环境影响评价</w:t>
      </w:r>
      <w:bookmarkEnd w:id="206"/>
      <w:bookmarkEnd w:id="207"/>
      <w:bookmarkEnd w:id="208"/>
      <w:bookmarkEnd w:id="209"/>
      <w:bookmarkEnd w:id="210"/>
      <w:bookmarkEnd w:id="211"/>
      <w:bookmarkEnd w:id="212"/>
      <w:bookmarkEnd w:id="213"/>
      <w:bookmarkEnd w:id="214"/>
    </w:p>
    <w:p w14:paraId="23E19F7E">
      <w:pPr>
        <w:pStyle w:val="3"/>
        <w:rPr>
          <w:color w:val="000000"/>
        </w:rPr>
      </w:pPr>
      <w:bookmarkStart w:id="215" w:name="_Toc5275"/>
      <w:bookmarkStart w:id="216" w:name="_Toc161600317"/>
      <w:bookmarkStart w:id="217" w:name="_Toc86845764"/>
      <w:bookmarkStart w:id="218" w:name="_Toc16747"/>
      <w:bookmarkStart w:id="219" w:name="_Toc21402"/>
      <w:bookmarkStart w:id="220" w:name="_Toc29675"/>
      <w:r>
        <w:rPr>
          <w:rFonts w:hint="eastAsia"/>
          <w:color w:val="000000"/>
        </w:rPr>
        <w:t>4</w:t>
      </w:r>
      <w:r>
        <w:rPr>
          <w:color w:val="000000"/>
        </w:rPr>
        <w:t>.1.评价因子与评价内容</w:t>
      </w:r>
      <w:bookmarkEnd w:id="215"/>
      <w:bookmarkEnd w:id="216"/>
      <w:bookmarkEnd w:id="217"/>
      <w:bookmarkEnd w:id="218"/>
      <w:bookmarkEnd w:id="219"/>
      <w:bookmarkEnd w:id="220"/>
    </w:p>
    <w:p w14:paraId="76748360">
      <w:pPr>
        <w:bidi w:val="0"/>
      </w:pPr>
      <w:bookmarkStart w:id="221" w:name="_Toc25819"/>
      <w:bookmarkStart w:id="222" w:name="_Toc8246"/>
      <w:bookmarkStart w:id="223" w:name="_Toc107"/>
      <w:bookmarkStart w:id="224" w:name="_Toc16337"/>
      <w:r>
        <w:t>（1）评价因子</w:t>
      </w:r>
      <w:bookmarkEnd w:id="221"/>
      <w:bookmarkEnd w:id="222"/>
      <w:bookmarkEnd w:id="223"/>
      <w:bookmarkEnd w:id="224"/>
    </w:p>
    <w:p w14:paraId="72319E09">
      <w:pPr>
        <w:bidi w:val="0"/>
      </w:pPr>
      <w:r>
        <w:t>根据工程分析内容，筛选出的污染源及评价因子为：</w:t>
      </w:r>
    </w:p>
    <w:p w14:paraId="33715AB9">
      <w:pPr>
        <w:bidi w:val="0"/>
      </w:pPr>
      <w:r>
        <w:rPr>
          <w:rFonts w:hint="eastAsia"/>
        </w:rPr>
        <w:t>①</w:t>
      </w:r>
      <w:r>
        <w:t>有组织排放废气：</w:t>
      </w:r>
      <w:r>
        <w:rPr>
          <w:rFonts w:hint="eastAsia"/>
        </w:rPr>
        <w:t>PM</w:t>
      </w:r>
      <w:r>
        <w:rPr>
          <w:rFonts w:hint="eastAsia"/>
          <w:vertAlign w:val="subscript"/>
        </w:rPr>
        <w:t>10</w:t>
      </w:r>
      <w:r>
        <w:t>、NMHC、甲醛</w:t>
      </w:r>
    </w:p>
    <w:p w14:paraId="640C10DC">
      <w:pPr>
        <w:bidi w:val="0"/>
      </w:pPr>
      <w:r>
        <w:rPr>
          <w:rFonts w:hint="eastAsia"/>
        </w:rPr>
        <w:t>②</w:t>
      </w:r>
      <w:r>
        <w:t>无组织废气：TSP、NMHC、甲醛</w:t>
      </w:r>
    </w:p>
    <w:p w14:paraId="03B968B3">
      <w:pPr>
        <w:bidi w:val="0"/>
      </w:pPr>
      <w:bookmarkStart w:id="225" w:name="_Toc14294"/>
      <w:bookmarkStart w:id="226" w:name="_Toc6539"/>
      <w:bookmarkStart w:id="227" w:name="_Toc12562"/>
      <w:bookmarkStart w:id="228" w:name="_Toc16128"/>
      <w:r>
        <w:t>（2）评价内容</w:t>
      </w:r>
      <w:bookmarkEnd w:id="225"/>
      <w:bookmarkEnd w:id="226"/>
      <w:bookmarkEnd w:id="227"/>
      <w:bookmarkEnd w:id="228"/>
    </w:p>
    <w:p w14:paraId="0C452A2D">
      <w:pPr>
        <w:bidi w:val="0"/>
      </w:pPr>
      <w:r>
        <w:t>预测废气的最大落地浓度及距离，无组织排放厂界、敏感点浓度和环境保护距离。</w:t>
      </w:r>
    </w:p>
    <w:p w14:paraId="3F0F89F1">
      <w:pPr>
        <w:pStyle w:val="3"/>
        <w:rPr>
          <w:color w:val="000000"/>
        </w:rPr>
      </w:pPr>
      <w:bookmarkStart w:id="229" w:name="_Toc161600318"/>
      <w:bookmarkStart w:id="230" w:name="_Toc9183"/>
      <w:bookmarkStart w:id="231" w:name="_Toc662"/>
      <w:bookmarkStart w:id="232" w:name="_Toc27613"/>
      <w:r>
        <w:rPr>
          <w:rFonts w:hint="eastAsia"/>
          <w:color w:val="000000"/>
        </w:rPr>
        <w:t>4</w:t>
      </w:r>
      <w:r>
        <w:rPr>
          <w:color w:val="000000"/>
        </w:rPr>
        <w:t>.2.预测模式</w:t>
      </w:r>
      <w:bookmarkEnd w:id="229"/>
      <w:bookmarkEnd w:id="230"/>
      <w:bookmarkEnd w:id="231"/>
      <w:bookmarkEnd w:id="232"/>
    </w:p>
    <w:p w14:paraId="0B750D12">
      <w:pPr>
        <w:bidi w:val="0"/>
      </w:pPr>
      <w:bookmarkStart w:id="233" w:name="_Toc93766446"/>
      <w:r>
        <w:t>（1）估算模式</w:t>
      </w:r>
      <w:bookmarkEnd w:id="233"/>
    </w:p>
    <w:p w14:paraId="75E2A9FF">
      <w:pPr>
        <w:bidi w:val="0"/>
      </w:pPr>
      <w:r>
        <w:t>据《环境影响评价技术导则大气环境》（HJ 2.2-2018）要求，所有项目在进行大气环境影响评价时，均优先采用导则附录A所列估算模式进行预测，并根据结果来确定评价等级，对于一级评价项目，需要选择推荐的AERMOD模式等开展进一步预测；而对于二、三级项目，则不需要进一步预测。依据估算分析可知，项目为二级评价，故只涉及估算模式。项目采用估算模式AERSCREEN对正常工况下各污染源各污染物分别进行估算。</w:t>
      </w:r>
    </w:p>
    <w:p w14:paraId="5341D966">
      <w:pPr>
        <w:bidi w:val="0"/>
      </w:pPr>
      <w:bookmarkStart w:id="234" w:name="_Toc2475"/>
      <w:bookmarkStart w:id="235" w:name="_Toc28624"/>
      <w:bookmarkStart w:id="236" w:name="_Toc773"/>
      <w:bookmarkStart w:id="237" w:name="_Toc26932"/>
      <w:r>
        <w:t>（2）计算参数</w:t>
      </w:r>
      <w:bookmarkEnd w:id="234"/>
      <w:bookmarkEnd w:id="235"/>
      <w:bookmarkEnd w:id="236"/>
      <w:bookmarkEnd w:id="237"/>
    </w:p>
    <w:p w14:paraId="0D900228">
      <w:pPr>
        <w:bidi w:val="0"/>
      </w:pPr>
      <w:r>
        <w:t>据《环境影响评价技术导则 大气环境》（HJ2.2-2018）要求，选择正常排放情况下排放的污染物，采用估算模式AERSCREEN对正常工况下各污染源各污染物分别进行估算以确定评价等级，计算参数见表4.2-1。</w:t>
      </w:r>
    </w:p>
    <w:p w14:paraId="78F19E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表4.2-1  估算模式参数表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7"/>
        <w:gridCol w:w="3319"/>
        <w:gridCol w:w="3319"/>
      </w:tblGrid>
      <w:tr w14:paraId="52067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37" w:type="dxa"/>
            <w:gridSpan w:val="2"/>
            <w:noWrap w:val="0"/>
            <w:vAlign w:val="center"/>
          </w:tcPr>
          <w:p w14:paraId="6A38F76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参数</w:t>
            </w:r>
          </w:p>
        </w:tc>
        <w:tc>
          <w:tcPr>
            <w:tcW w:w="3319" w:type="dxa"/>
            <w:noWrap w:val="0"/>
            <w:vAlign w:val="center"/>
          </w:tcPr>
          <w:p w14:paraId="12399D5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取值</w:t>
            </w:r>
          </w:p>
        </w:tc>
      </w:tr>
      <w:tr w14:paraId="46F1B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noWrap w:val="0"/>
            <w:vAlign w:val="center"/>
          </w:tcPr>
          <w:p w14:paraId="500A6C2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城市/农村选项</w:t>
            </w:r>
          </w:p>
        </w:tc>
        <w:tc>
          <w:tcPr>
            <w:tcW w:w="3319" w:type="dxa"/>
            <w:noWrap w:val="0"/>
            <w:vAlign w:val="center"/>
          </w:tcPr>
          <w:p w14:paraId="0642A05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城市/农村</w:t>
            </w:r>
          </w:p>
        </w:tc>
        <w:tc>
          <w:tcPr>
            <w:tcW w:w="3319" w:type="dxa"/>
            <w:noWrap w:val="0"/>
            <w:vAlign w:val="center"/>
          </w:tcPr>
          <w:p w14:paraId="5726785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default" w:eastAsia="宋体"/>
                <w:color w:val="000000"/>
                <w:lang w:val="en-US" w:eastAsia="zh-CN"/>
              </w:rPr>
            </w:pPr>
            <w:r>
              <w:rPr>
                <w:rFonts w:hint="eastAsia"/>
                <w:color w:val="000000"/>
                <w:lang w:val="en-US" w:eastAsia="zh-CN"/>
              </w:rPr>
              <w:t>城市</w:t>
            </w:r>
          </w:p>
        </w:tc>
      </w:tr>
      <w:tr w14:paraId="5B327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noWrap w:val="0"/>
            <w:vAlign w:val="center"/>
          </w:tcPr>
          <w:p w14:paraId="005A063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3319" w:type="dxa"/>
            <w:noWrap w:val="0"/>
            <w:vAlign w:val="center"/>
          </w:tcPr>
          <w:p w14:paraId="1EF3EBB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人口数（城市选项时）</w:t>
            </w:r>
          </w:p>
        </w:tc>
        <w:tc>
          <w:tcPr>
            <w:tcW w:w="3319" w:type="dxa"/>
            <w:noWrap w:val="0"/>
            <w:vAlign w:val="center"/>
          </w:tcPr>
          <w:p w14:paraId="27150CE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250000</w:t>
            </w:r>
          </w:p>
        </w:tc>
      </w:tr>
      <w:tr w14:paraId="0326F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37" w:type="dxa"/>
            <w:gridSpan w:val="2"/>
            <w:noWrap w:val="0"/>
            <w:vAlign w:val="center"/>
          </w:tcPr>
          <w:p w14:paraId="1E9FBC7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最高环境温度/℃</w:t>
            </w:r>
          </w:p>
        </w:tc>
        <w:tc>
          <w:tcPr>
            <w:tcW w:w="3319" w:type="dxa"/>
            <w:noWrap w:val="0"/>
            <w:vAlign w:val="center"/>
          </w:tcPr>
          <w:p w14:paraId="6E9D94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lang w:val="en-US" w:eastAsia="zh-CN"/>
              </w:rPr>
            </w:pPr>
            <w:r>
              <w:rPr>
                <w:rFonts w:hint="eastAsia" w:ascii="Times New Roman" w:hAnsi="Times New Roman" w:cs="Times New Roman"/>
                <w:b w:val="0"/>
                <w:bCs/>
                <w:sz w:val="21"/>
                <w:szCs w:val="21"/>
                <w:lang w:val="en-US" w:eastAsia="zh-CN"/>
              </w:rPr>
              <w:t>41.40</w:t>
            </w:r>
          </w:p>
        </w:tc>
      </w:tr>
      <w:tr w14:paraId="6ACCA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37" w:type="dxa"/>
            <w:gridSpan w:val="2"/>
            <w:noWrap w:val="0"/>
            <w:vAlign w:val="center"/>
          </w:tcPr>
          <w:p w14:paraId="1514638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最低环境气温/℃</w:t>
            </w:r>
          </w:p>
        </w:tc>
        <w:tc>
          <w:tcPr>
            <w:tcW w:w="3319" w:type="dxa"/>
            <w:noWrap w:val="0"/>
            <w:vAlign w:val="center"/>
          </w:tcPr>
          <w:p w14:paraId="450363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lang w:val="en-US"/>
              </w:rPr>
            </w:pPr>
            <w:r>
              <w:rPr>
                <w:rFonts w:hint="default" w:ascii="Times New Roman" w:hAnsi="Times New Roman" w:cs="Times New Roman"/>
                <w:b w:val="0"/>
                <w:bCs/>
                <w:sz w:val="21"/>
                <w:szCs w:val="21"/>
              </w:rPr>
              <w:t>-</w:t>
            </w:r>
            <w:r>
              <w:rPr>
                <w:rFonts w:hint="eastAsia" w:ascii="Times New Roman" w:hAnsi="Times New Roman" w:cs="Times New Roman"/>
                <w:b w:val="0"/>
                <w:bCs/>
                <w:sz w:val="21"/>
                <w:szCs w:val="21"/>
                <w:lang w:val="en-US" w:eastAsia="zh-CN"/>
              </w:rPr>
              <w:t>21.2</w:t>
            </w:r>
          </w:p>
        </w:tc>
      </w:tr>
      <w:tr w14:paraId="48E53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37" w:type="dxa"/>
            <w:gridSpan w:val="2"/>
            <w:noWrap w:val="0"/>
            <w:vAlign w:val="center"/>
          </w:tcPr>
          <w:p w14:paraId="106F37E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土地利用类型</w:t>
            </w:r>
          </w:p>
        </w:tc>
        <w:tc>
          <w:tcPr>
            <w:tcW w:w="3319" w:type="dxa"/>
            <w:noWrap w:val="0"/>
            <w:vAlign w:val="center"/>
          </w:tcPr>
          <w:p w14:paraId="6ABDAD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lang w:eastAsia="zh-CN"/>
              </w:rPr>
            </w:pPr>
            <w:r>
              <w:rPr>
                <w:rFonts w:hint="eastAsia" w:ascii="Times New Roman" w:hAnsi="Times New Roman" w:cs="Times New Roman"/>
                <w:b w:val="0"/>
                <w:bCs/>
                <w:sz w:val="21"/>
                <w:szCs w:val="21"/>
                <w:lang w:val="en-US" w:eastAsia="zh-CN"/>
              </w:rPr>
              <w:t>城市</w:t>
            </w:r>
          </w:p>
        </w:tc>
      </w:tr>
      <w:tr w14:paraId="299E0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37" w:type="dxa"/>
            <w:gridSpan w:val="2"/>
            <w:noWrap w:val="0"/>
            <w:vAlign w:val="center"/>
          </w:tcPr>
          <w:p w14:paraId="5E994D5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区域湿度条件</w:t>
            </w:r>
          </w:p>
        </w:tc>
        <w:tc>
          <w:tcPr>
            <w:tcW w:w="3319" w:type="dxa"/>
            <w:noWrap w:val="0"/>
            <w:vAlign w:val="center"/>
          </w:tcPr>
          <w:p w14:paraId="0746E7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lang w:eastAsia="zh-CN"/>
              </w:rPr>
            </w:pPr>
            <w:r>
              <w:rPr>
                <w:rFonts w:hint="eastAsia" w:ascii="Times New Roman" w:hAnsi="Times New Roman" w:cs="Times New Roman"/>
                <w:b w:val="0"/>
                <w:bCs/>
                <w:sz w:val="21"/>
                <w:szCs w:val="21"/>
                <w:lang w:val="en-US" w:eastAsia="zh-CN"/>
              </w:rPr>
              <w:t>潮湿</w:t>
            </w:r>
          </w:p>
        </w:tc>
      </w:tr>
      <w:tr w14:paraId="6AA83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noWrap w:val="0"/>
            <w:vAlign w:val="center"/>
          </w:tcPr>
          <w:p w14:paraId="078842F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是否考虑地形</w:t>
            </w:r>
          </w:p>
        </w:tc>
        <w:tc>
          <w:tcPr>
            <w:tcW w:w="3319" w:type="dxa"/>
            <w:noWrap w:val="0"/>
            <w:vAlign w:val="center"/>
          </w:tcPr>
          <w:p w14:paraId="1556628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考虑地形</w:t>
            </w:r>
          </w:p>
        </w:tc>
        <w:tc>
          <w:tcPr>
            <w:tcW w:w="3319" w:type="dxa"/>
            <w:noWrap w:val="0"/>
            <w:vAlign w:val="center"/>
          </w:tcPr>
          <w:p w14:paraId="4A32F8F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default" w:eastAsia="宋体"/>
                <w:color w:val="000000"/>
                <w:lang w:val="en-US" w:eastAsia="zh-CN"/>
              </w:rPr>
            </w:pPr>
            <w:r>
              <w:rPr>
                <w:rFonts w:hint="eastAsia"/>
                <w:color w:val="000000"/>
                <w:lang w:val="en-US" w:eastAsia="zh-CN"/>
              </w:rPr>
              <w:t>否</w:t>
            </w:r>
          </w:p>
        </w:tc>
      </w:tr>
      <w:tr w14:paraId="0BD7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noWrap w:val="0"/>
            <w:vAlign w:val="center"/>
          </w:tcPr>
          <w:p w14:paraId="219DE78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3319" w:type="dxa"/>
            <w:noWrap w:val="0"/>
            <w:vAlign w:val="center"/>
          </w:tcPr>
          <w:p w14:paraId="618D04D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地形数据分辨率/m</w:t>
            </w:r>
          </w:p>
        </w:tc>
        <w:tc>
          <w:tcPr>
            <w:tcW w:w="3319" w:type="dxa"/>
            <w:noWrap w:val="0"/>
            <w:vAlign w:val="center"/>
          </w:tcPr>
          <w:p w14:paraId="15C7171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color w:val="000000"/>
                <w:lang w:eastAsia="zh-CN"/>
              </w:rPr>
            </w:pPr>
            <w:r>
              <w:rPr>
                <w:rFonts w:hint="eastAsia"/>
                <w:color w:val="000000"/>
                <w:lang w:val="en-US" w:eastAsia="zh-CN"/>
              </w:rPr>
              <w:t>/</w:t>
            </w:r>
          </w:p>
        </w:tc>
      </w:tr>
      <w:tr w14:paraId="79B0A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restart"/>
            <w:noWrap w:val="0"/>
            <w:vAlign w:val="center"/>
          </w:tcPr>
          <w:p w14:paraId="415753B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是否考虑岸线熏烟</w:t>
            </w:r>
          </w:p>
        </w:tc>
        <w:tc>
          <w:tcPr>
            <w:tcW w:w="3319" w:type="dxa"/>
            <w:noWrap w:val="0"/>
            <w:vAlign w:val="center"/>
          </w:tcPr>
          <w:p w14:paraId="169E25C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考虑岸线熏烟</w:t>
            </w:r>
          </w:p>
        </w:tc>
        <w:tc>
          <w:tcPr>
            <w:tcW w:w="3319" w:type="dxa"/>
            <w:noWrap w:val="0"/>
            <w:vAlign w:val="center"/>
          </w:tcPr>
          <w:p w14:paraId="2632DE8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否</w:t>
            </w:r>
          </w:p>
        </w:tc>
      </w:tr>
      <w:tr w14:paraId="2801B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noWrap w:val="0"/>
            <w:vAlign w:val="center"/>
          </w:tcPr>
          <w:p w14:paraId="6F903D8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3319" w:type="dxa"/>
            <w:noWrap w:val="0"/>
            <w:vAlign w:val="center"/>
          </w:tcPr>
          <w:p w14:paraId="1595DFD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岸线距离/km</w:t>
            </w:r>
          </w:p>
        </w:tc>
        <w:tc>
          <w:tcPr>
            <w:tcW w:w="3319" w:type="dxa"/>
            <w:noWrap w:val="0"/>
            <w:vAlign w:val="center"/>
          </w:tcPr>
          <w:p w14:paraId="7984F61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w:t>
            </w:r>
          </w:p>
        </w:tc>
      </w:tr>
      <w:tr w14:paraId="617D1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18" w:type="dxa"/>
            <w:vMerge w:val="continue"/>
            <w:noWrap w:val="0"/>
            <w:vAlign w:val="center"/>
          </w:tcPr>
          <w:p w14:paraId="57CF951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3319" w:type="dxa"/>
            <w:noWrap w:val="0"/>
            <w:vAlign w:val="center"/>
          </w:tcPr>
          <w:p w14:paraId="43778A1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岸线方向/°</w:t>
            </w:r>
          </w:p>
        </w:tc>
        <w:tc>
          <w:tcPr>
            <w:tcW w:w="3319" w:type="dxa"/>
            <w:noWrap w:val="0"/>
            <w:vAlign w:val="center"/>
          </w:tcPr>
          <w:p w14:paraId="526E2C7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w:t>
            </w:r>
          </w:p>
        </w:tc>
      </w:tr>
    </w:tbl>
    <w:p w14:paraId="47B21E92">
      <w:pPr>
        <w:pStyle w:val="3"/>
        <w:rPr>
          <w:color w:val="000000"/>
        </w:rPr>
      </w:pPr>
      <w:bookmarkStart w:id="238" w:name="_Toc161600319"/>
      <w:bookmarkStart w:id="239" w:name="_Toc2067"/>
      <w:bookmarkStart w:id="240" w:name="_Toc30363"/>
      <w:bookmarkStart w:id="241" w:name="_Toc108012767"/>
      <w:bookmarkStart w:id="242" w:name="_Toc16815"/>
      <w:bookmarkStart w:id="243" w:name="_Toc17126"/>
      <w:bookmarkStart w:id="244" w:name="_Toc22742"/>
      <w:bookmarkStart w:id="245" w:name="_Toc107498422"/>
      <w:bookmarkStart w:id="246" w:name="_Toc14599"/>
      <w:bookmarkStart w:id="247" w:name="_Toc17155"/>
      <w:bookmarkStart w:id="248" w:name="_Toc8610"/>
      <w:bookmarkStart w:id="249" w:name="_Toc19176"/>
      <w:r>
        <w:rPr>
          <w:rFonts w:hint="eastAsia"/>
          <w:color w:val="000000"/>
        </w:rPr>
        <w:t>4</w:t>
      </w:r>
      <w:r>
        <w:rPr>
          <w:color w:val="000000"/>
        </w:rPr>
        <w:t>.3.预测源强</w:t>
      </w:r>
      <w:bookmarkEnd w:id="238"/>
      <w:bookmarkEnd w:id="239"/>
      <w:bookmarkEnd w:id="240"/>
      <w:bookmarkEnd w:id="241"/>
      <w:bookmarkEnd w:id="242"/>
      <w:bookmarkEnd w:id="243"/>
      <w:bookmarkEnd w:id="244"/>
      <w:bookmarkEnd w:id="245"/>
      <w:bookmarkEnd w:id="246"/>
      <w:bookmarkEnd w:id="247"/>
      <w:bookmarkEnd w:id="248"/>
      <w:bookmarkEnd w:id="249"/>
    </w:p>
    <w:p w14:paraId="491902DC">
      <w:pPr>
        <w:snapToGrid w:val="0"/>
        <w:spacing w:line="440" w:lineRule="exact"/>
        <w:ind w:firstLine="480" w:firstLineChars="200"/>
        <w:jc w:val="left"/>
        <w:rPr>
          <w:color w:val="000000"/>
          <w:sz w:val="24"/>
        </w:rPr>
      </w:pPr>
      <w:bookmarkStart w:id="250" w:name="_Toc93766447"/>
      <w:r>
        <w:rPr>
          <w:color w:val="000000"/>
          <w:sz w:val="24"/>
        </w:rPr>
        <w:t>据《环境影响评价技术导则 大气环境》（HJ2.2-2018）规定及要求，采用AERSCREEN模型对项目有组织废气和无组织废气进行预测，正常排放参数详见表4.3-1～表4.3-2，非正常排放源强详见表4.3-3。</w:t>
      </w:r>
      <w:bookmarkEnd w:id="250"/>
    </w:p>
    <w:p w14:paraId="16EB324D">
      <w:pPr>
        <w:pStyle w:val="32"/>
        <w:spacing w:line="440" w:lineRule="exact"/>
        <w:rPr>
          <w:color w:val="000000"/>
          <w:spacing w:val="0"/>
          <w:szCs w:val="24"/>
        </w:rPr>
      </w:pPr>
      <w:r>
        <w:rPr>
          <w:color w:val="000000"/>
          <w:spacing w:val="0"/>
          <w:szCs w:val="24"/>
        </w:rPr>
        <w:t xml:space="preserve">表4.3-1  主要废气污染源参数一览表(点源) </w:t>
      </w:r>
    </w:p>
    <w:tbl>
      <w:tblPr>
        <w:tblStyle w:val="28"/>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377"/>
        <w:gridCol w:w="1472"/>
        <w:gridCol w:w="755"/>
        <w:gridCol w:w="485"/>
        <w:gridCol w:w="485"/>
        <w:gridCol w:w="491"/>
        <w:gridCol w:w="634"/>
        <w:gridCol w:w="686"/>
        <w:gridCol w:w="573"/>
        <w:gridCol w:w="643"/>
        <w:gridCol w:w="725"/>
        <w:gridCol w:w="659"/>
      </w:tblGrid>
      <w:tr w14:paraId="5CF09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vMerge w:val="restart"/>
            <w:noWrap w:val="0"/>
            <w:tcMar>
              <w:top w:w="28" w:type="dxa"/>
              <w:left w:w="28" w:type="dxa"/>
              <w:bottom w:w="28" w:type="dxa"/>
              <w:right w:w="28" w:type="dxa"/>
            </w:tcMar>
            <w:vAlign w:val="center"/>
          </w:tcPr>
          <w:p w14:paraId="4A801EDE">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污染源</w:t>
            </w:r>
          </w:p>
          <w:p w14:paraId="729B684F">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名称</w:t>
            </w:r>
          </w:p>
        </w:tc>
        <w:tc>
          <w:tcPr>
            <w:tcW w:w="1457" w:type="pct"/>
            <w:gridSpan w:val="2"/>
            <w:noWrap w:val="0"/>
            <w:tcMar>
              <w:top w:w="28" w:type="dxa"/>
              <w:left w:w="28" w:type="dxa"/>
              <w:bottom w:w="28" w:type="dxa"/>
              <w:right w:w="28" w:type="dxa"/>
            </w:tcMar>
            <w:vAlign w:val="center"/>
          </w:tcPr>
          <w:p w14:paraId="60C931E0">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排气筒底部中心坐标(°)</w:t>
            </w:r>
          </w:p>
        </w:tc>
        <w:tc>
          <w:tcPr>
            <w:tcW w:w="386" w:type="pct"/>
            <w:vMerge w:val="restart"/>
            <w:noWrap w:val="0"/>
            <w:tcMar>
              <w:top w:w="28" w:type="dxa"/>
              <w:left w:w="28" w:type="dxa"/>
              <w:bottom w:w="28" w:type="dxa"/>
              <w:right w:w="28" w:type="dxa"/>
            </w:tcMar>
            <w:vAlign w:val="center"/>
          </w:tcPr>
          <w:p w14:paraId="4573CC0D">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排气筒底部海拔高度(m)</w:t>
            </w:r>
          </w:p>
        </w:tc>
        <w:tc>
          <w:tcPr>
            <w:tcW w:w="1071" w:type="pct"/>
            <w:gridSpan w:val="4"/>
            <w:noWrap w:val="0"/>
            <w:tcMar>
              <w:top w:w="28" w:type="dxa"/>
              <w:left w:w="28" w:type="dxa"/>
              <w:bottom w:w="28" w:type="dxa"/>
              <w:right w:w="28" w:type="dxa"/>
            </w:tcMar>
            <w:vAlign w:val="center"/>
          </w:tcPr>
          <w:p w14:paraId="5FB1C925">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排气筒参数</w:t>
            </w:r>
          </w:p>
        </w:tc>
        <w:tc>
          <w:tcPr>
            <w:tcW w:w="351" w:type="pct"/>
            <w:vMerge w:val="restart"/>
            <w:noWrap w:val="0"/>
            <w:tcMar>
              <w:top w:w="28" w:type="dxa"/>
              <w:left w:w="28" w:type="dxa"/>
              <w:bottom w:w="28" w:type="dxa"/>
              <w:right w:w="28" w:type="dxa"/>
            </w:tcMar>
            <w:vAlign w:val="center"/>
          </w:tcPr>
          <w:p w14:paraId="1E25F1FC">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排放时数（h）</w:t>
            </w:r>
          </w:p>
        </w:tc>
        <w:tc>
          <w:tcPr>
            <w:tcW w:w="293" w:type="pct"/>
            <w:vMerge w:val="restart"/>
            <w:noWrap w:val="0"/>
            <w:tcMar>
              <w:top w:w="28" w:type="dxa"/>
              <w:left w:w="28" w:type="dxa"/>
              <w:bottom w:w="28" w:type="dxa"/>
              <w:right w:w="28" w:type="dxa"/>
            </w:tcMar>
            <w:vAlign w:val="center"/>
          </w:tcPr>
          <w:p w14:paraId="4B985CF3">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排放工况</w:t>
            </w:r>
          </w:p>
        </w:tc>
        <w:tc>
          <w:tcPr>
            <w:tcW w:w="1037" w:type="pct"/>
            <w:gridSpan w:val="3"/>
            <w:noWrap w:val="0"/>
            <w:tcMar>
              <w:top w:w="28" w:type="dxa"/>
              <w:left w:w="28" w:type="dxa"/>
              <w:bottom w:w="28" w:type="dxa"/>
              <w:right w:w="28" w:type="dxa"/>
            </w:tcMar>
            <w:vAlign w:val="center"/>
          </w:tcPr>
          <w:p w14:paraId="6DC86DF8">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污染物排放速率(kg/h)</w:t>
            </w:r>
          </w:p>
        </w:tc>
      </w:tr>
      <w:tr w14:paraId="5BE12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vMerge w:val="continue"/>
            <w:noWrap w:val="0"/>
            <w:tcMar>
              <w:top w:w="28" w:type="dxa"/>
              <w:left w:w="28" w:type="dxa"/>
              <w:bottom w:w="28" w:type="dxa"/>
              <w:right w:w="28" w:type="dxa"/>
            </w:tcMar>
            <w:vAlign w:val="center"/>
          </w:tcPr>
          <w:p w14:paraId="272673DD">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p>
        </w:tc>
        <w:tc>
          <w:tcPr>
            <w:tcW w:w="704" w:type="pct"/>
            <w:noWrap w:val="0"/>
            <w:tcMar>
              <w:top w:w="28" w:type="dxa"/>
              <w:left w:w="28" w:type="dxa"/>
              <w:bottom w:w="28" w:type="dxa"/>
              <w:right w:w="28" w:type="dxa"/>
            </w:tcMar>
            <w:vAlign w:val="center"/>
          </w:tcPr>
          <w:p w14:paraId="39539C58">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经度</w:t>
            </w:r>
          </w:p>
        </w:tc>
        <w:tc>
          <w:tcPr>
            <w:tcW w:w="753" w:type="pct"/>
            <w:noWrap w:val="0"/>
            <w:tcMar>
              <w:top w:w="28" w:type="dxa"/>
              <w:left w:w="28" w:type="dxa"/>
              <w:bottom w:w="28" w:type="dxa"/>
              <w:right w:w="28" w:type="dxa"/>
            </w:tcMar>
            <w:vAlign w:val="center"/>
          </w:tcPr>
          <w:p w14:paraId="35EF81A8">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纬度</w:t>
            </w:r>
          </w:p>
        </w:tc>
        <w:tc>
          <w:tcPr>
            <w:tcW w:w="386" w:type="pct"/>
            <w:vMerge w:val="continue"/>
            <w:noWrap w:val="0"/>
            <w:tcMar>
              <w:top w:w="28" w:type="dxa"/>
              <w:left w:w="28" w:type="dxa"/>
              <w:bottom w:w="28" w:type="dxa"/>
              <w:right w:w="28" w:type="dxa"/>
            </w:tcMar>
            <w:vAlign w:val="center"/>
          </w:tcPr>
          <w:p w14:paraId="37AAE431">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p>
        </w:tc>
        <w:tc>
          <w:tcPr>
            <w:tcW w:w="248" w:type="pct"/>
            <w:noWrap w:val="0"/>
            <w:tcMar>
              <w:top w:w="28" w:type="dxa"/>
              <w:left w:w="28" w:type="dxa"/>
              <w:bottom w:w="28" w:type="dxa"/>
              <w:right w:w="28" w:type="dxa"/>
            </w:tcMar>
            <w:vAlign w:val="center"/>
          </w:tcPr>
          <w:p w14:paraId="0AA03E75">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高度(m)</w:t>
            </w:r>
          </w:p>
        </w:tc>
        <w:tc>
          <w:tcPr>
            <w:tcW w:w="248" w:type="pct"/>
            <w:noWrap w:val="0"/>
            <w:tcMar>
              <w:top w:w="28" w:type="dxa"/>
              <w:left w:w="28" w:type="dxa"/>
              <w:bottom w:w="28" w:type="dxa"/>
              <w:right w:w="28" w:type="dxa"/>
            </w:tcMar>
            <w:vAlign w:val="center"/>
          </w:tcPr>
          <w:p w14:paraId="5B7FA127">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内径(m)</w:t>
            </w:r>
          </w:p>
        </w:tc>
        <w:tc>
          <w:tcPr>
            <w:tcW w:w="251" w:type="pct"/>
            <w:noWrap w:val="0"/>
            <w:tcMar>
              <w:top w:w="28" w:type="dxa"/>
              <w:left w:w="28" w:type="dxa"/>
              <w:bottom w:w="28" w:type="dxa"/>
              <w:right w:w="28" w:type="dxa"/>
            </w:tcMar>
            <w:vAlign w:val="center"/>
          </w:tcPr>
          <w:p w14:paraId="4820F304">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温度(℃)</w:t>
            </w:r>
          </w:p>
        </w:tc>
        <w:tc>
          <w:tcPr>
            <w:tcW w:w="324" w:type="pct"/>
            <w:noWrap w:val="0"/>
            <w:tcMar>
              <w:top w:w="28" w:type="dxa"/>
              <w:left w:w="28" w:type="dxa"/>
              <w:bottom w:w="28" w:type="dxa"/>
              <w:right w:w="28" w:type="dxa"/>
            </w:tcMar>
            <w:vAlign w:val="center"/>
          </w:tcPr>
          <w:p w14:paraId="3B5DF9A7">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流速(m/s)</w:t>
            </w:r>
          </w:p>
        </w:tc>
        <w:tc>
          <w:tcPr>
            <w:tcW w:w="351" w:type="pct"/>
            <w:vMerge w:val="continue"/>
            <w:noWrap w:val="0"/>
            <w:tcMar>
              <w:top w:w="28" w:type="dxa"/>
              <w:left w:w="28" w:type="dxa"/>
              <w:bottom w:w="28" w:type="dxa"/>
              <w:right w:w="28" w:type="dxa"/>
            </w:tcMar>
            <w:vAlign w:val="center"/>
          </w:tcPr>
          <w:p w14:paraId="762BC5B4">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p>
        </w:tc>
        <w:tc>
          <w:tcPr>
            <w:tcW w:w="293" w:type="pct"/>
            <w:vMerge w:val="continue"/>
            <w:noWrap w:val="0"/>
            <w:tcMar>
              <w:top w:w="28" w:type="dxa"/>
              <w:left w:w="28" w:type="dxa"/>
              <w:bottom w:w="28" w:type="dxa"/>
              <w:right w:w="28" w:type="dxa"/>
            </w:tcMar>
            <w:vAlign w:val="center"/>
          </w:tcPr>
          <w:p w14:paraId="5E3F112F">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p>
        </w:tc>
        <w:tc>
          <w:tcPr>
            <w:tcW w:w="329" w:type="pct"/>
            <w:noWrap w:val="0"/>
            <w:tcMar>
              <w:top w:w="28" w:type="dxa"/>
              <w:left w:w="28" w:type="dxa"/>
              <w:bottom w:w="28" w:type="dxa"/>
              <w:right w:w="28" w:type="dxa"/>
            </w:tcMar>
            <w:vAlign w:val="center"/>
          </w:tcPr>
          <w:p w14:paraId="2356A76A">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sz w:val="21"/>
                <w:szCs w:val="21"/>
              </w:rPr>
              <w:t>PM</w:t>
            </w:r>
            <w:r>
              <w:rPr>
                <w:rFonts w:hint="eastAsia"/>
                <w:sz w:val="21"/>
                <w:szCs w:val="21"/>
                <w:vertAlign w:val="subscript"/>
              </w:rPr>
              <w:t>10</w:t>
            </w:r>
          </w:p>
        </w:tc>
        <w:tc>
          <w:tcPr>
            <w:tcW w:w="371" w:type="pct"/>
            <w:noWrap w:val="0"/>
            <w:tcMar>
              <w:top w:w="28" w:type="dxa"/>
              <w:left w:w="28" w:type="dxa"/>
              <w:bottom w:w="28" w:type="dxa"/>
              <w:right w:w="28" w:type="dxa"/>
            </w:tcMar>
            <w:vAlign w:val="center"/>
          </w:tcPr>
          <w:p w14:paraId="4E29DC46">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NMHC</w:t>
            </w:r>
          </w:p>
        </w:tc>
        <w:tc>
          <w:tcPr>
            <w:tcW w:w="336" w:type="pct"/>
            <w:noWrap w:val="0"/>
            <w:tcMar>
              <w:top w:w="28" w:type="dxa"/>
              <w:left w:w="28" w:type="dxa"/>
              <w:bottom w:w="28" w:type="dxa"/>
              <w:right w:w="28" w:type="dxa"/>
            </w:tcMar>
            <w:vAlign w:val="center"/>
          </w:tcPr>
          <w:p w14:paraId="109BEC54">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甲醛</w:t>
            </w:r>
          </w:p>
        </w:tc>
      </w:tr>
      <w:tr w14:paraId="54AD7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noWrap w:val="0"/>
            <w:tcMar>
              <w:top w:w="28" w:type="dxa"/>
              <w:left w:w="28" w:type="dxa"/>
              <w:bottom w:w="28" w:type="dxa"/>
              <w:right w:w="28" w:type="dxa"/>
            </w:tcMar>
            <w:vAlign w:val="center"/>
          </w:tcPr>
          <w:p w14:paraId="694D6A02">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DA001</w:t>
            </w:r>
          </w:p>
        </w:tc>
        <w:tc>
          <w:tcPr>
            <w:tcW w:w="704" w:type="pct"/>
            <w:noWrap w:val="0"/>
            <w:tcMar>
              <w:top w:w="28" w:type="dxa"/>
              <w:left w:w="28" w:type="dxa"/>
              <w:bottom w:w="28" w:type="dxa"/>
              <w:right w:w="28" w:type="dxa"/>
            </w:tcMar>
            <w:vAlign w:val="center"/>
          </w:tcPr>
          <w:p w14:paraId="3657E20B">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center"/>
              <w:rPr>
                <w:color w:val="000000"/>
                <w:sz w:val="21"/>
                <w:szCs w:val="21"/>
              </w:rPr>
            </w:pPr>
            <w:r>
              <w:rPr>
                <w:rFonts w:hint="eastAsia"/>
                <w:color w:val="000000"/>
                <w:sz w:val="21"/>
                <w:szCs w:val="21"/>
              </w:rPr>
              <w:t>112.20434546</w:t>
            </w:r>
          </w:p>
        </w:tc>
        <w:tc>
          <w:tcPr>
            <w:tcW w:w="753" w:type="pct"/>
            <w:noWrap w:val="0"/>
            <w:tcMar>
              <w:top w:w="28" w:type="dxa"/>
              <w:left w:w="28" w:type="dxa"/>
              <w:bottom w:w="28" w:type="dxa"/>
              <w:right w:w="28" w:type="dxa"/>
            </w:tcMar>
            <w:vAlign w:val="center"/>
          </w:tcPr>
          <w:p w14:paraId="6F46EF77">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center"/>
              <w:rPr>
                <w:color w:val="000000"/>
                <w:sz w:val="21"/>
                <w:szCs w:val="21"/>
              </w:rPr>
            </w:pPr>
            <w:r>
              <w:rPr>
                <w:rFonts w:hint="eastAsia"/>
                <w:color w:val="000000"/>
                <w:sz w:val="21"/>
                <w:szCs w:val="21"/>
              </w:rPr>
              <w:t>33.04039946</w:t>
            </w:r>
          </w:p>
        </w:tc>
        <w:tc>
          <w:tcPr>
            <w:tcW w:w="386" w:type="pct"/>
            <w:noWrap w:val="0"/>
            <w:tcMar>
              <w:top w:w="28" w:type="dxa"/>
              <w:left w:w="28" w:type="dxa"/>
              <w:bottom w:w="28" w:type="dxa"/>
              <w:right w:w="28" w:type="dxa"/>
            </w:tcMar>
            <w:vAlign w:val="center"/>
          </w:tcPr>
          <w:p w14:paraId="5B67A40C">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lang w:val="en-US" w:eastAsia="zh-CN"/>
              </w:rPr>
              <w:t>20</w:t>
            </w:r>
            <w:r>
              <w:rPr>
                <w:rFonts w:hint="eastAsia"/>
                <w:color w:val="000000"/>
                <w:sz w:val="21"/>
                <w:szCs w:val="21"/>
              </w:rPr>
              <w:t>1</w:t>
            </w:r>
          </w:p>
        </w:tc>
        <w:tc>
          <w:tcPr>
            <w:tcW w:w="248" w:type="pct"/>
            <w:noWrap w:val="0"/>
            <w:tcMar>
              <w:top w:w="28" w:type="dxa"/>
              <w:left w:w="28" w:type="dxa"/>
              <w:bottom w:w="28" w:type="dxa"/>
              <w:right w:w="28" w:type="dxa"/>
            </w:tcMar>
            <w:vAlign w:val="center"/>
          </w:tcPr>
          <w:p w14:paraId="799026D3">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15.0</w:t>
            </w:r>
          </w:p>
        </w:tc>
        <w:tc>
          <w:tcPr>
            <w:tcW w:w="248" w:type="pct"/>
            <w:noWrap w:val="0"/>
            <w:tcMar>
              <w:top w:w="28" w:type="dxa"/>
              <w:left w:w="28" w:type="dxa"/>
              <w:bottom w:w="28" w:type="dxa"/>
              <w:right w:w="28" w:type="dxa"/>
            </w:tcMar>
            <w:vAlign w:val="center"/>
          </w:tcPr>
          <w:p w14:paraId="69C7E5CB">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themeColor="text1"/>
                <w:u w:val="none"/>
                <w:lang w:val="en-US" w:eastAsia="zh-CN"/>
                <w14:textFill>
                  <w14:solidFill>
                    <w14:schemeClr w14:val="tx1"/>
                  </w14:solidFill>
                </w14:textFill>
              </w:rPr>
              <w:t>0.3</w:t>
            </w:r>
          </w:p>
        </w:tc>
        <w:tc>
          <w:tcPr>
            <w:tcW w:w="251" w:type="pct"/>
            <w:noWrap w:val="0"/>
            <w:tcMar>
              <w:top w:w="28" w:type="dxa"/>
              <w:left w:w="28" w:type="dxa"/>
              <w:bottom w:w="28" w:type="dxa"/>
              <w:right w:w="28" w:type="dxa"/>
            </w:tcMar>
            <w:vAlign w:val="center"/>
          </w:tcPr>
          <w:p w14:paraId="3BD423CF">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lang w:val="en-US" w:eastAsia="zh-CN"/>
              </w:rPr>
              <w:t>5</w:t>
            </w:r>
            <w:r>
              <w:rPr>
                <w:color w:val="000000"/>
                <w:sz w:val="21"/>
                <w:szCs w:val="21"/>
              </w:rPr>
              <w:t>0</w:t>
            </w:r>
            <w:r>
              <w:rPr>
                <w:rFonts w:hint="eastAsia"/>
                <w:color w:val="000000"/>
                <w:sz w:val="21"/>
                <w:szCs w:val="21"/>
              </w:rPr>
              <w:t>.0</w:t>
            </w:r>
          </w:p>
        </w:tc>
        <w:tc>
          <w:tcPr>
            <w:tcW w:w="324" w:type="pct"/>
            <w:noWrap w:val="0"/>
            <w:tcMar>
              <w:top w:w="28" w:type="dxa"/>
              <w:left w:w="28" w:type="dxa"/>
              <w:bottom w:w="28" w:type="dxa"/>
              <w:right w:w="28" w:type="dxa"/>
            </w:tcMar>
            <w:vAlign w:val="center"/>
          </w:tcPr>
          <w:p w14:paraId="0C7A962D">
            <w:pPr>
              <w:pStyle w:val="33"/>
              <w:keepNext w:val="0"/>
              <w:keepLines w:val="0"/>
              <w:pageBreakBefore w:val="0"/>
              <w:kinsoku/>
              <w:wordWrap/>
              <w:overflowPunct/>
              <w:topLinePunct w:val="0"/>
              <w:autoSpaceDE/>
              <w:autoSpaceDN/>
              <w:bidi w:val="0"/>
              <w:spacing w:line="240" w:lineRule="auto"/>
              <w:ind w:firstLine="0" w:firstLineChars="0"/>
              <w:jc w:val="center"/>
              <w:rPr>
                <w:rFonts w:hint="eastAsia" w:eastAsia="宋体"/>
                <w:color w:val="000000"/>
                <w:sz w:val="21"/>
                <w:szCs w:val="21"/>
                <w:lang w:eastAsia="zh-CN"/>
              </w:rPr>
            </w:pPr>
            <w:r>
              <w:rPr>
                <w:color w:val="000000"/>
                <w:sz w:val="21"/>
                <w:szCs w:val="21"/>
              </w:rPr>
              <w:t>1</w:t>
            </w:r>
            <w:r>
              <w:rPr>
                <w:rFonts w:hint="eastAsia"/>
                <w:color w:val="000000"/>
                <w:sz w:val="21"/>
                <w:szCs w:val="21"/>
              </w:rPr>
              <w:t>5.</w:t>
            </w:r>
            <w:r>
              <w:rPr>
                <w:rFonts w:hint="eastAsia"/>
                <w:color w:val="000000"/>
                <w:sz w:val="21"/>
                <w:szCs w:val="21"/>
                <w:lang w:val="en-US" w:eastAsia="zh-CN"/>
              </w:rPr>
              <w:t>7</w:t>
            </w:r>
          </w:p>
        </w:tc>
        <w:tc>
          <w:tcPr>
            <w:tcW w:w="351" w:type="pct"/>
            <w:noWrap w:val="0"/>
            <w:tcMar>
              <w:top w:w="28" w:type="dxa"/>
              <w:left w:w="28" w:type="dxa"/>
              <w:bottom w:w="28" w:type="dxa"/>
              <w:right w:w="28" w:type="dxa"/>
            </w:tcMar>
            <w:vAlign w:val="center"/>
          </w:tcPr>
          <w:p w14:paraId="09A9EEDA">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themeColor="text1"/>
                <w:u w:val="none"/>
                <w:lang w:val="en-US" w:eastAsia="zh-CN"/>
                <w14:textFill>
                  <w14:solidFill>
                    <w14:schemeClr w14:val="tx1"/>
                  </w14:solidFill>
                </w14:textFill>
              </w:rPr>
              <w:t>5280</w:t>
            </w:r>
          </w:p>
        </w:tc>
        <w:tc>
          <w:tcPr>
            <w:tcW w:w="293" w:type="pct"/>
            <w:noWrap w:val="0"/>
            <w:tcMar>
              <w:top w:w="28" w:type="dxa"/>
              <w:left w:w="28" w:type="dxa"/>
              <w:bottom w:w="28" w:type="dxa"/>
              <w:right w:w="28" w:type="dxa"/>
            </w:tcMar>
            <w:vAlign w:val="center"/>
          </w:tcPr>
          <w:p w14:paraId="2CD3BA9E">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连续</w:t>
            </w:r>
          </w:p>
        </w:tc>
        <w:tc>
          <w:tcPr>
            <w:tcW w:w="329" w:type="pct"/>
            <w:noWrap w:val="0"/>
            <w:tcMar>
              <w:top w:w="28" w:type="dxa"/>
              <w:left w:w="28" w:type="dxa"/>
              <w:bottom w:w="28" w:type="dxa"/>
              <w:right w:w="28" w:type="dxa"/>
            </w:tcMar>
            <w:vAlign w:val="center"/>
          </w:tcPr>
          <w:p w14:paraId="042D5950">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eastAsia="宋体"/>
                <w:sz w:val="21"/>
                <w:szCs w:val="21"/>
                <w:u w:val="none"/>
                <w:vertAlign w:val="baseline"/>
                <w:lang w:val="en-US" w:eastAsia="zh-CN"/>
              </w:rPr>
              <w:t>0.010</w:t>
            </w:r>
          </w:p>
        </w:tc>
        <w:tc>
          <w:tcPr>
            <w:tcW w:w="371" w:type="pct"/>
            <w:noWrap w:val="0"/>
            <w:tcMar>
              <w:top w:w="28" w:type="dxa"/>
              <w:left w:w="28" w:type="dxa"/>
              <w:bottom w:w="28" w:type="dxa"/>
              <w:right w:w="28" w:type="dxa"/>
            </w:tcMar>
            <w:vAlign w:val="center"/>
          </w:tcPr>
          <w:p w14:paraId="75D1A964">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rPr>
              <w:t>—</w:t>
            </w:r>
          </w:p>
        </w:tc>
        <w:tc>
          <w:tcPr>
            <w:tcW w:w="336" w:type="pct"/>
            <w:noWrap w:val="0"/>
            <w:tcMar>
              <w:top w:w="28" w:type="dxa"/>
              <w:left w:w="28" w:type="dxa"/>
              <w:bottom w:w="28" w:type="dxa"/>
              <w:right w:w="28" w:type="dxa"/>
            </w:tcMar>
            <w:vAlign w:val="center"/>
          </w:tcPr>
          <w:p w14:paraId="0274AB5F">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rPr>
              <w:t>—</w:t>
            </w:r>
          </w:p>
        </w:tc>
      </w:tr>
      <w:tr w14:paraId="6CB84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noWrap w:val="0"/>
            <w:tcMar>
              <w:top w:w="28" w:type="dxa"/>
              <w:left w:w="28" w:type="dxa"/>
              <w:bottom w:w="28" w:type="dxa"/>
              <w:right w:w="28" w:type="dxa"/>
            </w:tcMar>
            <w:vAlign w:val="center"/>
          </w:tcPr>
          <w:p w14:paraId="2C4623FE">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DA002</w:t>
            </w:r>
          </w:p>
        </w:tc>
        <w:tc>
          <w:tcPr>
            <w:tcW w:w="704" w:type="pct"/>
            <w:noWrap w:val="0"/>
            <w:tcMar>
              <w:top w:w="28" w:type="dxa"/>
              <w:left w:w="28" w:type="dxa"/>
              <w:bottom w:w="28" w:type="dxa"/>
              <w:right w:w="28" w:type="dxa"/>
            </w:tcMar>
            <w:vAlign w:val="center"/>
          </w:tcPr>
          <w:p w14:paraId="0C10EB5B">
            <w:pPr>
              <w:pStyle w:val="35"/>
              <w:ind w:firstLine="0" w:firstLineChars="0"/>
              <w:jc w:val="center"/>
              <w:rPr>
                <w:color w:val="000000"/>
                <w:sz w:val="21"/>
                <w:szCs w:val="21"/>
              </w:rPr>
            </w:pPr>
            <w:r>
              <w:rPr>
                <w:rFonts w:hint="eastAsia"/>
                <w:color w:val="000000" w:themeColor="text1"/>
                <w:u w:val="none"/>
                <w14:textFill>
                  <w14:solidFill>
                    <w14:schemeClr w14:val="tx1"/>
                  </w14:solidFill>
                </w14:textFill>
              </w:rPr>
              <w:t>112.20458150</w:t>
            </w:r>
          </w:p>
        </w:tc>
        <w:tc>
          <w:tcPr>
            <w:tcW w:w="753" w:type="pct"/>
            <w:noWrap w:val="0"/>
            <w:tcMar>
              <w:top w:w="28" w:type="dxa"/>
              <w:left w:w="28" w:type="dxa"/>
              <w:bottom w:w="28" w:type="dxa"/>
              <w:right w:w="28" w:type="dxa"/>
            </w:tcMar>
            <w:vAlign w:val="center"/>
          </w:tcPr>
          <w:p w14:paraId="511CAF9F">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center"/>
              <w:rPr>
                <w:color w:val="000000"/>
                <w:sz w:val="21"/>
                <w:szCs w:val="21"/>
              </w:rPr>
            </w:pPr>
            <w:r>
              <w:rPr>
                <w:rFonts w:hint="eastAsia"/>
                <w:color w:val="000000"/>
                <w:sz w:val="21"/>
                <w:szCs w:val="21"/>
              </w:rPr>
              <w:t>33.04015663</w:t>
            </w:r>
          </w:p>
        </w:tc>
        <w:tc>
          <w:tcPr>
            <w:tcW w:w="386" w:type="pct"/>
            <w:noWrap w:val="0"/>
            <w:tcMar>
              <w:top w:w="28" w:type="dxa"/>
              <w:left w:w="28" w:type="dxa"/>
              <w:bottom w:w="28" w:type="dxa"/>
              <w:right w:w="28" w:type="dxa"/>
            </w:tcMar>
            <w:vAlign w:val="center"/>
          </w:tcPr>
          <w:p w14:paraId="7FB4EE1E">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lang w:val="en-US" w:eastAsia="zh-CN"/>
              </w:rPr>
              <w:t>20</w:t>
            </w:r>
            <w:r>
              <w:rPr>
                <w:rFonts w:hint="eastAsia"/>
                <w:color w:val="000000"/>
                <w:sz w:val="21"/>
                <w:szCs w:val="21"/>
              </w:rPr>
              <w:t>2</w:t>
            </w:r>
          </w:p>
        </w:tc>
        <w:tc>
          <w:tcPr>
            <w:tcW w:w="248" w:type="pct"/>
            <w:noWrap w:val="0"/>
            <w:tcMar>
              <w:top w:w="28" w:type="dxa"/>
              <w:left w:w="28" w:type="dxa"/>
              <w:bottom w:w="28" w:type="dxa"/>
              <w:right w:w="28" w:type="dxa"/>
            </w:tcMar>
            <w:vAlign w:val="center"/>
          </w:tcPr>
          <w:p w14:paraId="73295FF9">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15.0</w:t>
            </w:r>
          </w:p>
        </w:tc>
        <w:tc>
          <w:tcPr>
            <w:tcW w:w="248" w:type="pct"/>
            <w:noWrap w:val="0"/>
            <w:tcMar>
              <w:top w:w="28" w:type="dxa"/>
              <w:left w:w="28" w:type="dxa"/>
              <w:bottom w:w="28" w:type="dxa"/>
              <w:right w:w="28" w:type="dxa"/>
            </w:tcMar>
            <w:vAlign w:val="center"/>
          </w:tcPr>
          <w:p w14:paraId="177E870D">
            <w:pPr>
              <w:pStyle w:val="33"/>
              <w:keepNext w:val="0"/>
              <w:keepLines w:val="0"/>
              <w:pageBreakBefore w:val="0"/>
              <w:kinsoku/>
              <w:wordWrap/>
              <w:overflowPunct/>
              <w:topLinePunct w:val="0"/>
              <w:autoSpaceDE/>
              <w:autoSpaceDN/>
              <w:bidi w:val="0"/>
              <w:spacing w:line="240" w:lineRule="auto"/>
              <w:ind w:firstLine="0" w:firstLineChars="0"/>
              <w:jc w:val="center"/>
              <w:rPr>
                <w:rFonts w:hint="eastAsia" w:eastAsia="宋体"/>
                <w:color w:val="000000"/>
                <w:sz w:val="21"/>
                <w:szCs w:val="21"/>
                <w:lang w:eastAsia="zh-CN"/>
              </w:rPr>
            </w:pPr>
            <w:r>
              <w:rPr>
                <w:rFonts w:hint="eastAsia"/>
                <w:color w:val="000000"/>
                <w:sz w:val="21"/>
                <w:szCs w:val="21"/>
              </w:rPr>
              <w:t>0.</w:t>
            </w:r>
            <w:r>
              <w:rPr>
                <w:rFonts w:hint="eastAsia"/>
                <w:color w:val="000000"/>
                <w:sz w:val="21"/>
                <w:szCs w:val="21"/>
                <w:lang w:val="en-US" w:eastAsia="zh-CN"/>
              </w:rPr>
              <w:t>6</w:t>
            </w:r>
          </w:p>
        </w:tc>
        <w:tc>
          <w:tcPr>
            <w:tcW w:w="251" w:type="pct"/>
            <w:noWrap w:val="0"/>
            <w:tcMar>
              <w:top w:w="28" w:type="dxa"/>
              <w:left w:w="28" w:type="dxa"/>
              <w:bottom w:w="28" w:type="dxa"/>
              <w:right w:w="28" w:type="dxa"/>
            </w:tcMar>
            <w:vAlign w:val="center"/>
          </w:tcPr>
          <w:p w14:paraId="73B8FFC6">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lang w:val="en-US" w:eastAsia="zh-CN"/>
              </w:rPr>
              <w:t>3</w:t>
            </w:r>
            <w:r>
              <w:rPr>
                <w:color w:val="000000"/>
                <w:sz w:val="21"/>
                <w:szCs w:val="21"/>
              </w:rPr>
              <w:t>0</w:t>
            </w:r>
            <w:r>
              <w:rPr>
                <w:rFonts w:hint="eastAsia"/>
                <w:color w:val="000000"/>
                <w:sz w:val="21"/>
                <w:szCs w:val="21"/>
              </w:rPr>
              <w:t>.0</w:t>
            </w:r>
          </w:p>
        </w:tc>
        <w:tc>
          <w:tcPr>
            <w:tcW w:w="324" w:type="pct"/>
            <w:noWrap w:val="0"/>
            <w:tcMar>
              <w:top w:w="28" w:type="dxa"/>
              <w:left w:w="28" w:type="dxa"/>
              <w:bottom w:w="28" w:type="dxa"/>
              <w:right w:w="28" w:type="dxa"/>
            </w:tcMar>
            <w:vAlign w:val="center"/>
          </w:tcPr>
          <w:p w14:paraId="7112DAB4">
            <w:pPr>
              <w:pStyle w:val="33"/>
              <w:keepNext w:val="0"/>
              <w:keepLines w:val="0"/>
              <w:pageBreakBefore w:val="0"/>
              <w:kinsoku/>
              <w:wordWrap/>
              <w:overflowPunct/>
              <w:topLinePunct w:val="0"/>
              <w:autoSpaceDE/>
              <w:autoSpaceDN/>
              <w:bidi w:val="0"/>
              <w:spacing w:line="240" w:lineRule="auto"/>
              <w:ind w:firstLine="0" w:firstLineChars="0"/>
              <w:jc w:val="center"/>
              <w:rPr>
                <w:rFonts w:hint="default" w:eastAsia="宋体"/>
                <w:color w:val="000000"/>
                <w:sz w:val="21"/>
                <w:szCs w:val="21"/>
                <w:lang w:val="en-US" w:eastAsia="zh-CN"/>
              </w:rPr>
            </w:pPr>
            <w:r>
              <w:rPr>
                <w:color w:val="000000"/>
                <w:sz w:val="21"/>
                <w:szCs w:val="21"/>
              </w:rPr>
              <w:t>1</w:t>
            </w:r>
            <w:r>
              <w:rPr>
                <w:rFonts w:hint="eastAsia"/>
                <w:color w:val="000000"/>
                <w:sz w:val="21"/>
                <w:szCs w:val="21"/>
                <w:lang w:val="en-US" w:eastAsia="zh-CN"/>
              </w:rPr>
              <w:t>9.7</w:t>
            </w:r>
          </w:p>
        </w:tc>
        <w:tc>
          <w:tcPr>
            <w:tcW w:w="351" w:type="pct"/>
            <w:noWrap w:val="0"/>
            <w:tcMar>
              <w:top w:w="28" w:type="dxa"/>
              <w:left w:w="28" w:type="dxa"/>
              <w:bottom w:w="28" w:type="dxa"/>
              <w:right w:w="28" w:type="dxa"/>
            </w:tcMar>
            <w:vAlign w:val="center"/>
          </w:tcPr>
          <w:p w14:paraId="0A992955">
            <w:pPr>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lang w:val="en-US" w:eastAsia="zh-CN"/>
              </w:rPr>
              <w:t>5280</w:t>
            </w:r>
          </w:p>
        </w:tc>
        <w:tc>
          <w:tcPr>
            <w:tcW w:w="293" w:type="pct"/>
            <w:noWrap w:val="0"/>
            <w:tcMar>
              <w:top w:w="28" w:type="dxa"/>
              <w:left w:w="28" w:type="dxa"/>
              <w:bottom w:w="28" w:type="dxa"/>
              <w:right w:w="28" w:type="dxa"/>
            </w:tcMar>
            <w:vAlign w:val="center"/>
          </w:tcPr>
          <w:p w14:paraId="04A50C4F">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连续</w:t>
            </w:r>
          </w:p>
        </w:tc>
        <w:tc>
          <w:tcPr>
            <w:tcW w:w="329" w:type="pct"/>
            <w:noWrap w:val="0"/>
            <w:tcMar>
              <w:top w:w="28" w:type="dxa"/>
              <w:left w:w="28" w:type="dxa"/>
              <w:bottom w:w="28" w:type="dxa"/>
              <w:right w:w="28" w:type="dxa"/>
            </w:tcMar>
            <w:vAlign w:val="center"/>
          </w:tcPr>
          <w:p w14:paraId="3F771083">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0.040</w:t>
            </w:r>
          </w:p>
        </w:tc>
        <w:tc>
          <w:tcPr>
            <w:tcW w:w="371" w:type="pct"/>
            <w:noWrap w:val="0"/>
            <w:tcMar>
              <w:top w:w="28" w:type="dxa"/>
              <w:left w:w="28" w:type="dxa"/>
              <w:bottom w:w="28" w:type="dxa"/>
              <w:right w:w="28" w:type="dxa"/>
            </w:tcMar>
            <w:vAlign w:val="center"/>
          </w:tcPr>
          <w:p w14:paraId="144F0D7E">
            <w:pPr>
              <w:pStyle w:val="33"/>
              <w:keepNext w:val="0"/>
              <w:keepLines w:val="0"/>
              <w:pageBreakBefore w:val="0"/>
              <w:kinsoku/>
              <w:wordWrap/>
              <w:overflowPunct/>
              <w:topLinePunct w:val="0"/>
              <w:autoSpaceDE/>
              <w:autoSpaceDN/>
              <w:bidi w:val="0"/>
              <w:spacing w:line="240" w:lineRule="auto"/>
              <w:ind w:firstLine="0" w:firstLineChars="0"/>
              <w:jc w:val="center"/>
              <w:rPr>
                <w:rFonts w:hint="default"/>
                <w:color w:val="00000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0.048</w:t>
            </w:r>
          </w:p>
        </w:tc>
        <w:tc>
          <w:tcPr>
            <w:tcW w:w="336" w:type="pct"/>
            <w:noWrap w:val="0"/>
            <w:tcMar>
              <w:top w:w="28" w:type="dxa"/>
              <w:left w:w="28" w:type="dxa"/>
              <w:bottom w:w="28" w:type="dxa"/>
              <w:right w:w="28" w:type="dxa"/>
            </w:tcMar>
            <w:vAlign w:val="center"/>
          </w:tcPr>
          <w:p w14:paraId="43D5150E">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0.003</w:t>
            </w:r>
          </w:p>
        </w:tc>
      </w:tr>
      <w:tr w14:paraId="40C45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noWrap w:val="0"/>
            <w:tcMar>
              <w:top w:w="28" w:type="dxa"/>
              <w:left w:w="28" w:type="dxa"/>
              <w:bottom w:w="28" w:type="dxa"/>
              <w:right w:w="28" w:type="dxa"/>
            </w:tcMar>
            <w:vAlign w:val="center"/>
          </w:tcPr>
          <w:p w14:paraId="1A973BF0">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DA00</w:t>
            </w:r>
            <w:r>
              <w:rPr>
                <w:rFonts w:hint="eastAsia"/>
                <w:color w:val="000000"/>
                <w:sz w:val="21"/>
                <w:szCs w:val="21"/>
              </w:rPr>
              <w:t>3</w:t>
            </w:r>
          </w:p>
        </w:tc>
        <w:tc>
          <w:tcPr>
            <w:tcW w:w="704" w:type="pct"/>
            <w:noWrap w:val="0"/>
            <w:tcMar>
              <w:top w:w="28" w:type="dxa"/>
              <w:left w:w="28" w:type="dxa"/>
              <w:bottom w:w="28" w:type="dxa"/>
              <w:right w:w="28" w:type="dxa"/>
            </w:tcMar>
            <w:vAlign w:val="center"/>
          </w:tcPr>
          <w:p w14:paraId="6B583C2E">
            <w:pPr>
              <w:pStyle w:val="35"/>
              <w:ind w:firstLine="0" w:firstLineChars="0"/>
              <w:jc w:val="center"/>
              <w:rPr>
                <w:color w:val="000000"/>
                <w:sz w:val="21"/>
                <w:szCs w:val="21"/>
              </w:rPr>
            </w:pPr>
            <w:r>
              <w:rPr>
                <w:rFonts w:hint="eastAsia"/>
                <w:color w:val="000000" w:themeColor="text1"/>
                <w:u w:val="none"/>
                <w14:textFill>
                  <w14:solidFill>
                    <w14:schemeClr w14:val="tx1"/>
                  </w14:solidFill>
                </w14:textFill>
              </w:rPr>
              <w:t>112.20434010</w:t>
            </w:r>
          </w:p>
        </w:tc>
        <w:tc>
          <w:tcPr>
            <w:tcW w:w="753" w:type="pct"/>
            <w:noWrap w:val="0"/>
            <w:tcMar>
              <w:top w:w="28" w:type="dxa"/>
              <w:left w:w="28" w:type="dxa"/>
              <w:bottom w:w="28" w:type="dxa"/>
              <w:right w:w="28" w:type="dxa"/>
            </w:tcMar>
            <w:vAlign w:val="center"/>
          </w:tcPr>
          <w:p w14:paraId="26C967C9">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center"/>
              <w:rPr>
                <w:color w:val="000000"/>
                <w:sz w:val="21"/>
                <w:szCs w:val="21"/>
              </w:rPr>
            </w:pPr>
            <w:r>
              <w:rPr>
                <w:rFonts w:hint="eastAsia"/>
                <w:color w:val="000000"/>
                <w:sz w:val="21"/>
                <w:szCs w:val="21"/>
              </w:rPr>
              <w:t>33.03955854</w:t>
            </w:r>
          </w:p>
        </w:tc>
        <w:tc>
          <w:tcPr>
            <w:tcW w:w="386" w:type="pct"/>
            <w:noWrap w:val="0"/>
            <w:tcMar>
              <w:top w:w="28" w:type="dxa"/>
              <w:left w:w="28" w:type="dxa"/>
              <w:bottom w:w="28" w:type="dxa"/>
              <w:right w:w="28" w:type="dxa"/>
            </w:tcMar>
            <w:vAlign w:val="center"/>
          </w:tcPr>
          <w:p w14:paraId="2F7DA5B8">
            <w:pPr>
              <w:pStyle w:val="33"/>
              <w:keepNext w:val="0"/>
              <w:keepLines w:val="0"/>
              <w:pageBreakBefore w:val="0"/>
              <w:kinsoku/>
              <w:wordWrap/>
              <w:overflowPunct/>
              <w:topLinePunct w:val="0"/>
              <w:autoSpaceDE/>
              <w:autoSpaceDN/>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203</w:t>
            </w:r>
          </w:p>
        </w:tc>
        <w:tc>
          <w:tcPr>
            <w:tcW w:w="248" w:type="pct"/>
            <w:noWrap w:val="0"/>
            <w:tcMar>
              <w:top w:w="28" w:type="dxa"/>
              <w:left w:w="28" w:type="dxa"/>
              <w:bottom w:w="28" w:type="dxa"/>
              <w:right w:w="28" w:type="dxa"/>
            </w:tcMar>
            <w:vAlign w:val="center"/>
          </w:tcPr>
          <w:p w14:paraId="0CA063B6">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15.0</w:t>
            </w:r>
          </w:p>
        </w:tc>
        <w:tc>
          <w:tcPr>
            <w:tcW w:w="248" w:type="pct"/>
            <w:noWrap w:val="0"/>
            <w:tcMar>
              <w:top w:w="28" w:type="dxa"/>
              <w:left w:w="28" w:type="dxa"/>
              <w:bottom w:w="28" w:type="dxa"/>
              <w:right w:w="28" w:type="dxa"/>
            </w:tcMar>
            <w:vAlign w:val="center"/>
          </w:tcPr>
          <w:p w14:paraId="29164108">
            <w:pPr>
              <w:pStyle w:val="33"/>
              <w:keepNext w:val="0"/>
              <w:keepLines w:val="0"/>
              <w:pageBreakBefore w:val="0"/>
              <w:kinsoku/>
              <w:wordWrap/>
              <w:overflowPunct/>
              <w:topLinePunct w:val="0"/>
              <w:autoSpaceDE/>
              <w:autoSpaceDN/>
              <w:bidi w:val="0"/>
              <w:spacing w:line="240" w:lineRule="auto"/>
              <w:ind w:firstLine="0" w:firstLineChars="0"/>
              <w:jc w:val="center"/>
              <w:rPr>
                <w:rFonts w:hint="eastAsia" w:eastAsia="宋体"/>
                <w:color w:val="000000"/>
                <w:sz w:val="21"/>
                <w:szCs w:val="21"/>
                <w:lang w:eastAsia="zh-CN"/>
              </w:rPr>
            </w:pPr>
            <w:r>
              <w:rPr>
                <w:rFonts w:hint="eastAsia"/>
                <w:color w:val="000000"/>
                <w:sz w:val="21"/>
                <w:szCs w:val="21"/>
              </w:rPr>
              <w:t>0.</w:t>
            </w:r>
            <w:r>
              <w:rPr>
                <w:rFonts w:hint="eastAsia"/>
                <w:color w:val="000000"/>
                <w:sz w:val="21"/>
                <w:szCs w:val="21"/>
                <w:lang w:val="en-US" w:eastAsia="zh-CN"/>
              </w:rPr>
              <w:t>9</w:t>
            </w:r>
          </w:p>
        </w:tc>
        <w:tc>
          <w:tcPr>
            <w:tcW w:w="251" w:type="pct"/>
            <w:noWrap w:val="0"/>
            <w:tcMar>
              <w:top w:w="28" w:type="dxa"/>
              <w:left w:w="28" w:type="dxa"/>
              <w:bottom w:w="28" w:type="dxa"/>
              <w:right w:w="28" w:type="dxa"/>
            </w:tcMar>
            <w:vAlign w:val="center"/>
          </w:tcPr>
          <w:p w14:paraId="7CB09C66">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2</w:t>
            </w:r>
            <w:r>
              <w:rPr>
                <w:rFonts w:hint="eastAsia"/>
                <w:color w:val="000000"/>
                <w:sz w:val="21"/>
                <w:szCs w:val="21"/>
                <w:lang w:val="en-US" w:eastAsia="zh-CN"/>
              </w:rPr>
              <w:t>5</w:t>
            </w:r>
            <w:r>
              <w:rPr>
                <w:rFonts w:hint="eastAsia"/>
                <w:color w:val="000000"/>
                <w:sz w:val="21"/>
                <w:szCs w:val="21"/>
              </w:rPr>
              <w:t>.0</w:t>
            </w:r>
          </w:p>
        </w:tc>
        <w:tc>
          <w:tcPr>
            <w:tcW w:w="324" w:type="pct"/>
            <w:noWrap w:val="0"/>
            <w:tcMar>
              <w:top w:w="28" w:type="dxa"/>
              <w:left w:w="28" w:type="dxa"/>
              <w:bottom w:w="28" w:type="dxa"/>
              <w:right w:w="28" w:type="dxa"/>
            </w:tcMar>
            <w:vAlign w:val="center"/>
          </w:tcPr>
          <w:p w14:paraId="7E15D895">
            <w:pPr>
              <w:pStyle w:val="33"/>
              <w:keepNext w:val="0"/>
              <w:keepLines w:val="0"/>
              <w:pageBreakBefore w:val="0"/>
              <w:kinsoku/>
              <w:wordWrap/>
              <w:overflowPunct/>
              <w:topLinePunct w:val="0"/>
              <w:autoSpaceDE/>
              <w:autoSpaceDN/>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rPr>
              <w:t>1</w:t>
            </w:r>
            <w:r>
              <w:rPr>
                <w:rFonts w:hint="eastAsia"/>
                <w:color w:val="000000"/>
                <w:sz w:val="21"/>
                <w:szCs w:val="21"/>
                <w:lang w:val="en-US" w:eastAsia="zh-CN"/>
              </w:rPr>
              <w:t>7.5</w:t>
            </w:r>
          </w:p>
        </w:tc>
        <w:tc>
          <w:tcPr>
            <w:tcW w:w="351" w:type="pct"/>
            <w:noWrap w:val="0"/>
            <w:tcMar>
              <w:top w:w="28" w:type="dxa"/>
              <w:left w:w="28" w:type="dxa"/>
              <w:bottom w:w="28" w:type="dxa"/>
              <w:right w:w="28" w:type="dxa"/>
            </w:tcMar>
            <w:vAlign w:val="center"/>
          </w:tcPr>
          <w:p w14:paraId="0A5ED7C7">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themeColor="text1"/>
                <w:u w:val="none"/>
                <w:lang w:val="en-US" w:eastAsia="zh-CN"/>
                <w14:textFill>
                  <w14:solidFill>
                    <w14:schemeClr w14:val="tx1"/>
                  </w14:solidFill>
                </w14:textFill>
              </w:rPr>
              <w:t>5280</w:t>
            </w:r>
          </w:p>
        </w:tc>
        <w:tc>
          <w:tcPr>
            <w:tcW w:w="293" w:type="pct"/>
            <w:noWrap w:val="0"/>
            <w:tcMar>
              <w:top w:w="28" w:type="dxa"/>
              <w:left w:w="28" w:type="dxa"/>
              <w:bottom w:w="28" w:type="dxa"/>
              <w:right w:w="28" w:type="dxa"/>
            </w:tcMar>
            <w:vAlign w:val="center"/>
          </w:tcPr>
          <w:p w14:paraId="49885A5D">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连续</w:t>
            </w:r>
          </w:p>
        </w:tc>
        <w:tc>
          <w:tcPr>
            <w:tcW w:w="329" w:type="pct"/>
            <w:noWrap w:val="0"/>
            <w:tcMar>
              <w:top w:w="28" w:type="dxa"/>
              <w:left w:w="28" w:type="dxa"/>
              <w:bottom w:w="28" w:type="dxa"/>
              <w:right w:w="28" w:type="dxa"/>
            </w:tcMar>
            <w:vAlign w:val="center"/>
          </w:tcPr>
          <w:p w14:paraId="4ECC28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0.091</w:t>
            </w:r>
          </w:p>
        </w:tc>
        <w:tc>
          <w:tcPr>
            <w:tcW w:w="371" w:type="pct"/>
            <w:noWrap w:val="0"/>
            <w:tcMar>
              <w:top w:w="28" w:type="dxa"/>
              <w:left w:w="28" w:type="dxa"/>
              <w:bottom w:w="28" w:type="dxa"/>
              <w:right w:w="28" w:type="dxa"/>
            </w:tcMar>
            <w:vAlign w:val="center"/>
          </w:tcPr>
          <w:p w14:paraId="7F4F0BE9">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rPr>
              <w:t>—</w:t>
            </w:r>
          </w:p>
        </w:tc>
        <w:tc>
          <w:tcPr>
            <w:tcW w:w="336" w:type="pct"/>
            <w:noWrap w:val="0"/>
            <w:tcMar>
              <w:top w:w="28" w:type="dxa"/>
              <w:left w:w="28" w:type="dxa"/>
              <w:bottom w:w="28" w:type="dxa"/>
              <w:right w:w="28" w:type="dxa"/>
            </w:tcMar>
            <w:vAlign w:val="center"/>
          </w:tcPr>
          <w:p w14:paraId="347FE598">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rPr>
              <w:t>—</w:t>
            </w:r>
          </w:p>
        </w:tc>
      </w:tr>
      <w:tr w14:paraId="0683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 w:type="pct"/>
            <w:noWrap w:val="0"/>
            <w:tcMar>
              <w:top w:w="28" w:type="dxa"/>
              <w:left w:w="28" w:type="dxa"/>
              <w:bottom w:w="28" w:type="dxa"/>
              <w:right w:w="28" w:type="dxa"/>
            </w:tcMar>
            <w:vAlign w:val="center"/>
          </w:tcPr>
          <w:p w14:paraId="101B99A6">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DA00</w:t>
            </w:r>
            <w:r>
              <w:rPr>
                <w:rFonts w:hint="eastAsia"/>
                <w:color w:val="000000"/>
                <w:sz w:val="21"/>
                <w:szCs w:val="21"/>
              </w:rPr>
              <w:t>4</w:t>
            </w:r>
          </w:p>
        </w:tc>
        <w:tc>
          <w:tcPr>
            <w:tcW w:w="704" w:type="pct"/>
            <w:noWrap w:val="0"/>
            <w:tcMar>
              <w:top w:w="28" w:type="dxa"/>
              <w:left w:w="28" w:type="dxa"/>
              <w:bottom w:w="28" w:type="dxa"/>
              <w:right w:w="28" w:type="dxa"/>
            </w:tcMar>
            <w:vAlign w:val="center"/>
          </w:tcPr>
          <w:p w14:paraId="72B45C1F">
            <w:pPr>
              <w:pStyle w:val="35"/>
              <w:ind w:firstLine="0" w:firstLineChars="0"/>
              <w:jc w:val="center"/>
              <w:rPr>
                <w:rFonts w:hint="eastAsia"/>
                <w:color w:val="000000"/>
                <w:sz w:val="21"/>
                <w:szCs w:val="21"/>
              </w:rPr>
            </w:pPr>
            <w:r>
              <w:rPr>
                <w:rFonts w:hint="eastAsia"/>
                <w:color w:val="000000" w:themeColor="text1"/>
                <w:u w:val="none"/>
                <w14:textFill>
                  <w14:solidFill>
                    <w14:schemeClr w14:val="tx1"/>
                  </w14:solidFill>
                </w14:textFill>
              </w:rPr>
              <w:t>112.20415771</w:t>
            </w:r>
          </w:p>
        </w:tc>
        <w:tc>
          <w:tcPr>
            <w:tcW w:w="753" w:type="pct"/>
            <w:noWrap w:val="0"/>
            <w:tcMar>
              <w:top w:w="28" w:type="dxa"/>
              <w:left w:w="28" w:type="dxa"/>
              <w:bottom w:w="28" w:type="dxa"/>
              <w:right w:w="28" w:type="dxa"/>
            </w:tcMar>
            <w:vAlign w:val="center"/>
          </w:tcPr>
          <w:p w14:paraId="165B2E07">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center"/>
              <w:rPr>
                <w:rFonts w:hint="eastAsia"/>
                <w:color w:val="000000"/>
                <w:sz w:val="21"/>
                <w:szCs w:val="21"/>
              </w:rPr>
            </w:pPr>
            <w:r>
              <w:rPr>
                <w:rFonts w:hint="eastAsia"/>
                <w:color w:val="000000"/>
                <w:sz w:val="21"/>
                <w:szCs w:val="21"/>
              </w:rPr>
              <w:t>33.03967546</w:t>
            </w:r>
          </w:p>
        </w:tc>
        <w:tc>
          <w:tcPr>
            <w:tcW w:w="386" w:type="pct"/>
            <w:noWrap w:val="0"/>
            <w:tcMar>
              <w:top w:w="28" w:type="dxa"/>
              <w:left w:w="28" w:type="dxa"/>
              <w:bottom w:w="28" w:type="dxa"/>
              <w:right w:w="28" w:type="dxa"/>
            </w:tcMar>
            <w:vAlign w:val="center"/>
          </w:tcPr>
          <w:p w14:paraId="7C5932E6">
            <w:pPr>
              <w:pStyle w:val="33"/>
              <w:keepNext w:val="0"/>
              <w:keepLines w:val="0"/>
              <w:pageBreakBefore w:val="0"/>
              <w:kinsoku/>
              <w:wordWrap/>
              <w:overflowPunct/>
              <w:topLinePunct w:val="0"/>
              <w:autoSpaceDE/>
              <w:autoSpaceDN/>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203</w:t>
            </w:r>
          </w:p>
        </w:tc>
        <w:tc>
          <w:tcPr>
            <w:tcW w:w="248" w:type="pct"/>
            <w:noWrap w:val="0"/>
            <w:tcMar>
              <w:top w:w="28" w:type="dxa"/>
              <w:left w:w="28" w:type="dxa"/>
              <w:bottom w:w="28" w:type="dxa"/>
              <w:right w:w="28" w:type="dxa"/>
            </w:tcMar>
            <w:vAlign w:val="center"/>
          </w:tcPr>
          <w:p w14:paraId="20862863">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rPr>
              <w:t>15.0</w:t>
            </w:r>
          </w:p>
        </w:tc>
        <w:tc>
          <w:tcPr>
            <w:tcW w:w="248" w:type="pct"/>
            <w:noWrap w:val="0"/>
            <w:tcMar>
              <w:top w:w="28" w:type="dxa"/>
              <w:left w:w="28" w:type="dxa"/>
              <w:bottom w:w="28" w:type="dxa"/>
              <w:right w:w="28" w:type="dxa"/>
            </w:tcMar>
            <w:vAlign w:val="center"/>
          </w:tcPr>
          <w:p w14:paraId="2E08E348">
            <w:pPr>
              <w:pStyle w:val="33"/>
              <w:keepNext w:val="0"/>
              <w:keepLines w:val="0"/>
              <w:pageBreakBefore w:val="0"/>
              <w:kinsoku/>
              <w:wordWrap/>
              <w:overflowPunct/>
              <w:topLinePunct w:val="0"/>
              <w:autoSpaceDE/>
              <w:autoSpaceDN/>
              <w:bidi w:val="0"/>
              <w:spacing w:line="240" w:lineRule="auto"/>
              <w:ind w:firstLine="0" w:firstLineChars="0"/>
              <w:jc w:val="center"/>
              <w:rPr>
                <w:rFonts w:hint="eastAsia" w:eastAsia="宋体"/>
                <w:color w:val="000000"/>
                <w:sz w:val="21"/>
                <w:szCs w:val="21"/>
                <w:lang w:eastAsia="zh-CN"/>
              </w:rPr>
            </w:pPr>
            <w:r>
              <w:rPr>
                <w:rFonts w:hint="eastAsia"/>
                <w:color w:val="000000"/>
                <w:sz w:val="21"/>
                <w:szCs w:val="21"/>
              </w:rPr>
              <w:t>0.</w:t>
            </w:r>
            <w:r>
              <w:rPr>
                <w:rFonts w:hint="eastAsia"/>
                <w:color w:val="000000"/>
                <w:sz w:val="21"/>
                <w:szCs w:val="21"/>
                <w:lang w:val="en-US" w:eastAsia="zh-CN"/>
              </w:rPr>
              <w:t>7</w:t>
            </w:r>
          </w:p>
        </w:tc>
        <w:tc>
          <w:tcPr>
            <w:tcW w:w="251" w:type="pct"/>
            <w:noWrap w:val="0"/>
            <w:tcMar>
              <w:top w:w="28" w:type="dxa"/>
              <w:left w:w="28" w:type="dxa"/>
              <w:bottom w:w="28" w:type="dxa"/>
              <w:right w:w="28" w:type="dxa"/>
            </w:tcMar>
            <w:vAlign w:val="center"/>
          </w:tcPr>
          <w:p w14:paraId="4682F69F">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2</w:t>
            </w:r>
            <w:r>
              <w:rPr>
                <w:rFonts w:hint="eastAsia"/>
                <w:color w:val="000000"/>
                <w:sz w:val="21"/>
                <w:szCs w:val="21"/>
                <w:lang w:val="en-US" w:eastAsia="zh-CN"/>
              </w:rPr>
              <w:t>5</w:t>
            </w:r>
            <w:r>
              <w:rPr>
                <w:rFonts w:hint="eastAsia"/>
                <w:color w:val="000000"/>
                <w:sz w:val="21"/>
                <w:szCs w:val="21"/>
              </w:rPr>
              <w:t>.0</w:t>
            </w:r>
          </w:p>
        </w:tc>
        <w:tc>
          <w:tcPr>
            <w:tcW w:w="324" w:type="pct"/>
            <w:noWrap w:val="0"/>
            <w:tcMar>
              <w:top w:w="28" w:type="dxa"/>
              <w:left w:w="28" w:type="dxa"/>
              <w:bottom w:w="28" w:type="dxa"/>
              <w:right w:w="28" w:type="dxa"/>
            </w:tcMar>
            <w:vAlign w:val="center"/>
          </w:tcPr>
          <w:p w14:paraId="48772CD5">
            <w:pPr>
              <w:pStyle w:val="33"/>
              <w:keepNext w:val="0"/>
              <w:keepLines w:val="0"/>
              <w:pageBreakBefore w:val="0"/>
              <w:kinsoku/>
              <w:wordWrap/>
              <w:overflowPunct/>
              <w:topLinePunct w:val="0"/>
              <w:autoSpaceDE/>
              <w:autoSpaceDN/>
              <w:bidi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rPr>
              <w:t>1</w:t>
            </w:r>
            <w:r>
              <w:rPr>
                <w:rFonts w:hint="eastAsia"/>
                <w:color w:val="000000"/>
                <w:sz w:val="21"/>
                <w:szCs w:val="21"/>
                <w:lang w:val="en-US" w:eastAsia="zh-CN"/>
              </w:rPr>
              <w:t>8.1</w:t>
            </w:r>
          </w:p>
        </w:tc>
        <w:tc>
          <w:tcPr>
            <w:tcW w:w="351" w:type="pct"/>
            <w:noWrap w:val="0"/>
            <w:tcMar>
              <w:top w:w="28" w:type="dxa"/>
              <w:left w:w="28" w:type="dxa"/>
              <w:bottom w:w="28" w:type="dxa"/>
              <w:right w:w="28" w:type="dxa"/>
            </w:tcMar>
            <w:vAlign w:val="center"/>
          </w:tcPr>
          <w:p w14:paraId="18C5D1D3">
            <w:pPr>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lang w:val="en-US" w:eastAsia="zh-CN"/>
              </w:rPr>
              <w:t>5280</w:t>
            </w:r>
          </w:p>
        </w:tc>
        <w:tc>
          <w:tcPr>
            <w:tcW w:w="293" w:type="pct"/>
            <w:noWrap w:val="0"/>
            <w:tcMar>
              <w:top w:w="28" w:type="dxa"/>
              <w:left w:w="28" w:type="dxa"/>
              <w:bottom w:w="28" w:type="dxa"/>
              <w:right w:w="28" w:type="dxa"/>
            </w:tcMar>
            <w:vAlign w:val="center"/>
          </w:tcPr>
          <w:p w14:paraId="2038895C">
            <w:pPr>
              <w:pStyle w:val="33"/>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color w:val="000000"/>
                <w:sz w:val="21"/>
                <w:szCs w:val="21"/>
              </w:rPr>
              <w:t>连续</w:t>
            </w:r>
          </w:p>
        </w:tc>
        <w:tc>
          <w:tcPr>
            <w:tcW w:w="329" w:type="pct"/>
            <w:noWrap w:val="0"/>
            <w:tcMar>
              <w:top w:w="28" w:type="dxa"/>
              <w:left w:w="28" w:type="dxa"/>
              <w:bottom w:w="28" w:type="dxa"/>
              <w:right w:w="28" w:type="dxa"/>
            </w:tcMar>
            <w:vAlign w:val="center"/>
          </w:tcPr>
          <w:p w14:paraId="64DFC9C9">
            <w:pPr>
              <w:keepNext w:val="0"/>
              <w:keepLines w:val="0"/>
              <w:pageBreakBefore w:val="0"/>
              <w:widowControl/>
              <w:kinsoku/>
              <w:wordWrap/>
              <w:overflowPunct/>
              <w:topLinePunct w:val="0"/>
              <w:autoSpaceDE/>
              <w:autoSpaceDN/>
              <w:bidi w:val="0"/>
              <w:spacing w:line="240" w:lineRule="auto"/>
              <w:ind w:firstLine="0" w:firstLineChars="0"/>
              <w:jc w:val="center"/>
              <w:textAlignment w:val="center"/>
              <w:rPr>
                <w:color w:val="000000"/>
                <w:sz w:val="21"/>
                <w:szCs w:val="21"/>
              </w:rPr>
            </w:pPr>
            <w:r>
              <w:rPr>
                <w:rFonts w:hint="eastAsia"/>
                <w:color w:val="000000" w:themeColor="text1"/>
                <w:sz w:val="21"/>
                <w:szCs w:val="21"/>
                <w:u w:val="none"/>
                <w:lang w:val="en-US" w:eastAsia="zh-CN"/>
                <w14:textFill>
                  <w14:solidFill>
                    <w14:schemeClr w14:val="tx1"/>
                  </w14:solidFill>
                </w14:textFill>
              </w:rPr>
              <w:t>0.052</w:t>
            </w:r>
          </w:p>
        </w:tc>
        <w:tc>
          <w:tcPr>
            <w:tcW w:w="371" w:type="pct"/>
            <w:noWrap w:val="0"/>
            <w:tcMar>
              <w:top w:w="28" w:type="dxa"/>
              <w:left w:w="28" w:type="dxa"/>
              <w:bottom w:w="28" w:type="dxa"/>
              <w:right w:w="28" w:type="dxa"/>
            </w:tcMar>
            <w:vAlign w:val="center"/>
          </w:tcPr>
          <w:p w14:paraId="4F376B8A">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rPr>
              <w:t>—</w:t>
            </w:r>
          </w:p>
        </w:tc>
        <w:tc>
          <w:tcPr>
            <w:tcW w:w="336" w:type="pct"/>
            <w:noWrap w:val="0"/>
            <w:tcMar>
              <w:top w:w="28" w:type="dxa"/>
              <w:left w:w="28" w:type="dxa"/>
              <w:bottom w:w="28" w:type="dxa"/>
              <w:right w:w="28" w:type="dxa"/>
            </w:tcMar>
            <w:vAlign w:val="center"/>
          </w:tcPr>
          <w:p w14:paraId="56A08C0D">
            <w:pPr>
              <w:pStyle w:val="33"/>
              <w:keepNext w:val="0"/>
              <w:keepLines w:val="0"/>
              <w:pageBreakBefore w:val="0"/>
              <w:kinsoku/>
              <w:wordWrap/>
              <w:overflowPunct/>
              <w:topLinePunct w:val="0"/>
              <w:autoSpaceDE/>
              <w:autoSpaceDN/>
              <w:bidi w:val="0"/>
              <w:spacing w:line="240" w:lineRule="auto"/>
              <w:ind w:firstLine="0" w:firstLineChars="0"/>
              <w:jc w:val="center"/>
              <w:rPr>
                <w:rFonts w:hint="eastAsia"/>
                <w:color w:val="000000"/>
                <w:sz w:val="21"/>
                <w:szCs w:val="21"/>
              </w:rPr>
            </w:pPr>
            <w:r>
              <w:rPr>
                <w:rFonts w:hint="eastAsia"/>
                <w:color w:val="000000"/>
                <w:sz w:val="21"/>
                <w:szCs w:val="21"/>
              </w:rPr>
              <w:t>—</w:t>
            </w:r>
          </w:p>
        </w:tc>
      </w:tr>
    </w:tbl>
    <w:p w14:paraId="05A05C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表4.3-2  主要废气污染源参数一览表(矩形面源)</w:t>
      </w:r>
    </w:p>
    <w:tbl>
      <w:tblPr>
        <w:tblStyle w:val="28"/>
        <w:tblW w:w="50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222"/>
        <w:gridCol w:w="1210"/>
        <w:gridCol w:w="640"/>
        <w:gridCol w:w="858"/>
        <w:gridCol w:w="740"/>
        <w:gridCol w:w="802"/>
        <w:gridCol w:w="655"/>
        <w:gridCol w:w="563"/>
        <w:gridCol w:w="763"/>
        <w:gridCol w:w="840"/>
        <w:gridCol w:w="754"/>
      </w:tblGrid>
      <w:tr w14:paraId="01490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0" w:type="pct"/>
            <w:vMerge w:val="restart"/>
            <w:noWrap w:val="0"/>
            <w:tcMar>
              <w:top w:w="28" w:type="dxa"/>
              <w:left w:w="0" w:type="dxa"/>
              <w:bottom w:w="28" w:type="dxa"/>
              <w:right w:w="0" w:type="dxa"/>
            </w:tcMar>
            <w:vAlign w:val="center"/>
          </w:tcPr>
          <w:p w14:paraId="13763A02">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污染源</w:t>
            </w:r>
          </w:p>
          <w:p w14:paraId="7A62F26F">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名称</w:t>
            </w:r>
          </w:p>
        </w:tc>
        <w:tc>
          <w:tcPr>
            <w:tcW w:w="1223" w:type="pct"/>
            <w:gridSpan w:val="2"/>
            <w:noWrap w:val="0"/>
            <w:tcMar>
              <w:top w:w="28" w:type="dxa"/>
              <w:left w:w="0" w:type="dxa"/>
              <w:bottom w:w="28" w:type="dxa"/>
              <w:right w:w="0" w:type="dxa"/>
            </w:tcMar>
            <w:vAlign w:val="center"/>
          </w:tcPr>
          <w:p w14:paraId="420FF1CA">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坐标(°)</w:t>
            </w:r>
          </w:p>
        </w:tc>
        <w:tc>
          <w:tcPr>
            <w:tcW w:w="321" w:type="pct"/>
            <w:vMerge w:val="restart"/>
            <w:noWrap w:val="0"/>
            <w:tcMar>
              <w:top w:w="28" w:type="dxa"/>
              <w:left w:w="0" w:type="dxa"/>
              <w:bottom w:w="28" w:type="dxa"/>
              <w:right w:w="0" w:type="dxa"/>
            </w:tcMar>
            <w:vAlign w:val="center"/>
          </w:tcPr>
          <w:p w14:paraId="7CEF560B">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海拔高度(m)</w:t>
            </w:r>
          </w:p>
        </w:tc>
        <w:tc>
          <w:tcPr>
            <w:tcW w:w="1206" w:type="pct"/>
            <w:gridSpan w:val="3"/>
            <w:noWrap w:val="0"/>
            <w:tcMar>
              <w:top w:w="28" w:type="dxa"/>
              <w:left w:w="0" w:type="dxa"/>
              <w:bottom w:w="28" w:type="dxa"/>
              <w:right w:w="0" w:type="dxa"/>
            </w:tcMar>
            <w:vAlign w:val="center"/>
          </w:tcPr>
          <w:p w14:paraId="75331757">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矩形面源</w:t>
            </w:r>
          </w:p>
        </w:tc>
        <w:tc>
          <w:tcPr>
            <w:tcW w:w="329" w:type="pct"/>
            <w:vMerge w:val="restart"/>
            <w:noWrap w:val="0"/>
            <w:tcMar>
              <w:top w:w="28" w:type="dxa"/>
              <w:left w:w="0" w:type="dxa"/>
              <w:bottom w:w="28" w:type="dxa"/>
              <w:right w:w="0" w:type="dxa"/>
            </w:tcMar>
            <w:vAlign w:val="center"/>
          </w:tcPr>
          <w:p w14:paraId="3A205EE7">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排放时数（h）</w:t>
            </w:r>
          </w:p>
        </w:tc>
        <w:tc>
          <w:tcPr>
            <w:tcW w:w="282" w:type="pct"/>
            <w:vMerge w:val="restart"/>
            <w:noWrap w:val="0"/>
            <w:tcMar>
              <w:top w:w="28" w:type="dxa"/>
              <w:left w:w="0" w:type="dxa"/>
              <w:bottom w:w="28" w:type="dxa"/>
              <w:right w:w="0" w:type="dxa"/>
            </w:tcMar>
            <w:vAlign w:val="center"/>
          </w:tcPr>
          <w:p w14:paraId="1C689DEC">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排放</w:t>
            </w:r>
          </w:p>
          <w:p w14:paraId="190D5811">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工况</w:t>
            </w:r>
          </w:p>
        </w:tc>
        <w:tc>
          <w:tcPr>
            <w:tcW w:w="1185" w:type="pct"/>
            <w:gridSpan w:val="3"/>
            <w:noWrap w:val="0"/>
            <w:tcMar>
              <w:top w:w="28" w:type="dxa"/>
              <w:left w:w="0" w:type="dxa"/>
              <w:bottom w:w="28" w:type="dxa"/>
              <w:right w:w="0" w:type="dxa"/>
            </w:tcMar>
            <w:vAlign w:val="center"/>
          </w:tcPr>
          <w:p w14:paraId="34198BA7">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污染物排放速率(kg/h)</w:t>
            </w:r>
          </w:p>
        </w:tc>
      </w:tr>
      <w:tr w14:paraId="063F6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0" w:type="pct"/>
            <w:vMerge w:val="continue"/>
            <w:noWrap w:val="0"/>
            <w:tcMar>
              <w:top w:w="28" w:type="dxa"/>
              <w:left w:w="0" w:type="dxa"/>
              <w:bottom w:w="28" w:type="dxa"/>
              <w:right w:w="0" w:type="dxa"/>
            </w:tcMar>
            <w:vAlign w:val="center"/>
          </w:tcPr>
          <w:p w14:paraId="5FF4A4BD">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p>
        </w:tc>
        <w:tc>
          <w:tcPr>
            <w:tcW w:w="614" w:type="pct"/>
            <w:noWrap w:val="0"/>
            <w:tcMar>
              <w:top w:w="28" w:type="dxa"/>
              <w:left w:w="0" w:type="dxa"/>
              <w:bottom w:w="28" w:type="dxa"/>
              <w:right w:w="0" w:type="dxa"/>
            </w:tcMar>
            <w:vAlign w:val="center"/>
          </w:tcPr>
          <w:p w14:paraId="03236CAE">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经度</w:t>
            </w:r>
          </w:p>
        </w:tc>
        <w:tc>
          <w:tcPr>
            <w:tcW w:w="608" w:type="pct"/>
            <w:noWrap w:val="0"/>
            <w:tcMar>
              <w:top w:w="28" w:type="dxa"/>
              <w:left w:w="0" w:type="dxa"/>
              <w:bottom w:w="28" w:type="dxa"/>
              <w:right w:w="0" w:type="dxa"/>
            </w:tcMar>
            <w:vAlign w:val="center"/>
          </w:tcPr>
          <w:p w14:paraId="57A1708E">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纬度</w:t>
            </w:r>
          </w:p>
        </w:tc>
        <w:tc>
          <w:tcPr>
            <w:tcW w:w="321" w:type="pct"/>
            <w:vMerge w:val="continue"/>
            <w:noWrap w:val="0"/>
            <w:tcMar>
              <w:top w:w="28" w:type="dxa"/>
              <w:left w:w="0" w:type="dxa"/>
              <w:bottom w:w="28" w:type="dxa"/>
              <w:right w:w="0" w:type="dxa"/>
            </w:tcMar>
            <w:vAlign w:val="center"/>
          </w:tcPr>
          <w:p w14:paraId="18C90B51">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p>
        </w:tc>
        <w:tc>
          <w:tcPr>
            <w:tcW w:w="431" w:type="pct"/>
            <w:noWrap w:val="0"/>
            <w:tcMar>
              <w:top w:w="28" w:type="dxa"/>
              <w:left w:w="0" w:type="dxa"/>
              <w:bottom w:w="28" w:type="dxa"/>
              <w:right w:w="0" w:type="dxa"/>
            </w:tcMar>
            <w:vAlign w:val="center"/>
          </w:tcPr>
          <w:p w14:paraId="5B9F40A7">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长度(m)</w:t>
            </w:r>
          </w:p>
        </w:tc>
        <w:tc>
          <w:tcPr>
            <w:tcW w:w="372" w:type="pct"/>
            <w:noWrap w:val="0"/>
            <w:tcMar>
              <w:top w:w="28" w:type="dxa"/>
              <w:left w:w="0" w:type="dxa"/>
              <w:bottom w:w="28" w:type="dxa"/>
              <w:right w:w="0" w:type="dxa"/>
            </w:tcMar>
            <w:vAlign w:val="center"/>
          </w:tcPr>
          <w:p w14:paraId="3A3D84AC">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宽度(m)</w:t>
            </w:r>
          </w:p>
        </w:tc>
        <w:tc>
          <w:tcPr>
            <w:tcW w:w="403" w:type="pct"/>
            <w:noWrap w:val="0"/>
            <w:tcMar>
              <w:top w:w="28" w:type="dxa"/>
              <w:left w:w="0" w:type="dxa"/>
              <w:bottom w:w="28" w:type="dxa"/>
              <w:right w:w="0" w:type="dxa"/>
            </w:tcMar>
            <w:vAlign w:val="center"/>
          </w:tcPr>
          <w:p w14:paraId="2F11FD08">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高度(m)</w:t>
            </w:r>
          </w:p>
        </w:tc>
        <w:tc>
          <w:tcPr>
            <w:tcW w:w="329" w:type="pct"/>
            <w:vMerge w:val="continue"/>
            <w:noWrap w:val="0"/>
            <w:tcMar>
              <w:top w:w="28" w:type="dxa"/>
              <w:left w:w="0" w:type="dxa"/>
              <w:bottom w:w="28" w:type="dxa"/>
              <w:right w:w="0" w:type="dxa"/>
            </w:tcMar>
            <w:vAlign w:val="center"/>
          </w:tcPr>
          <w:p w14:paraId="5AC6CF68">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p>
        </w:tc>
        <w:tc>
          <w:tcPr>
            <w:tcW w:w="282" w:type="pct"/>
            <w:vMerge w:val="continue"/>
            <w:noWrap w:val="0"/>
            <w:tcMar>
              <w:top w:w="28" w:type="dxa"/>
              <w:left w:w="0" w:type="dxa"/>
              <w:bottom w:w="28" w:type="dxa"/>
              <w:right w:w="0" w:type="dxa"/>
            </w:tcMar>
            <w:vAlign w:val="center"/>
          </w:tcPr>
          <w:p w14:paraId="095C3745">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p>
        </w:tc>
        <w:tc>
          <w:tcPr>
            <w:tcW w:w="383" w:type="pct"/>
            <w:noWrap w:val="0"/>
            <w:tcMar>
              <w:top w:w="28" w:type="dxa"/>
              <w:left w:w="0" w:type="dxa"/>
              <w:bottom w:w="28" w:type="dxa"/>
              <w:right w:w="0" w:type="dxa"/>
            </w:tcMar>
            <w:vAlign w:val="center"/>
          </w:tcPr>
          <w:p w14:paraId="3A8E9DC8">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TSP</w:t>
            </w:r>
          </w:p>
        </w:tc>
        <w:tc>
          <w:tcPr>
            <w:tcW w:w="422" w:type="pct"/>
            <w:noWrap w:val="0"/>
            <w:tcMar>
              <w:top w:w="28" w:type="dxa"/>
              <w:left w:w="0" w:type="dxa"/>
              <w:bottom w:w="28" w:type="dxa"/>
              <w:right w:w="0" w:type="dxa"/>
            </w:tcMar>
            <w:vAlign w:val="center"/>
          </w:tcPr>
          <w:p w14:paraId="5F0B6174">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NMHC</w:t>
            </w:r>
          </w:p>
        </w:tc>
        <w:tc>
          <w:tcPr>
            <w:tcW w:w="379" w:type="pct"/>
            <w:noWrap w:val="0"/>
            <w:tcMar>
              <w:top w:w="28" w:type="dxa"/>
              <w:left w:w="0" w:type="dxa"/>
              <w:bottom w:w="28" w:type="dxa"/>
              <w:right w:w="0" w:type="dxa"/>
            </w:tcMar>
            <w:vAlign w:val="center"/>
          </w:tcPr>
          <w:p w14:paraId="2F6CD330">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甲醛</w:t>
            </w:r>
          </w:p>
        </w:tc>
      </w:tr>
      <w:tr w14:paraId="1F754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0" w:type="pct"/>
            <w:noWrap w:val="0"/>
            <w:tcMar>
              <w:top w:w="28" w:type="dxa"/>
              <w:left w:w="0" w:type="dxa"/>
              <w:bottom w:w="28" w:type="dxa"/>
              <w:right w:w="0" w:type="dxa"/>
            </w:tcMar>
            <w:vAlign w:val="center"/>
          </w:tcPr>
          <w:p w14:paraId="5EA95D98">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生产车间</w:t>
            </w:r>
          </w:p>
        </w:tc>
        <w:tc>
          <w:tcPr>
            <w:tcW w:w="614" w:type="pct"/>
            <w:noWrap w:val="0"/>
            <w:tcMar>
              <w:top w:w="28" w:type="dxa"/>
              <w:left w:w="0" w:type="dxa"/>
              <w:bottom w:w="28" w:type="dxa"/>
              <w:right w:w="0" w:type="dxa"/>
            </w:tcMar>
            <w:vAlign w:val="center"/>
          </w:tcPr>
          <w:p w14:paraId="4DA66071">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rFonts w:hint="eastAsia"/>
                <w:color w:val="000000"/>
                <w:sz w:val="21"/>
                <w:szCs w:val="21"/>
              </w:rPr>
              <w:t>112.20437552</w:t>
            </w:r>
          </w:p>
        </w:tc>
        <w:tc>
          <w:tcPr>
            <w:tcW w:w="608" w:type="pct"/>
            <w:noWrap w:val="0"/>
            <w:tcMar>
              <w:top w:w="28" w:type="dxa"/>
              <w:left w:w="0" w:type="dxa"/>
              <w:bottom w:w="28" w:type="dxa"/>
              <w:right w:w="0" w:type="dxa"/>
            </w:tcMar>
            <w:vAlign w:val="center"/>
          </w:tcPr>
          <w:p w14:paraId="2957A6C5">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rFonts w:hint="eastAsia"/>
                <w:color w:val="000000"/>
                <w:sz w:val="21"/>
                <w:szCs w:val="21"/>
              </w:rPr>
              <w:t>33.03988107</w:t>
            </w:r>
          </w:p>
        </w:tc>
        <w:tc>
          <w:tcPr>
            <w:tcW w:w="321" w:type="pct"/>
            <w:noWrap w:val="0"/>
            <w:tcMar>
              <w:top w:w="28" w:type="dxa"/>
              <w:left w:w="0" w:type="dxa"/>
              <w:bottom w:w="28" w:type="dxa"/>
              <w:right w:w="0" w:type="dxa"/>
            </w:tcMar>
            <w:vAlign w:val="center"/>
          </w:tcPr>
          <w:p w14:paraId="6B31F6D9">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rFonts w:hint="eastAsia"/>
                <w:color w:val="000000"/>
                <w:sz w:val="21"/>
                <w:szCs w:val="21"/>
              </w:rPr>
              <w:t>171</w:t>
            </w:r>
          </w:p>
        </w:tc>
        <w:tc>
          <w:tcPr>
            <w:tcW w:w="431" w:type="pct"/>
            <w:noWrap w:val="0"/>
            <w:tcMar>
              <w:top w:w="28" w:type="dxa"/>
              <w:left w:w="0" w:type="dxa"/>
              <w:bottom w:w="28" w:type="dxa"/>
              <w:right w:w="0" w:type="dxa"/>
            </w:tcMar>
            <w:vAlign w:val="center"/>
          </w:tcPr>
          <w:p w14:paraId="7B900B96">
            <w:pPr>
              <w:pStyle w:val="33"/>
              <w:keepNext w:val="0"/>
              <w:keepLines w:val="0"/>
              <w:pageBreakBefore w:val="0"/>
              <w:kinsoku/>
              <w:wordWrap/>
              <w:overflowPunct/>
              <w:topLinePunct w:val="0"/>
              <w:autoSpaceDE/>
              <w:autoSpaceDN/>
              <w:bidi w:val="0"/>
              <w:spacing w:line="240" w:lineRule="auto"/>
              <w:ind w:firstLine="0" w:firstLineChars="0"/>
              <w:rPr>
                <w:rFonts w:hint="default" w:eastAsia="宋体"/>
                <w:color w:val="000000"/>
                <w:sz w:val="21"/>
                <w:szCs w:val="21"/>
                <w:lang w:val="en-US" w:eastAsia="zh-CN"/>
              </w:rPr>
            </w:pPr>
            <w:r>
              <w:rPr>
                <w:rFonts w:hint="eastAsia"/>
                <w:color w:val="000000"/>
                <w:sz w:val="21"/>
                <w:szCs w:val="21"/>
                <w:lang w:val="en-US" w:eastAsia="zh-CN"/>
              </w:rPr>
              <w:t>111.11</w:t>
            </w:r>
          </w:p>
        </w:tc>
        <w:tc>
          <w:tcPr>
            <w:tcW w:w="372" w:type="pct"/>
            <w:noWrap w:val="0"/>
            <w:tcMar>
              <w:top w:w="28" w:type="dxa"/>
              <w:left w:w="0" w:type="dxa"/>
              <w:bottom w:w="28" w:type="dxa"/>
              <w:right w:w="0" w:type="dxa"/>
            </w:tcMar>
            <w:vAlign w:val="center"/>
          </w:tcPr>
          <w:p w14:paraId="4ADC4C10">
            <w:pPr>
              <w:pStyle w:val="33"/>
              <w:keepNext w:val="0"/>
              <w:keepLines w:val="0"/>
              <w:pageBreakBefore w:val="0"/>
              <w:kinsoku/>
              <w:wordWrap/>
              <w:overflowPunct/>
              <w:topLinePunct w:val="0"/>
              <w:autoSpaceDE/>
              <w:autoSpaceDN/>
              <w:bidi w:val="0"/>
              <w:spacing w:line="240" w:lineRule="auto"/>
              <w:ind w:firstLine="0" w:firstLineChars="0"/>
              <w:rPr>
                <w:rFonts w:hint="default" w:eastAsia="宋体"/>
                <w:color w:val="000000"/>
                <w:sz w:val="21"/>
                <w:szCs w:val="21"/>
                <w:lang w:val="en-US" w:eastAsia="zh-CN"/>
              </w:rPr>
            </w:pPr>
            <w:r>
              <w:rPr>
                <w:rFonts w:hint="eastAsia"/>
                <w:color w:val="000000"/>
                <w:sz w:val="21"/>
                <w:szCs w:val="21"/>
                <w:lang w:val="en-US" w:eastAsia="zh-CN"/>
              </w:rPr>
              <w:t>45</w:t>
            </w:r>
          </w:p>
        </w:tc>
        <w:tc>
          <w:tcPr>
            <w:tcW w:w="403" w:type="pct"/>
            <w:noWrap w:val="0"/>
            <w:tcMar>
              <w:top w:w="28" w:type="dxa"/>
              <w:left w:w="0" w:type="dxa"/>
              <w:bottom w:w="28" w:type="dxa"/>
              <w:right w:w="0" w:type="dxa"/>
            </w:tcMar>
            <w:vAlign w:val="center"/>
          </w:tcPr>
          <w:p w14:paraId="13AE19E5">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rFonts w:hint="eastAsia"/>
                <w:color w:val="000000"/>
                <w:sz w:val="21"/>
                <w:szCs w:val="21"/>
              </w:rPr>
              <w:t>10</w:t>
            </w:r>
            <w:r>
              <w:rPr>
                <w:color w:val="000000"/>
                <w:sz w:val="21"/>
                <w:szCs w:val="21"/>
              </w:rPr>
              <w:t>.0</w:t>
            </w:r>
          </w:p>
        </w:tc>
        <w:tc>
          <w:tcPr>
            <w:tcW w:w="329" w:type="pct"/>
            <w:noWrap w:val="0"/>
            <w:tcMar>
              <w:top w:w="28" w:type="dxa"/>
              <w:left w:w="0" w:type="dxa"/>
              <w:bottom w:w="28" w:type="dxa"/>
              <w:right w:w="0" w:type="dxa"/>
            </w:tcMar>
            <w:vAlign w:val="center"/>
          </w:tcPr>
          <w:p w14:paraId="7237E57C">
            <w:pPr>
              <w:keepNext w:val="0"/>
              <w:keepLines w:val="0"/>
              <w:pageBreakBefore w:val="0"/>
              <w:kinsoku/>
              <w:wordWrap/>
              <w:overflowPunct/>
              <w:topLinePunct w:val="0"/>
              <w:autoSpaceDE/>
              <w:autoSpaceDN/>
              <w:bidi w:val="0"/>
              <w:spacing w:line="240" w:lineRule="auto"/>
              <w:ind w:firstLine="0" w:firstLineChars="0"/>
              <w:jc w:val="center"/>
              <w:rPr>
                <w:color w:val="000000"/>
                <w:sz w:val="21"/>
                <w:szCs w:val="21"/>
              </w:rPr>
            </w:pPr>
            <w:r>
              <w:rPr>
                <w:rFonts w:hint="eastAsia"/>
                <w:color w:val="000000"/>
                <w:sz w:val="21"/>
                <w:szCs w:val="21"/>
                <w:lang w:val="en-US" w:eastAsia="zh-CN"/>
              </w:rPr>
              <w:t>5280</w:t>
            </w:r>
          </w:p>
        </w:tc>
        <w:tc>
          <w:tcPr>
            <w:tcW w:w="282" w:type="pct"/>
            <w:noWrap w:val="0"/>
            <w:tcMar>
              <w:top w:w="28" w:type="dxa"/>
              <w:left w:w="0" w:type="dxa"/>
              <w:bottom w:w="28" w:type="dxa"/>
              <w:right w:w="0" w:type="dxa"/>
            </w:tcMar>
            <w:vAlign w:val="center"/>
          </w:tcPr>
          <w:p w14:paraId="17B573BD">
            <w:pPr>
              <w:pStyle w:val="33"/>
              <w:keepNext w:val="0"/>
              <w:keepLines w:val="0"/>
              <w:pageBreakBefore w:val="0"/>
              <w:kinsoku/>
              <w:wordWrap/>
              <w:overflowPunct/>
              <w:topLinePunct w:val="0"/>
              <w:autoSpaceDE/>
              <w:autoSpaceDN/>
              <w:bidi w:val="0"/>
              <w:spacing w:line="240" w:lineRule="auto"/>
              <w:ind w:firstLine="0" w:firstLineChars="0"/>
              <w:rPr>
                <w:color w:val="000000"/>
                <w:sz w:val="21"/>
                <w:szCs w:val="21"/>
              </w:rPr>
            </w:pPr>
            <w:r>
              <w:rPr>
                <w:color w:val="000000"/>
                <w:sz w:val="21"/>
                <w:szCs w:val="21"/>
              </w:rPr>
              <w:t>连续</w:t>
            </w:r>
          </w:p>
        </w:tc>
        <w:tc>
          <w:tcPr>
            <w:tcW w:w="383" w:type="pct"/>
            <w:noWrap w:val="0"/>
            <w:tcMar>
              <w:top w:w="28" w:type="dxa"/>
              <w:left w:w="0" w:type="dxa"/>
              <w:bottom w:w="28" w:type="dxa"/>
              <w:right w:w="0" w:type="dxa"/>
            </w:tcMar>
            <w:vAlign w:val="center"/>
          </w:tcPr>
          <w:p w14:paraId="6B24F8D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color w:val="00000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136</w:t>
            </w:r>
          </w:p>
        </w:tc>
        <w:tc>
          <w:tcPr>
            <w:tcW w:w="422" w:type="pct"/>
            <w:noWrap w:val="0"/>
            <w:tcMar>
              <w:top w:w="28" w:type="dxa"/>
              <w:left w:w="0" w:type="dxa"/>
              <w:bottom w:w="28" w:type="dxa"/>
              <w:right w:w="0" w:type="dxa"/>
            </w:tcMar>
            <w:vAlign w:val="center"/>
          </w:tcPr>
          <w:p w14:paraId="6DA900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0.106</w:t>
            </w:r>
          </w:p>
        </w:tc>
        <w:tc>
          <w:tcPr>
            <w:tcW w:w="379" w:type="pct"/>
            <w:noWrap w:val="0"/>
            <w:tcMar>
              <w:top w:w="28" w:type="dxa"/>
              <w:left w:w="0" w:type="dxa"/>
              <w:bottom w:w="28" w:type="dxa"/>
              <w:right w:w="0" w:type="dxa"/>
            </w:tcMar>
            <w:vAlign w:val="center"/>
          </w:tcPr>
          <w:p w14:paraId="584CEE3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color w:val="00000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0.007</w:t>
            </w:r>
          </w:p>
        </w:tc>
      </w:tr>
    </w:tbl>
    <w:p w14:paraId="17E01F5C">
      <w:pPr>
        <w:pStyle w:val="32"/>
        <w:spacing w:line="440" w:lineRule="exact"/>
        <w:rPr>
          <w:color w:val="000000"/>
          <w:spacing w:val="0"/>
          <w:szCs w:val="24"/>
        </w:rPr>
      </w:pPr>
      <w:bookmarkStart w:id="251" w:name="_Toc93766448"/>
      <w:r>
        <w:rPr>
          <w:color w:val="000000"/>
          <w:spacing w:val="0"/>
          <w:szCs w:val="24"/>
        </w:rPr>
        <w:t>表4.3-3  污染物非正常排放源强一览表</w:t>
      </w:r>
    </w:p>
    <w:tbl>
      <w:tblPr>
        <w:tblStyle w:val="29"/>
        <w:tblW w:w="50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45"/>
        <w:gridCol w:w="1205"/>
        <w:gridCol w:w="1396"/>
        <w:gridCol w:w="1309"/>
        <w:gridCol w:w="1119"/>
        <w:gridCol w:w="1398"/>
        <w:gridCol w:w="1139"/>
        <w:gridCol w:w="1300"/>
      </w:tblGrid>
      <w:tr w14:paraId="4C4C5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restart"/>
            <w:vAlign w:val="center"/>
          </w:tcPr>
          <w:p w14:paraId="5DD4018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614" w:type="pct"/>
            <w:vMerge w:val="restart"/>
            <w:vAlign w:val="center"/>
          </w:tcPr>
          <w:p w14:paraId="38C8621F">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污染因子</w:t>
            </w:r>
          </w:p>
        </w:tc>
        <w:tc>
          <w:tcPr>
            <w:tcW w:w="711" w:type="pct"/>
            <w:vMerge w:val="restart"/>
            <w:vAlign w:val="center"/>
          </w:tcPr>
          <w:p w14:paraId="03DFFC0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非正常排放原因</w:t>
            </w:r>
          </w:p>
        </w:tc>
        <w:tc>
          <w:tcPr>
            <w:tcW w:w="667" w:type="pct"/>
            <w:vMerge w:val="restart"/>
            <w:vAlign w:val="center"/>
          </w:tcPr>
          <w:p w14:paraId="223621F3">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发生频次</w:t>
            </w:r>
          </w:p>
        </w:tc>
        <w:tc>
          <w:tcPr>
            <w:tcW w:w="570" w:type="pct"/>
            <w:vMerge w:val="restart"/>
            <w:vAlign w:val="center"/>
          </w:tcPr>
          <w:p w14:paraId="0438B386">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单次持续时间</w:t>
            </w:r>
          </w:p>
        </w:tc>
        <w:tc>
          <w:tcPr>
            <w:tcW w:w="1954" w:type="pct"/>
            <w:gridSpan w:val="3"/>
            <w:vAlign w:val="center"/>
          </w:tcPr>
          <w:p w14:paraId="2908B25D">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非正常排放工况</w:t>
            </w:r>
          </w:p>
        </w:tc>
      </w:tr>
      <w:tr w14:paraId="5B08E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43C478DB">
            <w:pPr>
              <w:pStyle w:val="35"/>
              <w:rPr>
                <w:rFonts w:hint="default"/>
                <w:color w:val="000000" w:themeColor="text1"/>
                <w14:textFill>
                  <w14:solidFill>
                    <w14:schemeClr w14:val="tx1"/>
                  </w14:solidFill>
                </w14:textFill>
              </w:rPr>
            </w:pPr>
          </w:p>
        </w:tc>
        <w:tc>
          <w:tcPr>
            <w:tcW w:w="614" w:type="pct"/>
            <w:vMerge w:val="continue"/>
            <w:vAlign w:val="center"/>
          </w:tcPr>
          <w:p w14:paraId="46180954">
            <w:pPr>
              <w:pStyle w:val="35"/>
              <w:rPr>
                <w:rFonts w:hint="default"/>
                <w:color w:val="000000" w:themeColor="text1"/>
                <w14:textFill>
                  <w14:solidFill>
                    <w14:schemeClr w14:val="tx1"/>
                  </w14:solidFill>
                </w14:textFill>
              </w:rPr>
            </w:pPr>
          </w:p>
        </w:tc>
        <w:tc>
          <w:tcPr>
            <w:tcW w:w="711" w:type="pct"/>
            <w:vMerge w:val="continue"/>
            <w:vAlign w:val="center"/>
          </w:tcPr>
          <w:p w14:paraId="4062A2D0">
            <w:pPr>
              <w:pStyle w:val="35"/>
              <w:rPr>
                <w:rFonts w:hint="default"/>
                <w:color w:val="000000" w:themeColor="text1"/>
                <w14:textFill>
                  <w14:solidFill>
                    <w14:schemeClr w14:val="tx1"/>
                  </w14:solidFill>
                </w14:textFill>
              </w:rPr>
            </w:pPr>
          </w:p>
        </w:tc>
        <w:tc>
          <w:tcPr>
            <w:tcW w:w="667" w:type="pct"/>
            <w:vMerge w:val="continue"/>
            <w:vAlign w:val="center"/>
          </w:tcPr>
          <w:p w14:paraId="29E8B50D">
            <w:pPr>
              <w:pStyle w:val="35"/>
              <w:rPr>
                <w:rFonts w:hint="default"/>
                <w:color w:val="000000" w:themeColor="text1"/>
                <w14:textFill>
                  <w14:solidFill>
                    <w14:schemeClr w14:val="tx1"/>
                  </w14:solidFill>
                </w14:textFill>
              </w:rPr>
            </w:pPr>
          </w:p>
        </w:tc>
        <w:tc>
          <w:tcPr>
            <w:tcW w:w="570" w:type="pct"/>
            <w:vMerge w:val="continue"/>
            <w:vAlign w:val="center"/>
          </w:tcPr>
          <w:p w14:paraId="21DDAE0A">
            <w:pPr>
              <w:pStyle w:val="35"/>
              <w:rPr>
                <w:rFonts w:hint="default"/>
                <w:color w:val="000000" w:themeColor="text1"/>
                <w14:textFill>
                  <w14:solidFill>
                    <w14:schemeClr w14:val="tx1"/>
                  </w14:solidFill>
                </w14:textFill>
              </w:rPr>
            </w:pPr>
          </w:p>
        </w:tc>
        <w:tc>
          <w:tcPr>
            <w:tcW w:w="712" w:type="pct"/>
            <w:vAlign w:val="center"/>
          </w:tcPr>
          <w:p w14:paraId="1F3F6B10">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排放浓度（mg/m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580" w:type="pct"/>
            <w:vAlign w:val="center"/>
          </w:tcPr>
          <w:p w14:paraId="31A74789">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排放速率（kg/h）</w:t>
            </w:r>
          </w:p>
        </w:tc>
        <w:tc>
          <w:tcPr>
            <w:tcW w:w="661" w:type="pct"/>
            <w:vAlign w:val="center"/>
          </w:tcPr>
          <w:p w14:paraId="1102906B">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单次排放量（kg/次）</w:t>
            </w:r>
          </w:p>
        </w:tc>
      </w:tr>
      <w:tr w14:paraId="71885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Align w:val="center"/>
          </w:tcPr>
          <w:p w14:paraId="2FB02E2B">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DA001</w:t>
            </w:r>
          </w:p>
        </w:tc>
        <w:tc>
          <w:tcPr>
            <w:tcW w:w="614" w:type="pct"/>
            <w:vAlign w:val="center"/>
          </w:tcPr>
          <w:p w14:paraId="353518C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711" w:type="pct"/>
            <w:vMerge w:val="restart"/>
            <w:vAlign w:val="center"/>
          </w:tcPr>
          <w:p w14:paraId="68107601">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废气处理设施故障，按最不利情况考虑，处理效率为0%</w:t>
            </w:r>
          </w:p>
        </w:tc>
        <w:tc>
          <w:tcPr>
            <w:tcW w:w="667" w:type="pct"/>
            <w:vAlign w:val="center"/>
          </w:tcPr>
          <w:p w14:paraId="13932A55">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5CC917BA">
            <w:pPr>
              <w:pStyle w:val="35"/>
              <w:rPr>
                <w:rFonts w:hint="default"/>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1E081C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14:textFill>
                  <w14:solidFill>
                    <w14:schemeClr w14:val="tx1"/>
                  </w14:solidFill>
                </w14:textFill>
              </w:rPr>
            </w:pPr>
            <w:r>
              <w:rPr>
                <w:rFonts w:hint="default"/>
                <w:sz w:val="21"/>
                <w:szCs w:val="21"/>
                <w:lang w:val="en-US" w:eastAsia="zh-CN"/>
              </w:rPr>
              <w:t>244.934</w:t>
            </w:r>
          </w:p>
        </w:tc>
        <w:tc>
          <w:tcPr>
            <w:tcW w:w="1139" w:type="dxa"/>
            <w:vAlign w:val="center"/>
          </w:tcPr>
          <w:p w14:paraId="5683FEDC">
            <w:pPr>
              <w:pStyle w:val="35"/>
              <w:ind w:firstLine="0" w:firstLineChars="0"/>
              <w:rPr>
                <w:rFonts w:hint="default"/>
                <w:color w:val="000000" w:themeColor="text1"/>
                <w14:textFill>
                  <w14:solidFill>
                    <w14:schemeClr w14:val="tx1"/>
                  </w14:solidFill>
                </w14:textFill>
              </w:rPr>
            </w:pPr>
            <w:r>
              <w:rPr>
                <w:rFonts w:hint="default"/>
                <w:sz w:val="21"/>
                <w:szCs w:val="21"/>
                <w:lang w:val="en-US" w:eastAsia="zh-CN"/>
              </w:rPr>
              <w:t>0.980</w:t>
            </w:r>
          </w:p>
        </w:tc>
        <w:tc>
          <w:tcPr>
            <w:tcW w:w="1300" w:type="dxa"/>
            <w:vAlign w:val="center"/>
          </w:tcPr>
          <w:p w14:paraId="37202B3C">
            <w:pPr>
              <w:pStyle w:val="35"/>
              <w:ind w:firstLine="0" w:firstLineChars="0"/>
              <w:rPr>
                <w:rFonts w:hint="default"/>
                <w:color w:val="000000" w:themeColor="text1"/>
                <w14:textFill>
                  <w14:solidFill>
                    <w14:schemeClr w14:val="tx1"/>
                  </w14:solidFill>
                </w14:textFill>
              </w:rPr>
            </w:pPr>
            <w:r>
              <w:rPr>
                <w:rFonts w:hint="default"/>
                <w:sz w:val="21"/>
                <w:szCs w:val="21"/>
                <w:lang w:val="en-US" w:eastAsia="zh-CN"/>
              </w:rPr>
              <w:t>0.980</w:t>
            </w:r>
          </w:p>
        </w:tc>
      </w:tr>
      <w:tr w14:paraId="3A1EF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restart"/>
            <w:vAlign w:val="center"/>
          </w:tcPr>
          <w:p w14:paraId="5EFEEF19">
            <w:pPr>
              <w:pStyle w:val="35"/>
              <w:rPr>
                <w:color w:val="000000" w:themeColor="text1"/>
                <w14:textFill>
                  <w14:solidFill>
                    <w14:schemeClr w14:val="tx1"/>
                  </w14:solidFill>
                </w14:textFill>
              </w:rPr>
            </w:pPr>
            <w:r>
              <w:rPr>
                <w:sz w:val="21"/>
                <w:szCs w:val="21"/>
              </w:rPr>
              <w:t>DA00</w:t>
            </w:r>
            <w:r>
              <w:rPr>
                <w:rFonts w:hint="eastAsia"/>
                <w:sz w:val="21"/>
                <w:szCs w:val="21"/>
              </w:rPr>
              <w:t>2</w:t>
            </w:r>
          </w:p>
        </w:tc>
        <w:tc>
          <w:tcPr>
            <w:tcW w:w="614" w:type="pct"/>
            <w:vAlign w:val="center"/>
          </w:tcPr>
          <w:p w14:paraId="1CECB66E">
            <w:pPr>
              <w:pStyle w:val="35"/>
              <w:rPr>
                <w:color w:val="000000" w:themeColor="text1"/>
                <w14:textFill>
                  <w14:solidFill>
                    <w14:schemeClr w14:val="tx1"/>
                  </w14:solidFill>
                </w14:textFill>
              </w:rPr>
            </w:pPr>
            <w:r>
              <w:rPr>
                <w:color w:val="000000"/>
                <w:sz w:val="21"/>
                <w:szCs w:val="21"/>
              </w:rPr>
              <w:t>颗粒物</w:t>
            </w:r>
          </w:p>
        </w:tc>
        <w:tc>
          <w:tcPr>
            <w:tcW w:w="711" w:type="pct"/>
            <w:vMerge w:val="continue"/>
            <w:vAlign w:val="center"/>
          </w:tcPr>
          <w:p w14:paraId="4B71BF28">
            <w:pPr>
              <w:pStyle w:val="35"/>
              <w:rPr>
                <w:color w:val="000000" w:themeColor="text1"/>
                <w14:textFill>
                  <w14:solidFill>
                    <w14:schemeClr w14:val="tx1"/>
                  </w14:solidFill>
                </w14:textFill>
              </w:rPr>
            </w:pPr>
          </w:p>
        </w:tc>
        <w:tc>
          <w:tcPr>
            <w:tcW w:w="667" w:type="pct"/>
            <w:vAlign w:val="center"/>
          </w:tcPr>
          <w:p w14:paraId="110C3784">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7FF00F32">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1F6E53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197.528</w:t>
            </w:r>
          </w:p>
        </w:tc>
        <w:tc>
          <w:tcPr>
            <w:tcW w:w="1139" w:type="dxa"/>
            <w:vAlign w:val="center"/>
          </w:tcPr>
          <w:p w14:paraId="13B389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3.951</w:t>
            </w:r>
          </w:p>
        </w:tc>
        <w:tc>
          <w:tcPr>
            <w:tcW w:w="1300" w:type="dxa"/>
            <w:vAlign w:val="center"/>
          </w:tcPr>
          <w:p w14:paraId="2BB7AE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3.951</w:t>
            </w:r>
          </w:p>
        </w:tc>
      </w:tr>
      <w:tr w14:paraId="08EDB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24E29E05">
            <w:pPr>
              <w:pStyle w:val="35"/>
              <w:rPr>
                <w:sz w:val="21"/>
                <w:szCs w:val="21"/>
              </w:rPr>
            </w:pPr>
          </w:p>
        </w:tc>
        <w:tc>
          <w:tcPr>
            <w:tcW w:w="614" w:type="pct"/>
            <w:vAlign w:val="center"/>
          </w:tcPr>
          <w:p w14:paraId="1B1459CE">
            <w:pPr>
              <w:pStyle w:val="43"/>
              <w:keepNext w:val="0"/>
              <w:keepLines w:val="0"/>
              <w:pageBreakBefore w:val="0"/>
              <w:kinsoku/>
              <w:wordWrap/>
              <w:overflowPunct/>
              <w:topLinePunct w:val="0"/>
              <w:autoSpaceDE/>
              <w:autoSpaceDN/>
              <w:bidi w:val="0"/>
              <w:adjustRightInd w:val="0"/>
              <w:snapToGrid w:val="0"/>
              <w:spacing w:line="240" w:lineRule="auto"/>
              <w:ind w:firstLine="0" w:firstLineChars="0"/>
              <w:rPr>
                <w:color w:val="000000" w:themeColor="text1"/>
                <w14:textFill>
                  <w14:solidFill>
                    <w14:schemeClr w14:val="tx1"/>
                  </w14:solidFill>
                </w14:textFill>
              </w:rPr>
            </w:pPr>
            <w:r>
              <w:rPr>
                <w:sz w:val="21"/>
                <w:szCs w:val="21"/>
              </w:rPr>
              <w:t>非甲烷总烃</w:t>
            </w:r>
          </w:p>
        </w:tc>
        <w:tc>
          <w:tcPr>
            <w:tcW w:w="711" w:type="pct"/>
            <w:vMerge w:val="continue"/>
            <w:vAlign w:val="center"/>
          </w:tcPr>
          <w:p w14:paraId="62BE575C">
            <w:pPr>
              <w:pStyle w:val="35"/>
              <w:rPr>
                <w:color w:val="000000" w:themeColor="text1"/>
                <w14:textFill>
                  <w14:solidFill>
                    <w14:schemeClr w14:val="tx1"/>
                  </w14:solidFill>
                </w14:textFill>
              </w:rPr>
            </w:pPr>
          </w:p>
        </w:tc>
        <w:tc>
          <w:tcPr>
            <w:tcW w:w="667" w:type="pct"/>
            <w:vAlign w:val="center"/>
          </w:tcPr>
          <w:p w14:paraId="18D8B8B8">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705AC85C">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18C3E2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47.557</w:t>
            </w:r>
          </w:p>
        </w:tc>
        <w:tc>
          <w:tcPr>
            <w:tcW w:w="1139" w:type="dxa"/>
            <w:vAlign w:val="center"/>
          </w:tcPr>
          <w:p w14:paraId="31F341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0.951</w:t>
            </w:r>
          </w:p>
        </w:tc>
        <w:tc>
          <w:tcPr>
            <w:tcW w:w="1300" w:type="dxa"/>
            <w:vAlign w:val="center"/>
          </w:tcPr>
          <w:p w14:paraId="63C5CD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0.951</w:t>
            </w:r>
          </w:p>
        </w:tc>
      </w:tr>
      <w:tr w14:paraId="0EABB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Merge w:val="continue"/>
            <w:vAlign w:val="center"/>
          </w:tcPr>
          <w:p w14:paraId="4BED9CF6">
            <w:pPr>
              <w:pStyle w:val="35"/>
              <w:rPr>
                <w:sz w:val="21"/>
                <w:szCs w:val="21"/>
              </w:rPr>
            </w:pPr>
          </w:p>
        </w:tc>
        <w:tc>
          <w:tcPr>
            <w:tcW w:w="614" w:type="pct"/>
            <w:vAlign w:val="center"/>
          </w:tcPr>
          <w:p w14:paraId="7D178E9E">
            <w:pPr>
              <w:pStyle w:val="43"/>
              <w:keepNext w:val="0"/>
              <w:keepLines w:val="0"/>
              <w:pageBreakBefore w:val="0"/>
              <w:kinsoku/>
              <w:wordWrap/>
              <w:overflowPunct/>
              <w:topLinePunct w:val="0"/>
              <w:autoSpaceDE/>
              <w:autoSpaceDN/>
              <w:bidi w:val="0"/>
              <w:adjustRightInd w:val="0"/>
              <w:snapToGrid w:val="0"/>
              <w:spacing w:line="240" w:lineRule="auto"/>
              <w:ind w:firstLine="0" w:firstLineChars="0"/>
              <w:rPr>
                <w:color w:val="000000" w:themeColor="text1"/>
                <w14:textFill>
                  <w14:solidFill>
                    <w14:schemeClr w14:val="tx1"/>
                  </w14:solidFill>
                </w14:textFill>
              </w:rPr>
            </w:pPr>
            <w:r>
              <w:rPr>
                <w:sz w:val="21"/>
                <w:szCs w:val="21"/>
              </w:rPr>
              <w:t>甲醛</w:t>
            </w:r>
          </w:p>
        </w:tc>
        <w:tc>
          <w:tcPr>
            <w:tcW w:w="711" w:type="pct"/>
            <w:vMerge w:val="continue"/>
            <w:vAlign w:val="center"/>
          </w:tcPr>
          <w:p w14:paraId="690DA600">
            <w:pPr>
              <w:pStyle w:val="35"/>
              <w:rPr>
                <w:color w:val="000000" w:themeColor="text1"/>
                <w14:textFill>
                  <w14:solidFill>
                    <w14:schemeClr w14:val="tx1"/>
                  </w14:solidFill>
                </w14:textFill>
              </w:rPr>
            </w:pPr>
          </w:p>
        </w:tc>
        <w:tc>
          <w:tcPr>
            <w:tcW w:w="667" w:type="pct"/>
            <w:vAlign w:val="center"/>
          </w:tcPr>
          <w:p w14:paraId="7F78CF96">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2F0371BD">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75BAAF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3.068</w:t>
            </w:r>
          </w:p>
        </w:tc>
        <w:tc>
          <w:tcPr>
            <w:tcW w:w="1139" w:type="dxa"/>
            <w:vAlign w:val="center"/>
          </w:tcPr>
          <w:p w14:paraId="183947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0.061</w:t>
            </w:r>
          </w:p>
        </w:tc>
        <w:tc>
          <w:tcPr>
            <w:tcW w:w="1300" w:type="dxa"/>
            <w:vAlign w:val="center"/>
          </w:tcPr>
          <w:p w14:paraId="65EEBC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0.061</w:t>
            </w:r>
          </w:p>
        </w:tc>
      </w:tr>
      <w:tr w14:paraId="42F7B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Align w:val="center"/>
          </w:tcPr>
          <w:p w14:paraId="6B006F21">
            <w:pPr>
              <w:keepNext w:val="0"/>
              <w:keepLines w:val="0"/>
              <w:pageBreakBefore w:val="0"/>
              <w:kinsoku/>
              <w:wordWrap/>
              <w:overflowPunct/>
              <w:topLinePunct w:val="0"/>
              <w:autoSpaceDE/>
              <w:autoSpaceDN/>
              <w:bidi w:val="0"/>
              <w:spacing w:line="240" w:lineRule="auto"/>
              <w:ind w:firstLine="0" w:firstLineChars="0"/>
              <w:jc w:val="center"/>
              <w:rPr>
                <w:color w:val="000000" w:themeColor="text1"/>
                <w14:textFill>
                  <w14:solidFill>
                    <w14:schemeClr w14:val="tx1"/>
                  </w14:solidFill>
                </w14:textFill>
              </w:rPr>
            </w:pPr>
            <w:r>
              <w:rPr>
                <w:sz w:val="21"/>
                <w:szCs w:val="21"/>
              </w:rPr>
              <w:t>DA0</w:t>
            </w:r>
            <w:r>
              <w:rPr>
                <w:rFonts w:hint="eastAsia"/>
                <w:sz w:val="21"/>
                <w:szCs w:val="21"/>
              </w:rPr>
              <w:t>03</w:t>
            </w:r>
          </w:p>
        </w:tc>
        <w:tc>
          <w:tcPr>
            <w:tcW w:w="614" w:type="pct"/>
            <w:vAlign w:val="center"/>
          </w:tcPr>
          <w:p w14:paraId="5F1599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color w:val="000000" w:themeColor="text1"/>
                <w14:textFill>
                  <w14:solidFill>
                    <w14:schemeClr w14:val="tx1"/>
                  </w14:solidFill>
                </w14:textFill>
              </w:rPr>
            </w:pPr>
            <w:r>
              <w:rPr>
                <w:sz w:val="21"/>
                <w:szCs w:val="21"/>
              </w:rPr>
              <w:t>颗粒物</w:t>
            </w:r>
          </w:p>
        </w:tc>
        <w:tc>
          <w:tcPr>
            <w:tcW w:w="711" w:type="pct"/>
            <w:vMerge w:val="continue"/>
            <w:vAlign w:val="center"/>
          </w:tcPr>
          <w:p w14:paraId="030D1B82">
            <w:pPr>
              <w:pStyle w:val="35"/>
              <w:rPr>
                <w:color w:val="000000" w:themeColor="text1"/>
                <w14:textFill>
                  <w14:solidFill>
                    <w14:schemeClr w14:val="tx1"/>
                  </w14:solidFill>
                </w14:textFill>
              </w:rPr>
            </w:pPr>
          </w:p>
        </w:tc>
        <w:tc>
          <w:tcPr>
            <w:tcW w:w="667" w:type="pct"/>
            <w:vAlign w:val="center"/>
          </w:tcPr>
          <w:p w14:paraId="65886881">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13552888">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5B627568">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228.295</w:t>
            </w:r>
          </w:p>
        </w:tc>
        <w:tc>
          <w:tcPr>
            <w:tcW w:w="1139" w:type="dxa"/>
            <w:vAlign w:val="center"/>
          </w:tcPr>
          <w:p w14:paraId="35BB8408">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9.132</w:t>
            </w:r>
          </w:p>
        </w:tc>
        <w:tc>
          <w:tcPr>
            <w:tcW w:w="1300" w:type="dxa"/>
            <w:vAlign w:val="center"/>
          </w:tcPr>
          <w:p w14:paraId="474E9BCD">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9.132</w:t>
            </w:r>
          </w:p>
        </w:tc>
      </w:tr>
      <w:tr w14:paraId="000D3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82" w:type="pct"/>
            <w:vAlign w:val="center"/>
          </w:tcPr>
          <w:p w14:paraId="036C4C98">
            <w:pPr>
              <w:keepNext w:val="0"/>
              <w:keepLines w:val="0"/>
              <w:pageBreakBefore w:val="0"/>
              <w:kinsoku/>
              <w:wordWrap/>
              <w:overflowPunct/>
              <w:topLinePunct w:val="0"/>
              <w:autoSpaceDE/>
              <w:autoSpaceDN/>
              <w:bidi w:val="0"/>
              <w:spacing w:line="240" w:lineRule="auto"/>
              <w:ind w:firstLine="0" w:firstLineChars="0"/>
              <w:jc w:val="center"/>
              <w:rPr>
                <w:color w:val="000000" w:themeColor="text1"/>
                <w14:textFill>
                  <w14:solidFill>
                    <w14:schemeClr w14:val="tx1"/>
                  </w14:solidFill>
                </w14:textFill>
              </w:rPr>
            </w:pPr>
            <w:r>
              <w:rPr>
                <w:sz w:val="21"/>
                <w:szCs w:val="21"/>
              </w:rPr>
              <w:t>DA0</w:t>
            </w:r>
            <w:r>
              <w:rPr>
                <w:rFonts w:hint="eastAsia"/>
                <w:sz w:val="21"/>
                <w:szCs w:val="21"/>
              </w:rPr>
              <w:t>04</w:t>
            </w:r>
          </w:p>
        </w:tc>
        <w:tc>
          <w:tcPr>
            <w:tcW w:w="614" w:type="pct"/>
            <w:vAlign w:val="center"/>
          </w:tcPr>
          <w:p w14:paraId="1C5B4A6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color w:val="000000" w:themeColor="text1"/>
                <w14:textFill>
                  <w14:solidFill>
                    <w14:schemeClr w14:val="tx1"/>
                  </w14:solidFill>
                </w14:textFill>
              </w:rPr>
            </w:pPr>
            <w:r>
              <w:rPr>
                <w:sz w:val="21"/>
                <w:szCs w:val="21"/>
              </w:rPr>
              <w:t>颗粒物</w:t>
            </w:r>
          </w:p>
        </w:tc>
        <w:tc>
          <w:tcPr>
            <w:tcW w:w="711" w:type="pct"/>
            <w:vMerge w:val="continue"/>
            <w:vAlign w:val="center"/>
          </w:tcPr>
          <w:p w14:paraId="1F73C1DE">
            <w:pPr>
              <w:pStyle w:val="35"/>
              <w:rPr>
                <w:color w:val="000000" w:themeColor="text1"/>
                <w14:textFill>
                  <w14:solidFill>
                    <w14:schemeClr w14:val="tx1"/>
                  </w14:solidFill>
                </w14:textFill>
              </w:rPr>
            </w:pPr>
          </w:p>
        </w:tc>
        <w:tc>
          <w:tcPr>
            <w:tcW w:w="667" w:type="pct"/>
            <w:vAlign w:val="center"/>
          </w:tcPr>
          <w:p w14:paraId="6C85355E">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1次/年</w:t>
            </w:r>
          </w:p>
        </w:tc>
        <w:tc>
          <w:tcPr>
            <w:tcW w:w="570" w:type="pct"/>
            <w:vAlign w:val="center"/>
          </w:tcPr>
          <w:p w14:paraId="07484BAF">
            <w:pPr>
              <w:pStyle w:val="35"/>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1h/次</w:t>
            </w:r>
          </w:p>
        </w:tc>
        <w:tc>
          <w:tcPr>
            <w:tcW w:w="1398" w:type="dxa"/>
            <w:vAlign w:val="center"/>
          </w:tcPr>
          <w:p w14:paraId="78125D08">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209.508</w:t>
            </w:r>
          </w:p>
        </w:tc>
        <w:tc>
          <w:tcPr>
            <w:tcW w:w="1139" w:type="dxa"/>
            <w:vAlign w:val="center"/>
          </w:tcPr>
          <w:p w14:paraId="1A80A054">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5.238</w:t>
            </w:r>
          </w:p>
        </w:tc>
        <w:tc>
          <w:tcPr>
            <w:tcW w:w="1300" w:type="dxa"/>
            <w:vAlign w:val="center"/>
          </w:tcPr>
          <w:p w14:paraId="1602C5EE">
            <w:pPr>
              <w:pStyle w:val="35"/>
              <w:ind w:firstLine="0" w:firstLineChars="0"/>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5.238</w:t>
            </w:r>
          </w:p>
        </w:tc>
      </w:tr>
    </w:tbl>
    <w:p w14:paraId="2D177705">
      <w:pPr>
        <w:pStyle w:val="3"/>
        <w:rPr>
          <w:color w:val="000000"/>
        </w:rPr>
      </w:pPr>
      <w:bookmarkStart w:id="252" w:name="_Toc161600321"/>
      <w:bookmarkEnd w:id="252"/>
      <w:bookmarkStart w:id="253" w:name="_Toc161600320"/>
      <w:bookmarkEnd w:id="253"/>
      <w:bookmarkStart w:id="254" w:name="_Toc1134"/>
      <w:bookmarkStart w:id="255" w:name="_Toc11018"/>
      <w:bookmarkStart w:id="256" w:name="_Toc161600322"/>
      <w:bookmarkStart w:id="257" w:name="_Toc28229"/>
      <w:r>
        <w:rPr>
          <w:rFonts w:hint="eastAsia"/>
          <w:color w:val="000000"/>
        </w:rPr>
        <w:t>4</w:t>
      </w:r>
      <w:r>
        <w:rPr>
          <w:color w:val="000000"/>
        </w:rPr>
        <w:t>.4.预测结果</w:t>
      </w:r>
      <w:bookmarkEnd w:id="251"/>
      <w:r>
        <w:rPr>
          <w:color w:val="000000"/>
        </w:rPr>
        <w:t>与影响评价</w:t>
      </w:r>
      <w:bookmarkEnd w:id="254"/>
      <w:bookmarkEnd w:id="255"/>
      <w:bookmarkEnd w:id="256"/>
      <w:bookmarkEnd w:id="257"/>
    </w:p>
    <w:p w14:paraId="35C62B3D">
      <w:pPr>
        <w:pStyle w:val="4"/>
        <w:rPr>
          <w:color w:val="000000"/>
        </w:rPr>
      </w:pPr>
      <w:bookmarkStart w:id="258" w:name="_Toc8975"/>
      <w:bookmarkStart w:id="259" w:name="_Toc12216"/>
      <w:bookmarkStart w:id="260" w:name="_Toc324"/>
      <w:bookmarkStart w:id="261" w:name="_Toc161600323"/>
      <w:bookmarkStart w:id="262" w:name="_Toc4993"/>
      <w:bookmarkStart w:id="263" w:name="_Toc11069"/>
      <w:bookmarkStart w:id="264" w:name="_Toc5986"/>
      <w:bookmarkStart w:id="265" w:name="_Toc9032"/>
      <w:r>
        <w:rPr>
          <w:rFonts w:hint="eastAsia"/>
          <w:color w:val="000000"/>
        </w:rPr>
        <w:t>4</w:t>
      </w:r>
      <w:r>
        <w:rPr>
          <w:color w:val="000000"/>
        </w:rPr>
        <w:t>.4.1.正常排放估算模式计算结果</w:t>
      </w:r>
      <w:bookmarkEnd w:id="258"/>
      <w:bookmarkEnd w:id="259"/>
      <w:bookmarkEnd w:id="260"/>
      <w:bookmarkEnd w:id="261"/>
      <w:bookmarkEnd w:id="262"/>
      <w:bookmarkEnd w:id="263"/>
      <w:bookmarkEnd w:id="264"/>
      <w:bookmarkEnd w:id="265"/>
    </w:p>
    <w:p w14:paraId="18B3AB07">
      <w:pPr>
        <w:bidi w:val="0"/>
        <w:rPr>
          <w:rFonts w:hint="eastAsia"/>
          <w:lang w:val="en-US" w:eastAsia="zh-CN"/>
        </w:rPr>
      </w:pPr>
      <w:r>
        <w:t>正常情况下项目排放的大气污染物估算模式计算结果见下表。</w:t>
      </w:r>
    </w:p>
    <w:p w14:paraId="489BF0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Cs/>
          <w:sz w:val="24"/>
          <w:szCs w:val="28"/>
          <w:lang w:val="en-US" w:eastAsia="zh-CN"/>
        </w:rPr>
      </w:pPr>
      <w:r>
        <w:rPr>
          <w:rFonts w:hint="default" w:ascii="Times New Roman" w:hAnsi="Times New Roman" w:eastAsia="黑体" w:cs="黑体"/>
          <w:b w:val="0"/>
          <w:bCs/>
          <w:color w:val="auto"/>
          <w:kern w:val="2"/>
          <w:sz w:val="24"/>
          <w:szCs w:val="24"/>
          <w:lang w:val="en-US" w:eastAsia="zh-CN" w:bidi="ar-SA"/>
        </w:rPr>
        <w:t>表</w:t>
      </w:r>
      <w:r>
        <w:rPr>
          <w:color w:val="000000"/>
          <w:spacing w:val="0"/>
          <w:szCs w:val="24"/>
        </w:rPr>
        <w:t>4.</w:t>
      </w:r>
      <w:r>
        <w:rPr>
          <w:rFonts w:hint="eastAsia"/>
          <w:color w:val="000000"/>
          <w:spacing w:val="0"/>
          <w:szCs w:val="24"/>
          <w:lang w:val="en-US" w:eastAsia="zh-CN"/>
        </w:rPr>
        <w:t>4</w:t>
      </w:r>
      <w:r>
        <w:rPr>
          <w:color w:val="000000"/>
          <w:spacing w:val="0"/>
          <w:szCs w:val="24"/>
        </w:rPr>
        <w:t>-1</w:t>
      </w:r>
      <w:r>
        <w:rPr>
          <w:rFonts w:hint="eastAsia" w:ascii="Times New Roman" w:hAnsi="Times New Roman" w:eastAsia="黑体" w:cs="黑体"/>
          <w:b w:val="0"/>
          <w:bCs/>
          <w:color w:val="auto"/>
          <w:kern w:val="2"/>
          <w:sz w:val="24"/>
          <w:szCs w:val="24"/>
          <w:lang w:val="en-US" w:eastAsia="zh-CN" w:bidi="ar-SA"/>
        </w:rPr>
        <w:t xml:space="preserve">  </w:t>
      </w:r>
      <w:r>
        <w:rPr>
          <w:rFonts w:hint="eastAsia" w:ascii="黑体" w:hAnsi="黑体" w:eastAsia="黑体" w:cs="黑体"/>
          <w:bCs/>
          <w:sz w:val="24"/>
          <w:szCs w:val="28"/>
          <w:lang w:val="en-US" w:eastAsia="zh-CN"/>
        </w:rPr>
        <w:t>有组织废气下风向轴向浓度估算结果表</w:t>
      </w:r>
    </w:p>
    <w:tbl>
      <w:tblPr>
        <w:tblStyle w:val="28"/>
        <w:tblW w:w="4997" w:type="pct"/>
        <w:tblInd w:w="1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034"/>
        <w:gridCol w:w="1527"/>
        <w:gridCol w:w="1192"/>
        <w:gridCol w:w="1372"/>
        <w:gridCol w:w="1280"/>
        <w:gridCol w:w="1415"/>
        <w:gridCol w:w="1129"/>
      </w:tblGrid>
      <w:tr w14:paraId="36422D4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vMerge w:val="restart"/>
            <w:tcBorders>
              <w:tl2br w:val="nil"/>
              <w:tr2bl w:val="nil"/>
            </w:tcBorders>
            <w:vAlign w:val="center"/>
          </w:tcPr>
          <w:p w14:paraId="41F459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下风向距离</w:t>
            </w:r>
          </w:p>
          <w:p w14:paraId="1FF9B7C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m</w:t>
            </w:r>
            <w:r>
              <w:rPr>
                <w:rFonts w:hint="default" w:ascii="Times New Roman" w:hAnsi="Times New Roman" w:eastAsia="宋体" w:cs="Times New Roman"/>
                <w:color w:val="auto"/>
                <w:sz w:val="21"/>
                <w:szCs w:val="21"/>
                <w:highlight w:val="none"/>
                <w:u w:val="none"/>
              </w:rPr>
              <w:t>）</w:t>
            </w:r>
          </w:p>
        </w:tc>
        <w:tc>
          <w:tcPr>
            <w:tcW w:w="1366" w:type="pct"/>
            <w:gridSpan w:val="2"/>
            <w:tcBorders>
              <w:tl2br w:val="nil"/>
              <w:tr2bl w:val="nil"/>
            </w:tcBorders>
            <w:vAlign w:val="center"/>
          </w:tcPr>
          <w:p w14:paraId="03367D7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DA001</w:t>
            </w:r>
          </w:p>
        </w:tc>
        <w:tc>
          <w:tcPr>
            <w:tcW w:w="1332" w:type="pct"/>
            <w:gridSpan w:val="2"/>
            <w:tcBorders>
              <w:tl2br w:val="nil"/>
              <w:tr2bl w:val="nil"/>
            </w:tcBorders>
            <w:vAlign w:val="center"/>
          </w:tcPr>
          <w:p w14:paraId="3347DE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DA003</w:t>
            </w:r>
          </w:p>
        </w:tc>
        <w:tc>
          <w:tcPr>
            <w:tcW w:w="1278" w:type="pct"/>
            <w:gridSpan w:val="2"/>
            <w:tcBorders>
              <w:tl2br w:val="nil"/>
              <w:tr2bl w:val="nil"/>
            </w:tcBorders>
            <w:vAlign w:val="center"/>
          </w:tcPr>
          <w:p w14:paraId="41A393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DA004</w:t>
            </w:r>
          </w:p>
        </w:tc>
      </w:tr>
      <w:tr w14:paraId="4695B3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vMerge w:val="continue"/>
            <w:tcBorders>
              <w:tl2br w:val="nil"/>
              <w:tr2bl w:val="nil"/>
            </w:tcBorders>
            <w:vAlign w:val="center"/>
          </w:tcPr>
          <w:p w14:paraId="3E08A9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p>
        </w:tc>
        <w:tc>
          <w:tcPr>
            <w:tcW w:w="1366" w:type="pct"/>
            <w:gridSpan w:val="2"/>
            <w:tcBorders>
              <w:tl2br w:val="nil"/>
              <w:tr2bl w:val="nil"/>
            </w:tcBorders>
            <w:vAlign w:val="center"/>
          </w:tcPr>
          <w:p w14:paraId="32BB680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PM</w:t>
            </w:r>
            <w:r>
              <w:rPr>
                <w:rFonts w:hint="default" w:ascii="Times New Roman" w:hAnsi="Times New Roman" w:cs="Times New Roman"/>
                <w:color w:val="auto"/>
                <w:sz w:val="21"/>
                <w:szCs w:val="21"/>
                <w:highlight w:val="none"/>
                <w:u w:val="none"/>
                <w:vertAlign w:val="subscript"/>
                <w:lang w:val="en-US" w:eastAsia="zh-CN"/>
              </w:rPr>
              <w:t>10</w:t>
            </w:r>
          </w:p>
        </w:tc>
        <w:tc>
          <w:tcPr>
            <w:tcW w:w="1332" w:type="pct"/>
            <w:gridSpan w:val="2"/>
            <w:tcBorders>
              <w:tl2br w:val="nil"/>
              <w:tr2bl w:val="nil"/>
            </w:tcBorders>
            <w:vAlign w:val="center"/>
          </w:tcPr>
          <w:p w14:paraId="59730D5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PM</w:t>
            </w:r>
            <w:r>
              <w:rPr>
                <w:rFonts w:hint="default" w:ascii="Times New Roman" w:hAnsi="Times New Roman" w:cs="Times New Roman"/>
                <w:color w:val="auto"/>
                <w:sz w:val="21"/>
                <w:szCs w:val="21"/>
                <w:highlight w:val="none"/>
                <w:u w:val="none"/>
                <w:vertAlign w:val="subscript"/>
                <w:lang w:val="en-US" w:eastAsia="zh-CN"/>
              </w:rPr>
              <w:t>10</w:t>
            </w:r>
          </w:p>
        </w:tc>
        <w:tc>
          <w:tcPr>
            <w:tcW w:w="1278" w:type="pct"/>
            <w:gridSpan w:val="2"/>
            <w:tcBorders>
              <w:tl2br w:val="nil"/>
              <w:tr2bl w:val="nil"/>
            </w:tcBorders>
            <w:vAlign w:val="center"/>
          </w:tcPr>
          <w:p w14:paraId="300601C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PM</w:t>
            </w:r>
            <w:r>
              <w:rPr>
                <w:rFonts w:hint="default" w:ascii="Times New Roman" w:hAnsi="Times New Roman" w:cs="Times New Roman"/>
                <w:color w:val="auto"/>
                <w:sz w:val="21"/>
                <w:szCs w:val="21"/>
                <w:highlight w:val="none"/>
                <w:u w:val="none"/>
                <w:vertAlign w:val="subscript"/>
                <w:lang w:val="en-US" w:eastAsia="zh-CN"/>
              </w:rPr>
              <w:t>10</w:t>
            </w:r>
          </w:p>
        </w:tc>
      </w:tr>
      <w:tr w14:paraId="61D49AD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vMerge w:val="continue"/>
            <w:tcBorders>
              <w:tl2br w:val="nil"/>
              <w:tr2bl w:val="nil"/>
            </w:tcBorders>
            <w:vAlign w:val="center"/>
          </w:tcPr>
          <w:p w14:paraId="168372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p>
        </w:tc>
        <w:tc>
          <w:tcPr>
            <w:tcW w:w="767" w:type="pct"/>
            <w:tcBorders>
              <w:tl2br w:val="nil"/>
              <w:tr2bl w:val="nil"/>
            </w:tcBorders>
            <w:vAlign w:val="center"/>
          </w:tcPr>
          <w:p w14:paraId="4B166B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743148E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599" w:type="pct"/>
            <w:tcBorders>
              <w:tl2br w:val="nil"/>
              <w:tr2bl w:val="nil"/>
            </w:tcBorders>
            <w:vAlign w:val="center"/>
          </w:tcPr>
          <w:p w14:paraId="5F32E5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1A7E68F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c>
          <w:tcPr>
            <w:tcW w:w="689" w:type="pct"/>
            <w:tcBorders>
              <w:tl2br w:val="nil"/>
              <w:tr2bl w:val="nil"/>
            </w:tcBorders>
            <w:vAlign w:val="center"/>
          </w:tcPr>
          <w:p w14:paraId="0BFBD6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57B91FC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643" w:type="pct"/>
            <w:tcBorders>
              <w:tl2br w:val="nil"/>
              <w:tr2bl w:val="nil"/>
            </w:tcBorders>
            <w:vAlign w:val="center"/>
          </w:tcPr>
          <w:p w14:paraId="3A51314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54D8294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c>
          <w:tcPr>
            <w:tcW w:w="711" w:type="pct"/>
            <w:tcBorders>
              <w:tl2br w:val="nil"/>
              <w:tr2bl w:val="nil"/>
            </w:tcBorders>
            <w:vAlign w:val="center"/>
          </w:tcPr>
          <w:p w14:paraId="40ECD2E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422E6B2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567" w:type="pct"/>
            <w:tcBorders>
              <w:tl2br w:val="nil"/>
              <w:tr2bl w:val="nil"/>
            </w:tcBorders>
            <w:vAlign w:val="center"/>
          </w:tcPr>
          <w:p w14:paraId="00A198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637CF5E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r>
      <w:tr w14:paraId="2FAC0A0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27BA11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25</w:t>
            </w:r>
          </w:p>
        </w:tc>
        <w:tc>
          <w:tcPr>
            <w:tcW w:w="1527" w:type="dxa"/>
            <w:tcBorders>
              <w:tl2br w:val="nil"/>
              <w:tr2bl w:val="nil"/>
            </w:tcBorders>
            <w:vAlign w:val="center"/>
          </w:tcPr>
          <w:p w14:paraId="03EC2B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0.0002</w:t>
            </w:r>
          </w:p>
        </w:tc>
        <w:tc>
          <w:tcPr>
            <w:tcW w:w="1192" w:type="dxa"/>
            <w:tcBorders>
              <w:tl2br w:val="nil"/>
              <w:tr2bl w:val="nil"/>
            </w:tcBorders>
            <w:vAlign w:val="center"/>
          </w:tcPr>
          <w:p w14:paraId="1AB6EF3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0.0000</w:t>
            </w:r>
          </w:p>
        </w:tc>
        <w:tc>
          <w:tcPr>
            <w:tcW w:w="1372" w:type="dxa"/>
            <w:tcBorders>
              <w:tl2br w:val="nil"/>
              <w:tr2bl w:val="nil"/>
            </w:tcBorders>
            <w:vAlign w:val="center"/>
          </w:tcPr>
          <w:p w14:paraId="5A843C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0.0016</w:t>
            </w:r>
          </w:p>
        </w:tc>
        <w:tc>
          <w:tcPr>
            <w:tcW w:w="1280" w:type="dxa"/>
            <w:tcBorders>
              <w:tl2br w:val="nil"/>
              <w:tr2bl w:val="nil"/>
            </w:tcBorders>
            <w:vAlign w:val="center"/>
          </w:tcPr>
          <w:p w14:paraId="45294FC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0.0004</w:t>
            </w:r>
          </w:p>
        </w:tc>
        <w:tc>
          <w:tcPr>
            <w:tcW w:w="1415" w:type="dxa"/>
            <w:tcBorders>
              <w:tl2br w:val="nil"/>
              <w:tr2bl w:val="nil"/>
            </w:tcBorders>
            <w:vAlign w:val="center"/>
          </w:tcPr>
          <w:p w14:paraId="40FF136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0.0009</w:t>
            </w:r>
          </w:p>
        </w:tc>
        <w:tc>
          <w:tcPr>
            <w:tcW w:w="1129" w:type="dxa"/>
            <w:tcBorders>
              <w:tl2br w:val="nil"/>
              <w:tr2bl w:val="nil"/>
            </w:tcBorders>
            <w:vAlign w:val="center"/>
          </w:tcPr>
          <w:p w14:paraId="00CC6BE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0.0002</w:t>
            </w:r>
          </w:p>
        </w:tc>
      </w:tr>
      <w:tr w14:paraId="48DC299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2655F4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50</w:t>
            </w:r>
          </w:p>
        </w:tc>
        <w:tc>
          <w:tcPr>
            <w:tcW w:w="1527" w:type="dxa"/>
            <w:tcBorders>
              <w:tl2br w:val="nil"/>
              <w:tr2bl w:val="nil"/>
            </w:tcBorders>
            <w:vAlign w:val="center"/>
          </w:tcPr>
          <w:p w14:paraId="05DED7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0.0011</w:t>
            </w:r>
          </w:p>
        </w:tc>
        <w:tc>
          <w:tcPr>
            <w:tcW w:w="1192" w:type="dxa"/>
            <w:tcBorders>
              <w:tl2br w:val="nil"/>
              <w:tr2bl w:val="nil"/>
            </w:tcBorders>
            <w:vAlign w:val="center"/>
          </w:tcPr>
          <w:p w14:paraId="4976CDF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0.0003</w:t>
            </w:r>
          </w:p>
        </w:tc>
        <w:tc>
          <w:tcPr>
            <w:tcW w:w="1372" w:type="dxa"/>
            <w:tcBorders>
              <w:tl2br w:val="nil"/>
              <w:tr2bl w:val="nil"/>
            </w:tcBorders>
            <w:vAlign w:val="center"/>
          </w:tcPr>
          <w:p w14:paraId="6CC26DD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0.0104</w:t>
            </w:r>
          </w:p>
        </w:tc>
        <w:tc>
          <w:tcPr>
            <w:tcW w:w="1280" w:type="dxa"/>
            <w:tcBorders>
              <w:tl2br w:val="nil"/>
              <w:tr2bl w:val="nil"/>
            </w:tcBorders>
            <w:vAlign w:val="center"/>
          </w:tcPr>
          <w:p w14:paraId="36F4F43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0.0023</w:t>
            </w:r>
          </w:p>
        </w:tc>
        <w:tc>
          <w:tcPr>
            <w:tcW w:w="1415" w:type="dxa"/>
            <w:tcBorders>
              <w:tl2br w:val="nil"/>
              <w:tr2bl w:val="nil"/>
            </w:tcBorders>
            <w:vAlign w:val="center"/>
          </w:tcPr>
          <w:p w14:paraId="2E59DB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0.0060</w:t>
            </w:r>
          </w:p>
        </w:tc>
        <w:tc>
          <w:tcPr>
            <w:tcW w:w="1129" w:type="dxa"/>
            <w:tcBorders>
              <w:tl2br w:val="nil"/>
              <w:tr2bl w:val="nil"/>
            </w:tcBorders>
            <w:vAlign w:val="center"/>
          </w:tcPr>
          <w:p w14:paraId="1F90FE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0.0013</w:t>
            </w:r>
          </w:p>
        </w:tc>
      </w:tr>
      <w:tr w14:paraId="51651B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657C13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100</w:t>
            </w:r>
          </w:p>
        </w:tc>
        <w:tc>
          <w:tcPr>
            <w:tcW w:w="1527" w:type="dxa"/>
            <w:tcBorders>
              <w:tl2br w:val="nil"/>
              <w:tr2bl w:val="nil"/>
            </w:tcBorders>
            <w:vAlign w:val="center"/>
          </w:tcPr>
          <w:p w14:paraId="2412DDE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0.0019</w:t>
            </w:r>
          </w:p>
        </w:tc>
        <w:tc>
          <w:tcPr>
            <w:tcW w:w="1192" w:type="dxa"/>
            <w:tcBorders>
              <w:tl2br w:val="nil"/>
              <w:tr2bl w:val="nil"/>
            </w:tcBorders>
            <w:vAlign w:val="center"/>
          </w:tcPr>
          <w:p w14:paraId="7207D5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0.0004</w:t>
            </w:r>
          </w:p>
        </w:tc>
        <w:tc>
          <w:tcPr>
            <w:tcW w:w="1372" w:type="dxa"/>
            <w:tcBorders>
              <w:tl2br w:val="nil"/>
              <w:tr2bl w:val="nil"/>
            </w:tcBorders>
            <w:vAlign w:val="center"/>
          </w:tcPr>
          <w:p w14:paraId="53260E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0.0175</w:t>
            </w:r>
          </w:p>
        </w:tc>
        <w:tc>
          <w:tcPr>
            <w:tcW w:w="1280" w:type="dxa"/>
            <w:tcBorders>
              <w:tl2br w:val="nil"/>
              <w:tr2bl w:val="nil"/>
            </w:tcBorders>
            <w:vAlign w:val="center"/>
          </w:tcPr>
          <w:p w14:paraId="479BA2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0.0039</w:t>
            </w:r>
          </w:p>
        </w:tc>
        <w:tc>
          <w:tcPr>
            <w:tcW w:w="1415" w:type="dxa"/>
            <w:tcBorders>
              <w:tl2br w:val="nil"/>
              <w:tr2bl w:val="nil"/>
            </w:tcBorders>
            <w:vAlign w:val="center"/>
          </w:tcPr>
          <w:p w14:paraId="38D7606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0.0100</w:t>
            </w:r>
          </w:p>
        </w:tc>
        <w:tc>
          <w:tcPr>
            <w:tcW w:w="1129" w:type="dxa"/>
            <w:tcBorders>
              <w:tl2br w:val="nil"/>
              <w:tr2bl w:val="nil"/>
            </w:tcBorders>
            <w:vAlign w:val="center"/>
          </w:tcPr>
          <w:p w14:paraId="205C20F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0.0022</w:t>
            </w:r>
          </w:p>
        </w:tc>
      </w:tr>
      <w:tr w14:paraId="7F00DE8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61F2BAD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150</w:t>
            </w:r>
          </w:p>
        </w:tc>
        <w:tc>
          <w:tcPr>
            <w:tcW w:w="1527" w:type="dxa"/>
            <w:tcBorders>
              <w:tl2br w:val="nil"/>
              <w:tr2bl w:val="nil"/>
            </w:tcBorders>
            <w:vAlign w:val="center"/>
          </w:tcPr>
          <w:p w14:paraId="5CA968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0.0018</w:t>
            </w:r>
          </w:p>
        </w:tc>
        <w:tc>
          <w:tcPr>
            <w:tcW w:w="1192" w:type="dxa"/>
            <w:tcBorders>
              <w:tl2br w:val="nil"/>
              <w:tr2bl w:val="nil"/>
            </w:tcBorders>
            <w:vAlign w:val="center"/>
          </w:tcPr>
          <w:p w14:paraId="0DFB38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0.0004</w:t>
            </w:r>
          </w:p>
        </w:tc>
        <w:tc>
          <w:tcPr>
            <w:tcW w:w="1372" w:type="dxa"/>
            <w:tcBorders>
              <w:tl2br w:val="nil"/>
              <w:tr2bl w:val="nil"/>
            </w:tcBorders>
            <w:vAlign w:val="center"/>
          </w:tcPr>
          <w:p w14:paraId="281E5F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0.0161</w:t>
            </w:r>
          </w:p>
        </w:tc>
        <w:tc>
          <w:tcPr>
            <w:tcW w:w="1280" w:type="dxa"/>
            <w:tcBorders>
              <w:tl2br w:val="nil"/>
              <w:tr2bl w:val="nil"/>
            </w:tcBorders>
            <w:vAlign w:val="center"/>
          </w:tcPr>
          <w:p w14:paraId="5A89D2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0.0036</w:t>
            </w:r>
          </w:p>
        </w:tc>
        <w:tc>
          <w:tcPr>
            <w:tcW w:w="1415" w:type="dxa"/>
            <w:tcBorders>
              <w:tl2br w:val="nil"/>
              <w:tr2bl w:val="nil"/>
            </w:tcBorders>
            <w:vAlign w:val="center"/>
          </w:tcPr>
          <w:p w14:paraId="73D7D5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0.0092</w:t>
            </w:r>
          </w:p>
        </w:tc>
        <w:tc>
          <w:tcPr>
            <w:tcW w:w="1129" w:type="dxa"/>
            <w:tcBorders>
              <w:tl2br w:val="nil"/>
              <w:tr2bl w:val="nil"/>
            </w:tcBorders>
            <w:vAlign w:val="center"/>
          </w:tcPr>
          <w:p w14:paraId="6C6EE6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highlight w:val="none"/>
              </w:rPr>
            </w:pPr>
            <w:r>
              <w:rPr>
                <w:rFonts w:hint="default" w:ascii="Times New Roman" w:hAnsi="Times New Roman" w:eastAsia="宋体" w:cs="Times New Roman"/>
                <w:b w:val="0"/>
                <w:sz w:val="21"/>
                <w:szCs w:val="21"/>
                <w:highlight w:val="none"/>
              </w:rPr>
              <w:t>0.0020</w:t>
            </w:r>
          </w:p>
        </w:tc>
      </w:tr>
      <w:tr w14:paraId="40AAD07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703E46F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200</w:t>
            </w:r>
          </w:p>
        </w:tc>
        <w:tc>
          <w:tcPr>
            <w:tcW w:w="1527" w:type="dxa"/>
            <w:tcBorders>
              <w:tl2br w:val="nil"/>
              <w:tr2bl w:val="nil"/>
            </w:tcBorders>
            <w:vAlign w:val="center"/>
          </w:tcPr>
          <w:p w14:paraId="018378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0.0023</w:t>
            </w:r>
          </w:p>
        </w:tc>
        <w:tc>
          <w:tcPr>
            <w:tcW w:w="1192" w:type="dxa"/>
            <w:tcBorders>
              <w:tl2br w:val="nil"/>
              <w:tr2bl w:val="nil"/>
            </w:tcBorders>
            <w:vAlign w:val="center"/>
          </w:tcPr>
          <w:p w14:paraId="2FC78D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0.0005</w:t>
            </w:r>
          </w:p>
        </w:tc>
        <w:tc>
          <w:tcPr>
            <w:tcW w:w="1372" w:type="dxa"/>
            <w:tcBorders>
              <w:tl2br w:val="nil"/>
              <w:tr2bl w:val="nil"/>
            </w:tcBorders>
            <w:vAlign w:val="center"/>
          </w:tcPr>
          <w:p w14:paraId="6761B1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0.0211</w:t>
            </w:r>
          </w:p>
        </w:tc>
        <w:tc>
          <w:tcPr>
            <w:tcW w:w="1280" w:type="dxa"/>
            <w:tcBorders>
              <w:tl2br w:val="nil"/>
              <w:tr2bl w:val="nil"/>
            </w:tcBorders>
            <w:vAlign w:val="center"/>
          </w:tcPr>
          <w:p w14:paraId="1A200E4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0.0047</w:t>
            </w:r>
          </w:p>
        </w:tc>
        <w:tc>
          <w:tcPr>
            <w:tcW w:w="1415" w:type="dxa"/>
            <w:tcBorders>
              <w:tl2br w:val="nil"/>
              <w:tr2bl w:val="nil"/>
            </w:tcBorders>
            <w:vAlign w:val="center"/>
          </w:tcPr>
          <w:p w14:paraId="68A265F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0.0120</w:t>
            </w:r>
          </w:p>
        </w:tc>
        <w:tc>
          <w:tcPr>
            <w:tcW w:w="1129" w:type="dxa"/>
            <w:tcBorders>
              <w:tl2br w:val="nil"/>
              <w:tr2bl w:val="nil"/>
            </w:tcBorders>
            <w:vAlign w:val="center"/>
          </w:tcPr>
          <w:p w14:paraId="2D2BA40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0.0027</w:t>
            </w:r>
          </w:p>
        </w:tc>
      </w:tr>
      <w:tr w14:paraId="25B3D4B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4ECE5A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400</w:t>
            </w:r>
          </w:p>
        </w:tc>
        <w:tc>
          <w:tcPr>
            <w:tcW w:w="1527" w:type="dxa"/>
            <w:tcBorders>
              <w:tl2br w:val="nil"/>
              <w:tr2bl w:val="nil"/>
            </w:tcBorders>
            <w:vAlign w:val="center"/>
          </w:tcPr>
          <w:p w14:paraId="7057D0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0.0036</w:t>
            </w:r>
          </w:p>
        </w:tc>
        <w:tc>
          <w:tcPr>
            <w:tcW w:w="1192" w:type="dxa"/>
            <w:tcBorders>
              <w:tl2br w:val="nil"/>
              <w:tr2bl w:val="nil"/>
            </w:tcBorders>
            <w:vAlign w:val="center"/>
          </w:tcPr>
          <w:p w14:paraId="14540F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0.0008</w:t>
            </w:r>
          </w:p>
        </w:tc>
        <w:tc>
          <w:tcPr>
            <w:tcW w:w="1372" w:type="dxa"/>
            <w:tcBorders>
              <w:tl2br w:val="nil"/>
              <w:tr2bl w:val="nil"/>
            </w:tcBorders>
            <w:vAlign w:val="center"/>
          </w:tcPr>
          <w:p w14:paraId="00C874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0.0325</w:t>
            </w:r>
          </w:p>
        </w:tc>
        <w:tc>
          <w:tcPr>
            <w:tcW w:w="1280" w:type="dxa"/>
            <w:tcBorders>
              <w:tl2br w:val="nil"/>
              <w:tr2bl w:val="nil"/>
            </w:tcBorders>
            <w:vAlign w:val="center"/>
          </w:tcPr>
          <w:p w14:paraId="71DF919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0.0072</w:t>
            </w:r>
          </w:p>
        </w:tc>
        <w:tc>
          <w:tcPr>
            <w:tcW w:w="1415" w:type="dxa"/>
            <w:tcBorders>
              <w:tl2br w:val="nil"/>
              <w:tr2bl w:val="nil"/>
            </w:tcBorders>
            <w:vAlign w:val="center"/>
          </w:tcPr>
          <w:p w14:paraId="55B058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0.0186</w:t>
            </w:r>
          </w:p>
        </w:tc>
        <w:tc>
          <w:tcPr>
            <w:tcW w:w="1129" w:type="dxa"/>
            <w:tcBorders>
              <w:tl2br w:val="nil"/>
              <w:tr2bl w:val="nil"/>
            </w:tcBorders>
            <w:vAlign w:val="center"/>
          </w:tcPr>
          <w:p w14:paraId="30091E8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0.0041</w:t>
            </w:r>
          </w:p>
        </w:tc>
      </w:tr>
      <w:tr w14:paraId="6ED1A4E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0123A7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600</w:t>
            </w:r>
          </w:p>
        </w:tc>
        <w:tc>
          <w:tcPr>
            <w:tcW w:w="1527" w:type="dxa"/>
            <w:tcBorders>
              <w:tl2br w:val="nil"/>
              <w:tr2bl w:val="nil"/>
            </w:tcBorders>
            <w:vAlign w:val="center"/>
          </w:tcPr>
          <w:p w14:paraId="113114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0.0036</w:t>
            </w:r>
          </w:p>
        </w:tc>
        <w:tc>
          <w:tcPr>
            <w:tcW w:w="1192" w:type="dxa"/>
            <w:tcBorders>
              <w:tl2br w:val="nil"/>
              <w:tr2bl w:val="nil"/>
            </w:tcBorders>
            <w:vAlign w:val="center"/>
          </w:tcPr>
          <w:p w14:paraId="3F1F53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0.0008</w:t>
            </w:r>
          </w:p>
        </w:tc>
        <w:tc>
          <w:tcPr>
            <w:tcW w:w="1372" w:type="dxa"/>
            <w:tcBorders>
              <w:tl2br w:val="nil"/>
              <w:tr2bl w:val="nil"/>
            </w:tcBorders>
            <w:vAlign w:val="center"/>
          </w:tcPr>
          <w:p w14:paraId="4B053A8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0.0330</w:t>
            </w:r>
          </w:p>
        </w:tc>
        <w:tc>
          <w:tcPr>
            <w:tcW w:w="1280" w:type="dxa"/>
            <w:tcBorders>
              <w:tl2br w:val="nil"/>
              <w:tr2bl w:val="nil"/>
            </w:tcBorders>
            <w:vAlign w:val="center"/>
          </w:tcPr>
          <w:p w14:paraId="60C0D5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0.0073</w:t>
            </w:r>
          </w:p>
        </w:tc>
        <w:tc>
          <w:tcPr>
            <w:tcW w:w="1415" w:type="dxa"/>
            <w:tcBorders>
              <w:tl2br w:val="nil"/>
              <w:tr2bl w:val="nil"/>
            </w:tcBorders>
            <w:vAlign w:val="center"/>
          </w:tcPr>
          <w:p w14:paraId="0131E1F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0.0188</w:t>
            </w:r>
          </w:p>
        </w:tc>
        <w:tc>
          <w:tcPr>
            <w:tcW w:w="1129" w:type="dxa"/>
            <w:tcBorders>
              <w:tl2br w:val="nil"/>
              <w:tr2bl w:val="nil"/>
            </w:tcBorders>
            <w:vAlign w:val="center"/>
          </w:tcPr>
          <w:p w14:paraId="1D97C87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0.0042</w:t>
            </w:r>
          </w:p>
        </w:tc>
      </w:tr>
      <w:tr w14:paraId="3D4C9E1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36F7F8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800</w:t>
            </w:r>
          </w:p>
        </w:tc>
        <w:tc>
          <w:tcPr>
            <w:tcW w:w="1527" w:type="dxa"/>
            <w:tcBorders>
              <w:tl2br w:val="nil"/>
              <w:tr2bl w:val="nil"/>
            </w:tcBorders>
            <w:vAlign w:val="center"/>
          </w:tcPr>
          <w:p w14:paraId="7C529F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0.0029</w:t>
            </w:r>
          </w:p>
        </w:tc>
        <w:tc>
          <w:tcPr>
            <w:tcW w:w="1192" w:type="dxa"/>
            <w:tcBorders>
              <w:tl2br w:val="nil"/>
              <w:tr2bl w:val="nil"/>
            </w:tcBorders>
            <w:vAlign w:val="center"/>
          </w:tcPr>
          <w:p w14:paraId="0D1B8B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0.0006</w:t>
            </w:r>
          </w:p>
        </w:tc>
        <w:tc>
          <w:tcPr>
            <w:tcW w:w="1372" w:type="dxa"/>
            <w:tcBorders>
              <w:tl2br w:val="nil"/>
              <w:tr2bl w:val="nil"/>
            </w:tcBorders>
            <w:vAlign w:val="center"/>
          </w:tcPr>
          <w:p w14:paraId="0E89A3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0.0265</w:t>
            </w:r>
          </w:p>
        </w:tc>
        <w:tc>
          <w:tcPr>
            <w:tcW w:w="1280" w:type="dxa"/>
            <w:tcBorders>
              <w:tl2br w:val="nil"/>
              <w:tr2bl w:val="nil"/>
            </w:tcBorders>
            <w:vAlign w:val="center"/>
          </w:tcPr>
          <w:p w14:paraId="3B5E8B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0.0059</w:t>
            </w:r>
          </w:p>
        </w:tc>
        <w:tc>
          <w:tcPr>
            <w:tcW w:w="1415" w:type="dxa"/>
            <w:tcBorders>
              <w:tl2br w:val="nil"/>
              <w:tr2bl w:val="nil"/>
            </w:tcBorders>
            <w:vAlign w:val="center"/>
          </w:tcPr>
          <w:p w14:paraId="656F53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0.0151</w:t>
            </w:r>
          </w:p>
        </w:tc>
        <w:tc>
          <w:tcPr>
            <w:tcW w:w="1129" w:type="dxa"/>
            <w:tcBorders>
              <w:tl2br w:val="nil"/>
              <w:tr2bl w:val="nil"/>
            </w:tcBorders>
            <w:vAlign w:val="center"/>
          </w:tcPr>
          <w:p w14:paraId="36D569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0.0034</w:t>
            </w:r>
          </w:p>
        </w:tc>
      </w:tr>
      <w:tr w14:paraId="66CCBE2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7197FA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1000</w:t>
            </w:r>
          </w:p>
        </w:tc>
        <w:tc>
          <w:tcPr>
            <w:tcW w:w="1527" w:type="dxa"/>
            <w:tcBorders>
              <w:tl2br w:val="nil"/>
              <w:tr2bl w:val="nil"/>
            </w:tcBorders>
            <w:vAlign w:val="center"/>
          </w:tcPr>
          <w:p w14:paraId="20D9CB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0.0026</w:t>
            </w:r>
          </w:p>
        </w:tc>
        <w:tc>
          <w:tcPr>
            <w:tcW w:w="1192" w:type="dxa"/>
            <w:tcBorders>
              <w:tl2br w:val="nil"/>
              <w:tr2bl w:val="nil"/>
            </w:tcBorders>
            <w:vAlign w:val="center"/>
          </w:tcPr>
          <w:p w14:paraId="4FC38E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0.0006</w:t>
            </w:r>
          </w:p>
        </w:tc>
        <w:tc>
          <w:tcPr>
            <w:tcW w:w="1372" w:type="dxa"/>
            <w:tcBorders>
              <w:tl2br w:val="nil"/>
              <w:tr2bl w:val="nil"/>
            </w:tcBorders>
            <w:vAlign w:val="center"/>
          </w:tcPr>
          <w:p w14:paraId="51F1A9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0.0237</w:t>
            </w:r>
          </w:p>
        </w:tc>
        <w:tc>
          <w:tcPr>
            <w:tcW w:w="1280" w:type="dxa"/>
            <w:tcBorders>
              <w:tl2br w:val="nil"/>
              <w:tr2bl w:val="nil"/>
            </w:tcBorders>
            <w:vAlign w:val="center"/>
          </w:tcPr>
          <w:p w14:paraId="3CEB7E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0.0053</w:t>
            </w:r>
          </w:p>
        </w:tc>
        <w:tc>
          <w:tcPr>
            <w:tcW w:w="1415" w:type="dxa"/>
            <w:tcBorders>
              <w:tl2br w:val="nil"/>
              <w:tr2bl w:val="nil"/>
            </w:tcBorders>
            <w:vAlign w:val="center"/>
          </w:tcPr>
          <w:p w14:paraId="32563D5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0.0135</w:t>
            </w:r>
          </w:p>
        </w:tc>
        <w:tc>
          <w:tcPr>
            <w:tcW w:w="1129" w:type="dxa"/>
            <w:tcBorders>
              <w:tl2br w:val="nil"/>
              <w:tr2bl w:val="nil"/>
            </w:tcBorders>
            <w:vAlign w:val="center"/>
          </w:tcPr>
          <w:p w14:paraId="65B7D0D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0.0030</w:t>
            </w:r>
          </w:p>
        </w:tc>
      </w:tr>
      <w:tr w14:paraId="78726B1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0D7B03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1200</w:t>
            </w:r>
          </w:p>
        </w:tc>
        <w:tc>
          <w:tcPr>
            <w:tcW w:w="1527" w:type="dxa"/>
            <w:tcBorders>
              <w:tl2br w:val="nil"/>
              <w:tr2bl w:val="nil"/>
            </w:tcBorders>
            <w:vAlign w:val="center"/>
          </w:tcPr>
          <w:p w14:paraId="61B7CF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0.0030</w:t>
            </w:r>
          </w:p>
        </w:tc>
        <w:tc>
          <w:tcPr>
            <w:tcW w:w="1192" w:type="dxa"/>
            <w:tcBorders>
              <w:tl2br w:val="nil"/>
              <w:tr2bl w:val="nil"/>
            </w:tcBorders>
            <w:vAlign w:val="center"/>
          </w:tcPr>
          <w:p w14:paraId="2311BC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0.0007</w:t>
            </w:r>
          </w:p>
        </w:tc>
        <w:tc>
          <w:tcPr>
            <w:tcW w:w="1372" w:type="dxa"/>
            <w:tcBorders>
              <w:tl2br w:val="nil"/>
              <w:tr2bl w:val="nil"/>
            </w:tcBorders>
            <w:vAlign w:val="center"/>
          </w:tcPr>
          <w:p w14:paraId="26AE34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0.0277</w:t>
            </w:r>
          </w:p>
        </w:tc>
        <w:tc>
          <w:tcPr>
            <w:tcW w:w="1280" w:type="dxa"/>
            <w:tcBorders>
              <w:tl2br w:val="nil"/>
              <w:tr2bl w:val="nil"/>
            </w:tcBorders>
            <w:vAlign w:val="center"/>
          </w:tcPr>
          <w:p w14:paraId="78592E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0.0061</w:t>
            </w:r>
          </w:p>
        </w:tc>
        <w:tc>
          <w:tcPr>
            <w:tcW w:w="1415" w:type="dxa"/>
            <w:tcBorders>
              <w:tl2br w:val="nil"/>
              <w:tr2bl w:val="nil"/>
            </w:tcBorders>
            <w:vAlign w:val="center"/>
          </w:tcPr>
          <w:p w14:paraId="7E6911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0.0158</w:t>
            </w:r>
          </w:p>
        </w:tc>
        <w:tc>
          <w:tcPr>
            <w:tcW w:w="1129" w:type="dxa"/>
            <w:tcBorders>
              <w:tl2br w:val="nil"/>
              <w:tr2bl w:val="nil"/>
            </w:tcBorders>
            <w:vAlign w:val="center"/>
          </w:tcPr>
          <w:p w14:paraId="388708D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0.0035</w:t>
            </w:r>
          </w:p>
        </w:tc>
      </w:tr>
      <w:tr w14:paraId="3AD3651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113743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1500</w:t>
            </w:r>
          </w:p>
        </w:tc>
        <w:tc>
          <w:tcPr>
            <w:tcW w:w="1527" w:type="dxa"/>
            <w:tcBorders>
              <w:tl2br w:val="nil"/>
              <w:tr2bl w:val="nil"/>
            </w:tcBorders>
            <w:vAlign w:val="center"/>
          </w:tcPr>
          <w:p w14:paraId="327807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0.0033</w:t>
            </w:r>
          </w:p>
        </w:tc>
        <w:tc>
          <w:tcPr>
            <w:tcW w:w="1192" w:type="dxa"/>
            <w:tcBorders>
              <w:tl2br w:val="nil"/>
              <w:tr2bl w:val="nil"/>
            </w:tcBorders>
            <w:vAlign w:val="center"/>
          </w:tcPr>
          <w:p w14:paraId="69FD301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0.0007</w:t>
            </w:r>
          </w:p>
        </w:tc>
        <w:tc>
          <w:tcPr>
            <w:tcW w:w="1372" w:type="dxa"/>
            <w:tcBorders>
              <w:tl2br w:val="nil"/>
              <w:tr2bl w:val="nil"/>
            </w:tcBorders>
            <w:vAlign w:val="center"/>
          </w:tcPr>
          <w:p w14:paraId="138866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0.0302</w:t>
            </w:r>
          </w:p>
        </w:tc>
        <w:tc>
          <w:tcPr>
            <w:tcW w:w="1280" w:type="dxa"/>
            <w:tcBorders>
              <w:tl2br w:val="nil"/>
              <w:tr2bl w:val="nil"/>
            </w:tcBorders>
            <w:vAlign w:val="center"/>
          </w:tcPr>
          <w:p w14:paraId="07C81EE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0.0067</w:t>
            </w:r>
          </w:p>
        </w:tc>
        <w:tc>
          <w:tcPr>
            <w:tcW w:w="1415" w:type="dxa"/>
            <w:tcBorders>
              <w:tl2br w:val="nil"/>
              <w:tr2bl w:val="nil"/>
            </w:tcBorders>
            <w:vAlign w:val="center"/>
          </w:tcPr>
          <w:p w14:paraId="07D6FC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0.0172</w:t>
            </w:r>
          </w:p>
        </w:tc>
        <w:tc>
          <w:tcPr>
            <w:tcW w:w="1129" w:type="dxa"/>
            <w:tcBorders>
              <w:tl2br w:val="nil"/>
              <w:tr2bl w:val="nil"/>
            </w:tcBorders>
            <w:vAlign w:val="center"/>
          </w:tcPr>
          <w:p w14:paraId="6DD19C7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0.0038</w:t>
            </w:r>
          </w:p>
        </w:tc>
      </w:tr>
      <w:tr w14:paraId="26984B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18CA5EC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2000</w:t>
            </w:r>
          </w:p>
        </w:tc>
        <w:tc>
          <w:tcPr>
            <w:tcW w:w="1527" w:type="dxa"/>
            <w:tcBorders>
              <w:tl2br w:val="nil"/>
              <w:tr2bl w:val="nil"/>
            </w:tcBorders>
            <w:vAlign w:val="center"/>
          </w:tcPr>
          <w:p w14:paraId="70E301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0.0033</w:t>
            </w:r>
          </w:p>
        </w:tc>
        <w:tc>
          <w:tcPr>
            <w:tcW w:w="1192" w:type="dxa"/>
            <w:tcBorders>
              <w:tl2br w:val="nil"/>
              <w:tr2bl w:val="nil"/>
            </w:tcBorders>
            <w:vAlign w:val="center"/>
          </w:tcPr>
          <w:p w14:paraId="73CA7C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0.0007</w:t>
            </w:r>
          </w:p>
        </w:tc>
        <w:tc>
          <w:tcPr>
            <w:tcW w:w="1372" w:type="dxa"/>
            <w:tcBorders>
              <w:tl2br w:val="nil"/>
              <w:tr2bl w:val="nil"/>
            </w:tcBorders>
            <w:vAlign w:val="center"/>
          </w:tcPr>
          <w:p w14:paraId="6A62DF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0.0300</w:t>
            </w:r>
          </w:p>
        </w:tc>
        <w:tc>
          <w:tcPr>
            <w:tcW w:w="1280" w:type="dxa"/>
            <w:tcBorders>
              <w:tl2br w:val="nil"/>
              <w:tr2bl w:val="nil"/>
            </w:tcBorders>
            <w:vAlign w:val="center"/>
          </w:tcPr>
          <w:p w14:paraId="034FF9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0.0067</w:t>
            </w:r>
          </w:p>
        </w:tc>
        <w:tc>
          <w:tcPr>
            <w:tcW w:w="1415" w:type="dxa"/>
            <w:tcBorders>
              <w:tl2br w:val="nil"/>
              <w:tr2bl w:val="nil"/>
            </w:tcBorders>
            <w:vAlign w:val="center"/>
          </w:tcPr>
          <w:p w14:paraId="27D5CF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0.0171</w:t>
            </w:r>
          </w:p>
        </w:tc>
        <w:tc>
          <w:tcPr>
            <w:tcW w:w="1129" w:type="dxa"/>
            <w:tcBorders>
              <w:tl2br w:val="nil"/>
              <w:tr2bl w:val="nil"/>
            </w:tcBorders>
            <w:vAlign w:val="center"/>
          </w:tcPr>
          <w:p w14:paraId="29A6DC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0.0038</w:t>
            </w:r>
          </w:p>
        </w:tc>
      </w:tr>
      <w:tr w14:paraId="0C26294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695F83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2500</w:t>
            </w:r>
          </w:p>
        </w:tc>
        <w:tc>
          <w:tcPr>
            <w:tcW w:w="1527" w:type="dxa"/>
            <w:tcBorders>
              <w:tl2br w:val="nil"/>
              <w:tr2bl w:val="nil"/>
            </w:tcBorders>
            <w:vAlign w:val="center"/>
          </w:tcPr>
          <w:p w14:paraId="1B228EB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0.0031</w:t>
            </w:r>
          </w:p>
        </w:tc>
        <w:tc>
          <w:tcPr>
            <w:tcW w:w="1192" w:type="dxa"/>
            <w:tcBorders>
              <w:tl2br w:val="nil"/>
              <w:tr2bl w:val="nil"/>
            </w:tcBorders>
            <w:vAlign w:val="center"/>
          </w:tcPr>
          <w:p w14:paraId="7EF4A62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0.0007</w:t>
            </w:r>
          </w:p>
        </w:tc>
        <w:tc>
          <w:tcPr>
            <w:tcW w:w="1372" w:type="dxa"/>
            <w:tcBorders>
              <w:tl2br w:val="nil"/>
              <w:tr2bl w:val="nil"/>
            </w:tcBorders>
            <w:vAlign w:val="center"/>
          </w:tcPr>
          <w:p w14:paraId="5434B4F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0.0280</w:t>
            </w:r>
          </w:p>
        </w:tc>
        <w:tc>
          <w:tcPr>
            <w:tcW w:w="1280" w:type="dxa"/>
            <w:tcBorders>
              <w:tl2br w:val="nil"/>
              <w:tr2bl w:val="nil"/>
            </w:tcBorders>
            <w:vAlign w:val="center"/>
          </w:tcPr>
          <w:p w14:paraId="528C41B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0.0062</w:t>
            </w:r>
          </w:p>
        </w:tc>
        <w:tc>
          <w:tcPr>
            <w:tcW w:w="1415" w:type="dxa"/>
            <w:tcBorders>
              <w:tl2br w:val="nil"/>
              <w:tr2bl w:val="nil"/>
            </w:tcBorders>
            <w:vAlign w:val="center"/>
          </w:tcPr>
          <w:p w14:paraId="3ED7B3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0.0160</w:t>
            </w:r>
          </w:p>
        </w:tc>
        <w:tc>
          <w:tcPr>
            <w:tcW w:w="1129" w:type="dxa"/>
            <w:tcBorders>
              <w:tl2br w:val="nil"/>
              <w:tr2bl w:val="nil"/>
            </w:tcBorders>
            <w:vAlign w:val="center"/>
          </w:tcPr>
          <w:p w14:paraId="1A48FC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0.0036</w:t>
            </w:r>
          </w:p>
        </w:tc>
      </w:tr>
      <w:tr w14:paraId="08B17C0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5FF87CD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3000</w:t>
            </w:r>
          </w:p>
        </w:tc>
        <w:tc>
          <w:tcPr>
            <w:tcW w:w="1527" w:type="dxa"/>
            <w:tcBorders>
              <w:tl2br w:val="nil"/>
              <w:tr2bl w:val="nil"/>
            </w:tcBorders>
            <w:vAlign w:val="center"/>
          </w:tcPr>
          <w:p w14:paraId="0AB7A45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0.0028</w:t>
            </w:r>
          </w:p>
        </w:tc>
        <w:tc>
          <w:tcPr>
            <w:tcW w:w="1192" w:type="dxa"/>
            <w:tcBorders>
              <w:tl2br w:val="nil"/>
              <w:tr2bl w:val="nil"/>
            </w:tcBorders>
            <w:vAlign w:val="center"/>
          </w:tcPr>
          <w:p w14:paraId="660901D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0.0006</w:t>
            </w:r>
          </w:p>
        </w:tc>
        <w:tc>
          <w:tcPr>
            <w:tcW w:w="1372" w:type="dxa"/>
            <w:tcBorders>
              <w:tl2br w:val="nil"/>
              <w:tr2bl w:val="nil"/>
            </w:tcBorders>
            <w:vAlign w:val="center"/>
          </w:tcPr>
          <w:p w14:paraId="678BEE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0.0255</w:t>
            </w:r>
          </w:p>
        </w:tc>
        <w:tc>
          <w:tcPr>
            <w:tcW w:w="1280" w:type="dxa"/>
            <w:tcBorders>
              <w:tl2br w:val="nil"/>
              <w:tr2bl w:val="nil"/>
            </w:tcBorders>
            <w:vAlign w:val="center"/>
          </w:tcPr>
          <w:p w14:paraId="62C211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0.0057</w:t>
            </w:r>
          </w:p>
        </w:tc>
        <w:tc>
          <w:tcPr>
            <w:tcW w:w="1415" w:type="dxa"/>
            <w:tcBorders>
              <w:tl2br w:val="nil"/>
              <w:tr2bl w:val="nil"/>
            </w:tcBorders>
            <w:vAlign w:val="center"/>
          </w:tcPr>
          <w:p w14:paraId="317998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0.0146</w:t>
            </w:r>
          </w:p>
        </w:tc>
        <w:tc>
          <w:tcPr>
            <w:tcW w:w="1129" w:type="dxa"/>
            <w:tcBorders>
              <w:tl2br w:val="nil"/>
              <w:tr2bl w:val="nil"/>
            </w:tcBorders>
            <w:vAlign w:val="center"/>
          </w:tcPr>
          <w:p w14:paraId="2EF4AA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0.0032</w:t>
            </w:r>
          </w:p>
        </w:tc>
      </w:tr>
      <w:tr w14:paraId="0260522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2D6519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最大落地浓度</w:t>
            </w:r>
            <w:r>
              <w:rPr>
                <w:rFonts w:hint="default" w:ascii="Times New Roman" w:hAnsi="Times New Roman" w:eastAsia="宋体" w:cs="Times New Roman"/>
                <w:color w:val="auto"/>
                <w:sz w:val="21"/>
                <w:szCs w:val="21"/>
                <w:highlight w:val="none"/>
                <w:u w:val="none"/>
                <w:lang w:eastAsia="zh-CN"/>
              </w:rPr>
              <w:t>及占标率</w:t>
            </w:r>
          </w:p>
        </w:tc>
        <w:tc>
          <w:tcPr>
            <w:tcW w:w="1527" w:type="dxa"/>
            <w:tcBorders>
              <w:tl2br w:val="nil"/>
              <w:tr2bl w:val="nil"/>
            </w:tcBorders>
            <w:vAlign w:val="center"/>
          </w:tcPr>
          <w:p w14:paraId="7DACFFB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0.0039</w:t>
            </w:r>
          </w:p>
        </w:tc>
        <w:tc>
          <w:tcPr>
            <w:tcW w:w="1192" w:type="dxa"/>
            <w:tcBorders>
              <w:tl2br w:val="nil"/>
              <w:tr2bl w:val="nil"/>
            </w:tcBorders>
            <w:vAlign w:val="center"/>
          </w:tcPr>
          <w:p w14:paraId="044F1B6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0.0009</w:t>
            </w:r>
          </w:p>
        </w:tc>
        <w:tc>
          <w:tcPr>
            <w:tcW w:w="1372" w:type="dxa"/>
            <w:tcBorders>
              <w:tl2br w:val="nil"/>
              <w:tr2bl w:val="nil"/>
            </w:tcBorders>
            <w:vAlign w:val="center"/>
          </w:tcPr>
          <w:p w14:paraId="6D6B27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0.0356</w:t>
            </w:r>
          </w:p>
        </w:tc>
        <w:tc>
          <w:tcPr>
            <w:tcW w:w="1280" w:type="dxa"/>
            <w:tcBorders>
              <w:tl2br w:val="nil"/>
              <w:tr2bl w:val="nil"/>
            </w:tcBorders>
            <w:vAlign w:val="center"/>
          </w:tcPr>
          <w:p w14:paraId="6404122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0.0079</w:t>
            </w:r>
          </w:p>
        </w:tc>
        <w:tc>
          <w:tcPr>
            <w:tcW w:w="1415" w:type="dxa"/>
            <w:tcBorders>
              <w:tl2br w:val="nil"/>
              <w:tr2bl w:val="nil"/>
            </w:tcBorders>
            <w:vAlign w:val="center"/>
          </w:tcPr>
          <w:p w14:paraId="2B65BA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0.0203</w:t>
            </w:r>
          </w:p>
        </w:tc>
        <w:tc>
          <w:tcPr>
            <w:tcW w:w="1129" w:type="dxa"/>
            <w:tcBorders>
              <w:tl2br w:val="nil"/>
              <w:tr2bl w:val="nil"/>
            </w:tcBorders>
            <w:vAlign w:val="center"/>
          </w:tcPr>
          <w:p w14:paraId="1C4B890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0.0045</w:t>
            </w:r>
          </w:p>
        </w:tc>
      </w:tr>
      <w:tr w14:paraId="005E447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67A2BA2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下风向最大浓度出现距离</w:t>
            </w:r>
          </w:p>
        </w:tc>
        <w:tc>
          <w:tcPr>
            <w:tcW w:w="1366" w:type="pct"/>
            <w:gridSpan w:val="2"/>
            <w:tcBorders>
              <w:tl2br w:val="nil"/>
              <w:tr2bl w:val="nil"/>
            </w:tcBorders>
            <w:vAlign w:val="center"/>
          </w:tcPr>
          <w:p w14:paraId="2E8CBD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c>
          <w:tcPr>
            <w:tcW w:w="1332" w:type="pct"/>
            <w:gridSpan w:val="2"/>
            <w:tcBorders>
              <w:tl2br w:val="nil"/>
              <w:tr2bl w:val="nil"/>
            </w:tcBorders>
            <w:vAlign w:val="center"/>
          </w:tcPr>
          <w:p w14:paraId="3C5FDB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c>
          <w:tcPr>
            <w:tcW w:w="1278" w:type="pct"/>
            <w:gridSpan w:val="2"/>
            <w:tcBorders>
              <w:tl2br w:val="nil"/>
              <w:tr2bl w:val="nil"/>
            </w:tcBorders>
            <w:vAlign w:val="center"/>
          </w:tcPr>
          <w:p w14:paraId="4C706D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r>
      <w:tr w14:paraId="671322A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2" w:type="pct"/>
            <w:tcBorders>
              <w:tl2br w:val="nil"/>
              <w:tr2bl w:val="nil"/>
            </w:tcBorders>
            <w:vAlign w:val="center"/>
          </w:tcPr>
          <w:p w14:paraId="24B2F9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bCs/>
                <w:color w:val="auto"/>
                <w:sz w:val="21"/>
                <w:szCs w:val="21"/>
                <w:highlight w:val="none"/>
                <w:u w:val="none"/>
              </w:rPr>
              <w:t>D</w:t>
            </w:r>
            <w:r>
              <w:rPr>
                <w:rFonts w:hint="default" w:ascii="Times New Roman" w:hAnsi="Times New Roman" w:cs="Times New Roman"/>
                <w:bCs/>
                <w:color w:val="auto"/>
                <w:sz w:val="21"/>
                <w:szCs w:val="21"/>
                <w:highlight w:val="none"/>
                <w:u w:val="none"/>
                <w:vertAlign w:val="subscript"/>
              </w:rPr>
              <w:t>10%</w:t>
            </w:r>
            <w:r>
              <w:rPr>
                <w:rFonts w:hint="default" w:ascii="Times New Roman" w:hAnsi="Times New Roman" w:eastAsia="宋体" w:cs="Times New Roman"/>
                <w:color w:val="auto"/>
                <w:sz w:val="21"/>
                <w:szCs w:val="21"/>
                <w:highlight w:val="none"/>
                <w:u w:val="none"/>
              </w:rPr>
              <w:t>出现距离</w:t>
            </w:r>
          </w:p>
        </w:tc>
        <w:tc>
          <w:tcPr>
            <w:tcW w:w="1366" w:type="pct"/>
            <w:gridSpan w:val="2"/>
            <w:tcBorders>
              <w:tl2br w:val="nil"/>
              <w:tr2bl w:val="nil"/>
            </w:tcBorders>
            <w:vAlign w:val="center"/>
          </w:tcPr>
          <w:p w14:paraId="58599C2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332" w:type="pct"/>
            <w:gridSpan w:val="2"/>
            <w:tcBorders>
              <w:tl2br w:val="nil"/>
              <w:tr2bl w:val="nil"/>
            </w:tcBorders>
            <w:vAlign w:val="center"/>
          </w:tcPr>
          <w:p w14:paraId="766D8C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278" w:type="pct"/>
            <w:gridSpan w:val="2"/>
            <w:tcBorders>
              <w:tl2br w:val="nil"/>
              <w:tr2bl w:val="nil"/>
            </w:tcBorders>
            <w:vAlign w:val="center"/>
          </w:tcPr>
          <w:p w14:paraId="6811B35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r>
    </w:tbl>
    <w:p w14:paraId="37D12A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Cs/>
          <w:sz w:val="24"/>
          <w:szCs w:val="28"/>
          <w:lang w:val="en-US" w:eastAsia="zh-CN"/>
        </w:rPr>
      </w:pPr>
      <w:r>
        <w:rPr>
          <w:rFonts w:hint="default" w:ascii="Times New Roman" w:hAnsi="Times New Roman" w:eastAsia="黑体" w:cs="黑体"/>
          <w:b w:val="0"/>
          <w:bCs/>
          <w:color w:val="auto"/>
          <w:kern w:val="2"/>
          <w:sz w:val="24"/>
          <w:szCs w:val="24"/>
          <w:lang w:val="en-US" w:eastAsia="zh-CN" w:bidi="ar-SA"/>
        </w:rPr>
        <w:t>表</w:t>
      </w:r>
      <w:r>
        <w:rPr>
          <w:color w:val="000000"/>
          <w:spacing w:val="0"/>
          <w:szCs w:val="24"/>
        </w:rPr>
        <w:t>4.</w:t>
      </w:r>
      <w:r>
        <w:rPr>
          <w:rFonts w:hint="eastAsia"/>
          <w:color w:val="000000"/>
          <w:spacing w:val="0"/>
          <w:szCs w:val="24"/>
          <w:lang w:val="en-US" w:eastAsia="zh-CN"/>
        </w:rPr>
        <w:t>4</w:t>
      </w:r>
      <w:r>
        <w:rPr>
          <w:color w:val="000000"/>
          <w:spacing w:val="0"/>
          <w:szCs w:val="24"/>
        </w:rPr>
        <w:t>-</w:t>
      </w:r>
      <w:r>
        <w:rPr>
          <w:rFonts w:hint="eastAsia"/>
          <w:color w:val="000000"/>
          <w:spacing w:val="0"/>
          <w:szCs w:val="24"/>
          <w:lang w:val="en-US" w:eastAsia="zh-CN"/>
        </w:rPr>
        <w:t>2</w:t>
      </w:r>
      <w:r>
        <w:rPr>
          <w:rFonts w:hint="eastAsia" w:ascii="Times New Roman" w:hAnsi="Times New Roman" w:eastAsia="黑体" w:cs="黑体"/>
          <w:b w:val="0"/>
          <w:bCs/>
          <w:color w:val="auto"/>
          <w:kern w:val="2"/>
          <w:sz w:val="24"/>
          <w:szCs w:val="24"/>
          <w:lang w:val="en-US" w:eastAsia="zh-CN" w:bidi="ar-SA"/>
        </w:rPr>
        <w:t xml:space="preserve">  </w:t>
      </w:r>
      <w:r>
        <w:rPr>
          <w:rFonts w:hint="eastAsia" w:ascii="黑体" w:hAnsi="黑体" w:eastAsia="黑体" w:cs="黑体"/>
          <w:bCs/>
          <w:sz w:val="24"/>
          <w:szCs w:val="28"/>
          <w:lang w:val="en-US" w:eastAsia="zh-CN"/>
        </w:rPr>
        <w:t>有组织废气下风向轴向浓度估算结果表</w:t>
      </w:r>
    </w:p>
    <w:tbl>
      <w:tblPr>
        <w:tblStyle w:val="28"/>
        <w:tblW w:w="4998" w:type="pct"/>
        <w:tblInd w:w="1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038"/>
        <w:gridCol w:w="1527"/>
        <w:gridCol w:w="1192"/>
        <w:gridCol w:w="1371"/>
        <w:gridCol w:w="1278"/>
        <w:gridCol w:w="1423"/>
        <w:gridCol w:w="1122"/>
      </w:tblGrid>
      <w:tr w14:paraId="03E546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454" w:hRule="atLeast"/>
        </w:trPr>
        <w:tc>
          <w:tcPr>
            <w:tcW w:w="1024" w:type="pct"/>
            <w:vMerge w:val="restart"/>
            <w:tcBorders>
              <w:tl2br w:val="nil"/>
              <w:tr2bl w:val="nil"/>
            </w:tcBorders>
            <w:vAlign w:val="center"/>
          </w:tcPr>
          <w:p w14:paraId="031D188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下风向距离</w:t>
            </w:r>
          </w:p>
          <w:p w14:paraId="026DCE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cs="Times New Roman"/>
                <w:color w:val="auto"/>
                <w:sz w:val="21"/>
                <w:szCs w:val="21"/>
                <w:u w:val="none"/>
              </w:rPr>
              <w:t>m</w:t>
            </w:r>
            <w:r>
              <w:rPr>
                <w:rFonts w:hint="default" w:ascii="Times New Roman" w:hAnsi="Times New Roman" w:eastAsia="宋体" w:cs="Times New Roman"/>
                <w:color w:val="auto"/>
                <w:sz w:val="21"/>
                <w:szCs w:val="21"/>
                <w:u w:val="none"/>
              </w:rPr>
              <w:t>）</w:t>
            </w:r>
          </w:p>
        </w:tc>
        <w:tc>
          <w:tcPr>
            <w:tcW w:w="3975" w:type="pct"/>
            <w:gridSpan w:val="6"/>
            <w:tcBorders>
              <w:tl2br w:val="nil"/>
              <w:tr2bl w:val="nil"/>
            </w:tcBorders>
            <w:vAlign w:val="center"/>
          </w:tcPr>
          <w:p w14:paraId="662779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color w:val="auto"/>
                <w:sz w:val="21"/>
                <w:szCs w:val="21"/>
                <w:u w:val="none"/>
                <w:lang w:val="en-US" w:eastAsia="zh-CN"/>
              </w:rPr>
              <w:t>DA002</w:t>
            </w:r>
          </w:p>
        </w:tc>
      </w:tr>
      <w:tr w14:paraId="2DCB1E9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vMerge w:val="continue"/>
            <w:tcBorders>
              <w:tl2br w:val="nil"/>
              <w:tr2bl w:val="nil"/>
            </w:tcBorders>
            <w:vAlign w:val="center"/>
          </w:tcPr>
          <w:p w14:paraId="39037E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p>
        </w:tc>
        <w:tc>
          <w:tcPr>
            <w:tcW w:w="1366" w:type="pct"/>
            <w:gridSpan w:val="2"/>
            <w:tcBorders>
              <w:tl2br w:val="nil"/>
              <w:tr2bl w:val="nil"/>
            </w:tcBorders>
            <w:vAlign w:val="center"/>
          </w:tcPr>
          <w:p w14:paraId="7238BE0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color w:val="auto"/>
                <w:sz w:val="21"/>
                <w:szCs w:val="21"/>
                <w:u w:val="none"/>
                <w:lang w:val="en-US" w:eastAsia="zh-CN"/>
              </w:rPr>
              <w:t>PM</w:t>
            </w:r>
            <w:r>
              <w:rPr>
                <w:rFonts w:hint="default" w:ascii="Times New Roman" w:hAnsi="Times New Roman" w:cs="Times New Roman"/>
                <w:color w:val="auto"/>
                <w:sz w:val="21"/>
                <w:szCs w:val="21"/>
                <w:u w:val="none"/>
                <w:vertAlign w:val="subscript"/>
                <w:lang w:val="en-US" w:eastAsia="zh-CN"/>
              </w:rPr>
              <w:t>10</w:t>
            </w:r>
          </w:p>
        </w:tc>
        <w:tc>
          <w:tcPr>
            <w:tcW w:w="1330" w:type="pct"/>
            <w:gridSpan w:val="2"/>
            <w:tcBorders>
              <w:tl2br w:val="nil"/>
              <w:tr2bl w:val="nil"/>
            </w:tcBorders>
            <w:vAlign w:val="center"/>
          </w:tcPr>
          <w:p w14:paraId="351D94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color w:val="auto"/>
                <w:sz w:val="21"/>
                <w:szCs w:val="21"/>
                <w:u w:val="none"/>
                <w:lang w:val="en-US" w:eastAsia="zh-CN"/>
              </w:rPr>
              <w:t>NMHC</w:t>
            </w:r>
          </w:p>
        </w:tc>
        <w:tc>
          <w:tcPr>
            <w:tcW w:w="1278" w:type="pct"/>
            <w:gridSpan w:val="2"/>
            <w:tcBorders>
              <w:tl2br w:val="nil"/>
              <w:tr2bl w:val="nil"/>
            </w:tcBorders>
            <w:vAlign w:val="center"/>
          </w:tcPr>
          <w:p w14:paraId="000907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lang w:eastAsia="zh-CN"/>
              </w:rPr>
            </w:pPr>
            <w:r>
              <w:rPr>
                <w:rFonts w:hint="default" w:ascii="Times New Roman" w:hAnsi="Times New Roman" w:cs="Times New Roman" w:eastAsiaTheme="minorEastAsia"/>
                <w:color w:val="auto"/>
                <w:sz w:val="21"/>
                <w:szCs w:val="21"/>
                <w:u w:val="none"/>
                <w:lang w:eastAsia="zh-CN"/>
              </w:rPr>
              <w:t>甲醛</w:t>
            </w:r>
          </w:p>
        </w:tc>
      </w:tr>
      <w:tr w14:paraId="7F7994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vMerge w:val="continue"/>
            <w:tcBorders>
              <w:tl2br w:val="nil"/>
              <w:tr2bl w:val="nil"/>
            </w:tcBorders>
            <w:vAlign w:val="center"/>
          </w:tcPr>
          <w:p w14:paraId="60D7FB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p>
        </w:tc>
        <w:tc>
          <w:tcPr>
            <w:tcW w:w="767" w:type="pct"/>
            <w:tcBorders>
              <w:tl2br w:val="nil"/>
              <w:tr2bl w:val="nil"/>
            </w:tcBorders>
            <w:vAlign w:val="center"/>
          </w:tcPr>
          <w:p w14:paraId="4A4273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浓度</w:t>
            </w:r>
          </w:p>
          <w:p w14:paraId="291A456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sz w:val="21"/>
                <w:szCs w:val="21"/>
                <w:u w:val="none"/>
                <w:lang w:eastAsia="zh-CN"/>
              </w:rPr>
              <w:t>μ</w:t>
            </w:r>
            <w:r>
              <w:rPr>
                <w:rFonts w:hint="default" w:ascii="Times New Roman" w:hAnsi="Times New Roman" w:eastAsia="宋体" w:cs="Times New Roman"/>
                <w:color w:val="auto"/>
                <w:sz w:val="21"/>
                <w:szCs w:val="21"/>
                <w:u w:val="none"/>
                <w:lang w:val="en-US" w:eastAsia="zh-CN"/>
              </w:rPr>
              <w:t>g</w:t>
            </w:r>
            <w:r>
              <w:rPr>
                <w:rFonts w:hint="default" w:ascii="Times New Roman" w:hAnsi="Times New Roman" w:cs="Times New Roman"/>
                <w:color w:val="auto"/>
                <w:sz w:val="21"/>
                <w:szCs w:val="21"/>
                <w:u w:val="none"/>
              </w:rPr>
              <w:t>/m</w:t>
            </w:r>
            <w:r>
              <w:rPr>
                <w:rFonts w:hint="default" w:ascii="Times New Roman" w:hAnsi="Times New Roman"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598" w:type="pct"/>
            <w:tcBorders>
              <w:tl2br w:val="nil"/>
              <w:tr2bl w:val="nil"/>
            </w:tcBorders>
            <w:vAlign w:val="center"/>
          </w:tcPr>
          <w:p w14:paraId="386585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占标率</w:t>
            </w:r>
          </w:p>
          <w:p w14:paraId="5C954F6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cs="Times New Roman"/>
                <w:color w:val="auto"/>
                <w:sz w:val="21"/>
                <w:szCs w:val="21"/>
                <w:u w:val="none"/>
              </w:rPr>
              <w:t>%</w:t>
            </w:r>
            <w:r>
              <w:rPr>
                <w:rFonts w:hint="default" w:ascii="Times New Roman" w:hAnsi="Times New Roman" w:eastAsia="宋体" w:cs="Times New Roman"/>
                <w:color w:val="auto"/>
                <w:sz w:val="21"/>
                <w:szCs w:val="21"/>
                <w:u w:val="none"/>
              </w:rPr>
              <w:t>）</w:t>
            </w:r>
          </w:p>
        </w:tc>
        <w:tc>
          <w:tcPr>
            <w:tcW w:w="688" w:type="pct"/>
            <w:tcBorders>
              <w:tl2br w:val="nil"/>
              <w:tr2bl w:val="nil"/>
            </w:tcBorders>
            <w:vAlign w:val="center"/>
          </w:tcPr>
          <w:p w14:paraId="4C7924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浓度</w:t>
            </w:r>
          </w:p>
          <w:p w14:paraId="5AD9D3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sz w:val="21"/>
                <w:szCs w:val="21"/>
                <w:u w:val="none"/>
                <w:lang w:eastAsia="zh-CN"/>
              </w:rPr>
              <w:t>μ</w:t>
            </w:r>
            <w:r>
              <w:rPr>
                <w:rFonts w:hint="default" w:ascii="Times New Roman" w:hAnsi="Times New Roman" w:eastAsia="宋体" w:cs="Times New Roman"/>
                <w:color w:val="auto"/>
                <w:sz w:val="21"/>
                <w:szCs w:val="21"/>
                <w:u w:val="none"/>
                <w:lang w:val="en-US" w:eastAsia="zh-CN"/>
              </w:rPr>
              <w:t>g</w:t>
            </w:r>
            <w:r>
              <w:rPr>
                <w:rFonts w:hint="default" w:ascii="Times New Roman" w:hAnsi="Times New Roman" w:cs="Times New Roman"/>
                <w:color w:val="auto"/>
                <w:sz w:val="21"/>
                <w:szCs w:val="21"/>
                <w:u w:val="none"/>
              </w:rPr>
              <w:t>/m</w:t>
            </w:r>
            <w:r>
              <w:rPr>
                <w:rFonts w:hint="default" w:ascii="Times New Roman" w:hAnsi="Times New Roman"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641" w:type="pct"/>
            <w:tcBorders>
              <w:tl2br w:val="nil"/>
              <w:tr2bl w:val="nil"/>
            </w:tcBorders>
            <w:vAlign w:val="center"/>
          </w:tcPr>
          <w:p w14:paraId="20E12A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占标率</w:t>
            </w:r>
          </w:p>
          <w:p w14:paraId="351FB0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cs="Times New Roman"/>
                <w:color w:val="auto"/>
                <w:sz w:val="21"/>
                <w:szCs w:val="21"/>
                <w:u w:val="none"/>
              </w:rPr>
              <w:t>%</w:t>
            </w:r>
            <w:r>
              <w:rPr>
                <w:rFonts w:hint="default" w:ascii="Times New Roman" w:hAnsi="Times New Roman" w:eastAsia="宋体" w:cs="Times New Roman"/>
                <w:color w:val="auto"/>
                <w:sz w:val="21"/>
                <w:szCs w:val="21"/>
                <w:u w:val="none"/>
              </w:rPr>
              <w:t>）</w:t>
            </w:r>
          </w:p>
        </w:tc>
        <w:tc>
          <w:tcPr>
            <w:tcW w:w="715" w:type="pct"/>
            <w:tcBorders>
              <w:tl2br w:val="nil"/>
              <w:tr2bl w:val="nil"/>
            </w:tcBorders>
            <w:vAlign w:val="center"/>
          </w:tcPr>
          <w:p w14:paraId="7CE3890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浓度</w:t>
            </w:r>
          </w:p>
          <w:p w14:paraId="239655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eastAsia="宋体" w:cs="Times New Roman"/>
                <w:color w:val="auto"/>
                <w:sz w:val="21"/>
                <w:szCs w:val="21"/>
                <w:u w:val="none"/>
                <w:lang w:eastAsia="zh-CN"/>
              </w:rPr>
              <w:t>μ</w:t>
            </w:r>
            <w:r>
              <w:rPr>
                <w:rFonts w:hint="default" w:ascii="Times New Roman" w:hAnsi="Times New Roman" w:eastAsia="宋体" w:cs="Times New Roman"/>
                <w:color w:val="auto"/>
                <w:sz w:val="21"/>
                <w:szCs w:val="21"/>
                <w:u w:val="none"/>
                <w:lang w:val="en-US" w:eastAsia="zh-CN"/>
              </w:rPr>
              <w:t>g</w:t>
            </w:r>
            <w:r>
              <w:rPr>
                <w:rFonts w:hint="default" w:ascii="Times New Roman" w:hAnsi="Times New Roman" w:cs="Times New Roman"/>
                <w:color w:val="auto"/>
                <w:sz w:val="21"/>
                <w:szCs w:val="21"/>
                <w:u w:val="none"/>
              </w:rPr>
              <w:t>/m</w:t>
            </w:r>
            <w:r>
              <w:rPr>
                <w:rFonts w:hint="default" w:ascii="Times New Roman" w:hAnsi="Times New Roman"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w:t>
            </w:r>
          </w:p>
        </w:tc>
        <w:tc>
          <w:tcPr>
            <w:tcW w:w="563" w:type="pct"/>
            <w:tcBorders>
              <w:tl2br w:val="nil"/>
              <w:tr2bl w:val="nil"/>
            </w:tcBorders>
            <w:vAlign w:val="center"/>
          </w:tcPr>
          <w:p w14:paraId="52C492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占标率</w:t>
            </w:r>
          </w:p>
          <w:p w14:paraId="4A17D40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eastAsia="宋体" w:cs="Times New Roman"/>
                <w:color w:val="auto"/>
                <w:sz w:val="21"/>
                <w:szCs w:val="21"/>
                <w:u w:val="none"/>
              </w:rPr>
              <w:t>（</w:t>
            </w:r>
            <w:r>
              <w:rPr>
                <w:rFonts w:hint="default" w:ascii="Times New Roman" w:hAnsi="Times New Roman" w:cs="Times New Roman"/>
                <w:color w:val="auto"/>
                <w:sz w:val="21"/>
                <w:szCs w:val="21"/>
                <w:u w:val="none"/>
              </w:rPr>
              <w:t>%</w:t>
            </w:r>
            <w:r>
              <w:rPr>
                <w:rFonts w:hint="default" w:ascii="Times New Roman" w:hAnsi="Times New Roman" w:eastAsia="宋体" w:cs="Times New Roman"/>
                <w:color w:val="auto"/>
                <w:sz w:val="21"/>
                <w:szCs w:val="21"/>
                <w:u w:val="none"/>
              </w:rPr>
              <w:t>）</w:t>
            </w:r>
          </w:p>
        </w:tc>
      </w:tr>
      <w:tr w14:paraId="262B93E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5813BA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25</w:t>
            </w:r>
          </w:p>
        </w:tc>
        <w:tc>
          <w:tcPr>
            <w:tcW w:w="1527" w:type="dxa"/>
            <w:tcBorders>
              <w:tl2br w:val="nil"/>
              <w:tr2bl w:val="nil"/>
            </w:tcBorders>
            <w:vAlign w:val="center"/>
          </w:tcPr>
          <w:p w14:paraId="412976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0.0007</w:t>
            </w:r>
          </w:p>
        </w:tc>
        <w:tc>
          <w:tcPr>
            <w:tcW w:w="1192" w:type="dxa"/>
            <w:tcBorders>
              <w:tl2br w:val="nil"/>
              <w:tr2bl w:val="nil"/>
            </w:tcBorders>
            <w:vAlign w:val="center"/>
          </w:tcPr>
          <w:p w14:paraId="67FDBE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0.0002</w:t>
            </w:r>
          </w:p>
        </w:tc>
        <w:tc>
          <w:tcPr>
            <w:tcW w:w="1371" w:type="dxa"/>
            <w:tcBorders>
              <w:tl2br w:val="nil"/>
              <w:tr2bl w:val="nil"/>
            </w:tcBorders>
            <w:vAlign w:val="center"/>
          </w:tcPr>
          <w:p w14:paraId="333B10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0.0008</w:t>
            </w:r>
          </w:p>
        </w:tc>
        <w:tc>
          <w:tcPr>
            <w:tcW w:w="1278" w:type="dxa"/>
            <w:tcBorders>
              <w:tl2br w:val="nil"/>
              <w:tr2bl w:val="nil"/>
            </w:tcBorders>
            <w:vAlign w:val="center"/>
          </w:tcPr>
          <w:p w14:paraId="60FDB8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0.0000</w:t>
            </w:r>
          </w:p>
        </w:tc>
        <w:tc>
          <w:tcPr>
            <w:tcW w:w="1423" w:type="dxa"/>
            <w:tcBorders>
              <w:tl2br w:val="nil"/>
              <w:tr2bl w:val="nil"/>
            </w:tcBorders>
            <w:vAlign w:val="center"/>
          </w:tcPr>
          <w:p w14:paraId="1B6BC6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0.0001</w:t>
            </w:r>
          </w:p>
        </w:tc>
        <w:tc>
          <w:tcPr>
            <w:tcW w:w="1122" w:type="dxa"/>
            <w:tcBorders>
              <w:tl2br w:val="nil"/>
              <w:tr2bl w:val="nil"/>
            </w:tcBorders>
            <w:vAlign w:val="center"/>
          </w:tcPr>
          <w:p w14:paraId="6461C1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0.0001</w:t>
            </w:r>
          </w:p>
        </w:tc>
      </w:tr>
      <w:tr w14:paraId="4B47615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3B22C8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50</w:t>
            </w:r>
          </w:p>
        </w:tc>
        <w:tc>
          <w:tcPr>
            <w:tcW w:w="1527" w:type="dxa"/>
            <w:tcBorders>
              <w:tl2br w:val="nil"/>
              <w:tr2bl w:val="nil"/>
            </w:tcBorders>
            <w:vAlign w:val="center"/>
          </w:tcPr>
          <w:p w14:paraId="223889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0.0046</w:t>
            </w:r>
          </w:p>
        </w:tc>
        <w:tc>
          <w:tcPr>
            <w:tcW w:w="1192" w:type="dxa"/>
            <w:tcBorders>
              <w:tl2br w:val="nil"/>
              <w:tr2bl w:val="nil"/>
            </w:tcBorders>
            <w:vAlign w:val="center"/>
          </w:tcPr>
          <w:p w14:paraId="4D7E4A6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0.0010</w:t>
            </w:r>
          </w:p>
        </w:tc>
        <w:tc>
          <w:tcPr>
            <w:tcW w:w="1371" w:type="dxa"/>
            <w:tcBorders>
              <w:tl2br w:val="nil"/>
              <w:tr2bl w:val="nil"/>
            </w:tcBorders>
            <w:vAlign w:val="center"/>
          </w:tcPr>
          <w:p w14:paraId="245354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0.0055</w:t>
            </w:r>
          </w:p>
        </w:tc>
        <w:tc>
          <w:tcPr>
            <w:tcW w:w="1278" w:type="dxa"/>
            <w:tcBorders>
              <w:tl2br w:val="nil"/>
              <w:tr2bl w:val="nil"/>
            </w:tcBorders>
            <w:vAlign w:val="center"/>
          </w:tcPr>
          <w:p w14:paraId="111D34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0.0003</w:t>
            </w:r>
          </w:p>
        </w:tc>
        <w:tc>
          <w:tcPr>
            <w:tcW w:w="1423" w:type="dxa"/>
            <w:tcBorders>
              <w:tl2br w:val="nil"/>
              <w:tr2bl w:val="nil"/>
            </w:tcBorders>
            <w:vAlign w:val="center"/>
          </w:tcPr>
          <w:p w14:paraId="0A85C18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0.0003</w:t>
            </w:r>
          </w:p>
        </w:tc>
        <w:tc>
          <w:tcPr>
            <w:tcW w:w="1122" w:type="dxa"/>
            <w:tcBorders>
              <w:tl2br w:val="nil"/>
              <w:tr2bl w:val="nil"/>
            </w:tcBorders>
            <w:vAlign w:val="center"/>
          </w:tcPr>
          <w:p w14:paraId="0CA67C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0.0007</w:t>
            </w:r>
          </w:p>
        </w:tc>
      </w:tr>
      <w:tr w14:paraId="45D813C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634A96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100</w:t>
            </w:r>
          </w:p>
        </w:tc>
        <w:tc>
          <w:tcPr>
            <w:tcW w:w="1527" w:type="dxa"/>
            <w:tcBorders>
              <w:tl2br w:val="nil"/>
              <w:tr2bl w:val="nil"/>
            </w:tcBorders>
            <w:vAlign w:val="center"/>
          </w:tcPr>
          <w:p w14:paraId="6F5AA0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0.0077</w:t>
            </w:r>
          </w:p>
        </w:tc>
        <w:tc>
          <w:tcPr>
            <w:tcW w:w="1192" w:type="dxa"/>
            <w:tcBorders>
              <w:tl2br w:val="nil"/>
              <w:tr2bl w:val="nil"/>
            </w:tcBorders>
            <w:vAlign w:val="center"/>
          </w:tcPr>
          <w:p w14:paraId="1C7FA2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0.0017</w:t>
            </w:r>
          </w:p>
        </w:tc>
        <w:tc>
          <w:tcPr>
            <w:tcW w:w="1371" w:type="dxa"/>
            <w:tcBorders>
              <w:tl2br w:val="nil"/>
              <w:tr2bl w:val="nil"/>
            </w:tcBorders>
            <w:vAlign w:val="center"/>
          </w:tcPr>
          <w:p w14:paraId="527A0C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0.0092</w:t>
            </w:r>
          </w:p>
        </w:tc>
        <w:tc>
          <w:tcPr>
            <w:tcW w:w="1278" w:type="dxa"/>
            <w:tcBorders>
              <w:tl2br w:val="nil"/>
              <w:tr2bl w:val="nil"/>
            </w:tcBorders>
            <w:vAlign w:val="center"/>
          </w:tcPr>
          <w:p w14:paraId="6B13CBF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0.0005</w:t>
            </w:r>
          </w:p>
        </w:tc>
        <w:tc>
          <w:tcPr>
            <w:tcW w:w="1423" w:type="dxa"/>
            <w:tcBorders>
              <w:tl2br w:val="nil"/>
              <w:tr2bl w:val="nil"/>
            </w:tcBorders>
            <w:vAlign w:val="center"/>
          </w:tcPr>
          <w:p w14:paraId="2A6EB7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0.0006</w:t>
            </w:r>
          </w:p>
        </w:tc>
        <w:tc>
          <w:tcPr>
            <w:tcW w:w="1122" w:type="dxa"/>
            <w:tcBorders>
              <w:tl2br w:val="nil"/>
              <w:tr2bl w:val="nil"/>
            </w:tcBorders>
            <w:vAlign w:val="center"/>
          </w:tcPr>
          <w:p w14:paraId="4839FE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0.0012</w:t>
            </w:r>
          </w:p>
        </w:tc>
      </w:tr>
      <w:tr w14:paraId="6B40921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095007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150</w:t>
            </w:r>
          </w:p>
        </w:tc>
        <w:tc>
          <w:tcPr>
            <w:tcW w:w="1527" w:type="dxa"/>
            <w:tcBorders>
              <w:tl2br w:val="nil"/>
              <w:tr2bl w:val="nil"/>
            </w:tcBorders>
            <w:vAlign w:val="center"/>
          </w:tcPr>
          <w:p w14:paraId="77D70C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0.0071</w:t>
            </w:r>
          </w:p>
        </w:tc>
        <w:tc>
          <w:tcPr>
            <w:tcW w:w="1192" w:type="dxa"/>
            <w:tcBorders>
              <w:tl2br w:val="nil"/>
              <w:tr2bl w:val="nil"/>
            </w:tcBorders>
            <w:vAlign w:val="center"/>
          </w:tcPr>
          <w:p w14:paraId="5FABDB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0.0016</w:t>
            </w:r>
          </w:p>
        </w:tc>
        <w:tc>
          <w:tcPr>
            <w:tcW w:w="1371" w:type="dxa"/>
            <w:tcBorders>
              <w:tl2br w:val="nil"/>
              <w:tr2bl w:val="nil"/>
            </w:tcBorders>
            <w:vAlign w:val="center"/>
          </w:tcPr>
          <w:p w14:paraId="3C815B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0.0085</w:t>
            </w:r>
          </w:p>
        </w:tc>
        <w:tc>
          <w:tcPr>
            <w:tcW w:w="1278" w:type="dxa"/>
            <w:tcBorders>
              <w:tl2br w:val="nil"/>
              <w:tr2bl w:val="nil"/>
            </w:tcBorders>
            <w:vAlign w:val="center"/>
          </w:tcPr>
          <w:p w14:paraId="484B92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0.0004</w:t>
            </w:r>
          </w:p>
        </w:tc>
        <w:tc>
          <w:tcPr>
            <w:tcW w:w="1423" w:type="dxa"/>
            <w:tcBorders>
              <w:tl2br w:val="nil"/>
              <w:tr2bl w:val="nil"/>
            </w:tcBorders>
            <w:vAlign w:val="center"/>
          </w:tcPr>
          <w:p w14:paraId="0DE977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0.0005</w:t>
            </w:r>
          </w:p>
        </w:tc>
        <w:tc>
          <w:tcPr>
            <w:tcW w:w="1122" w:type="dxa"/>
            <w:tcBorders>
              <w:tl2br w:val="nil"/>
              <w:tr2bl w:val="nil"/>
            </w:tcBorders>
            <w:vAlign w:val="center"/>
          </w:tcPr>
          <w:p w14:paraId="7D7E91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yellow"/>
                <w:u w:val="none"/>
              </w:rPr>
            </w:pPr>
            <w:r>
              <w:rPr>
                <w:rFonts w:hint="default" w:ascii="Times New Roman" w:hAnsi="Times New Roman" w:eastAsia="宋体" w:cs="Times New Roman"/>
                <w:b w:val="0"/>
                <w:sz w:val="21"/>
                <w:szCs w:val="21"/>
              </w:rPr>
              <w:t>0.0011</w:t>
            </w:r>
          </w:p>
        </w:tc>
      </w:tr>
      <w:tr w14:paraId="698D4BB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4A4EA18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200</w:t>
            </w:r>
          </w:p>
        </w:tc>
        <w:tc>
          <w:tcPr>
            <w:tcW w:w="1527" w:type="dxa"/>
            <w:tcBorders>
              <w:tl2br w:val="nil"/>
              <w:tr2bl w:val="nil"/>
            </w:tcBorders>
            <w:vAlign w:val="center"/>
          </w:tcPr>
          <w:p w14:paraId="1031D7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0.0093</w:t>
            </w:r>
          </w:p>
        </w:tc>
        <w:tc>
          <w:tcPr>
            <w:tcW w:w="1192" w:type="dxa"/>
            <w:tcBorders>
              <w:tl2br w:val="nil"/>
              <w:tr2bl w:val="nil"/>
            </w:tcBorders>
            <w:vAlign w:val="center"/>
          </w:tcPr>
          <w:p w14:paraId="2AEFBE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0.0021</w:t>
            </w:r>
          </w:p>
        </w:tc>
        <w:tc>
          <w:tcPr>
            <w:tcW w:w="1371" w:type="dxa"/>
            <w:tcBorders>
              <w:tl2br w:val="nil"/>
              <w:tr2bl w:val="nil"/>
            </w:tcBorders>
            <w:vAlign w:val="center"/>
          </w:tcPr>
          <w:p w14:paraId="66972D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0.0111</w:t>
            </w:r>
          </w:p>
        </w:tc>
        <w:tc>
          <w:tcPr>
            <w:tcW w:w="1278" w:type="dxa"/>
            <w:tcBorders>
              <w:tl2br w:val="nil"/>
              <w:tr2bl w:val="nil"/>
            </w:tcBorders>
            <w:vAlign w:val="center"/>
          </w:tcPr>
          <w:p w14:paraId="2C8D84B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0.0006</w:t>
            </w:r>
          </w:p>
        </w:tc>
        <w:tc>
          <w:tcPr>
            <w:tcW w:w="1423" w:type="dxa"/>
            <w:tcBorders>
              <w:tl2br w:val="nil"/>
              <w:tr2bl w:val="nil"/>
            </w:tcBorders>
            <w:vAlign w:val="center"/>
          </w:tcPr>
          <w:p w14:paraId="4E2BB3D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0.0007</w:t>
            </w:r>
          </w:p>
        </w:tc>
        <w:tc>
          <w:tcPr>
            <w:tcW w:w="1122" w:type="dxa"/>
            <w:tcBorders>
              <w:tl2br w:val="nil"/>
              <w:tr2bl w:val="nil"/>
            </w:tcBorders>
            <w:vAlign w:val="center"/>
          </w:tcPr>
          <w:p w14:paraId="31CFEC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0.0014</w:t>
            </w:r>
          </w:p>
        </w:tc>
      </w:tr>
      <w:tr w14:paraId="3264D1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7BDA6F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400</w:t>
            </w:r>
          </w:p>
        </w:tc>
        <w:tc>
          <w:tcPr>
            <w:tcW w:w="1527" w:type="dxa"/>
            <w:tcBorders>
              <w:tl2br w:val="nil"/>
              <w:tr2bl w:val="nil"/>
            </w:tcBorders>
            <w:vAlign w:val="center"/>
          </w:tcPr>
          <w:p w14:paraId="3CAD46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0.0143</w:t>
            </w:r>
          </w:p>
        </w:tc>
        <w:tc>
          <w:tcPr>
            <w:tcW w:w="1192" w:type="dxa"/>
            <w:tcBorders>
              <w:tl2br w:val="nil"/>
              <w:tr2bl w:val="nil"/>
            </w:tcBorders>
            <w:vAlign w:val="center"/>
          </w:tcPr>
          <w:p w14:paraId="5FA4E97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0.0032</w:t>
            </w:r>
          </w:p>
        </w:tc>
        <w:tc>
          <w:tcPr>
            <w:tcW w:w="1371" w:type="dxa"/>
            <w:tcBorders>
              <w:tl2br w:val="nil"/>
              <w:tr2bl w:val="nil"/>
            </w:tcBorders>
            <w:vAlign w:val="center"/>
          </w:tcPr>
          <w:p w14:paraId="0F208A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0.0172</w:t>
            </w:r>
          </w:p>
        </w:tc>
        <w:tc>
          <w:tcPr>
            <w:tcW w:w="1278" w:type="dxa"/>
            <w:tcBorders>
              <w:tl2br w:val="nil"/>
              <w:tr2bl w:val="nil"/>
            </w:tcBorders>
            <w:vAlign w:val="center"/>
          </w:tcPr>
          <w:p w14:paraId="18F8B4F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0.0009</w:t>
            </w:r>
          </w:p>
        </w:tc>
        <w:tc>
          <w:tcPr>
            <w:tcW w:w="1423" w:type="dxa"/>
            <w:tcBorders>
              <w:tl2br w:val="nil"/>
              <w:tr2bl w:val="nil"/>
            </w:tcBorders>
            <w:vAlign w:val="center"/>
          </w:tcPr>
          <w:p w14:paraId="3860B8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0.0011</w:t>
            </w:r>
          </w:p>
        </w:tc>
        <w:tc>
          <w:tcPr>
            <w:tcW w:w="1122" w:type="dxa"/>
            <w:tcBorders>
              <w:tl2br w:val="nil"/>
              <w:tr2bl w:val="nil"/>
            </w:tcBorders>
            <w:vAlign w:val="center"/>
          </w:tcPr>
          <w:p w14:paraId="4602C7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0.0021</w:t>
            </w:r>
          </w:p>
        </w:tc>
      </w:tr>
      <w:tr w14:paraId="1856937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2620EB3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600</w:t>
            </w:r>
          </w:p>
        </w:tc>
        <w:tc>
          <w:tcPr>
            <w:tcW w:w="1527" w:type="dxa"/>
            <w:tcBorders>
              <w:tl2br w:val="nil"/>
              <w:tr2bl w:val="nil"/>
            </w:tcBorders>
            <w:vAlign w:val="center"/>
          </w:tcPr>
          <w:p w14:paraId="625346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0.0145</w:t>
            </w:r>
          </w:p>
        </w:tc>
        <w:tc>
          <w:tcPr>
            <w:tcW w:w="1192" w:type="dxa"/>
            <w:tcBorders>
              <w:tl2br w:val="nil"/>
              <w:tr2bl w:val="nil"/>
            </w:tcBorders>
            <w:vAlign w:val="center"/>
          </w:tcPr>
          <w:p w14:paraId="400A37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0.0032</w:t>
            </w:r>
          </w:p>
        </w:tc>
        <w:tc>
          <w:tcPr>
            <w:tcW w:w="1371" w:type="dxa"/>
            <w:tcBorders>
              <w:tl2br w:val="nil"/>
              <w:tr2bl w:val="nil"/>
            </w:tcBorders>
            <w:vAlign w:val="center"/>
          </w:tcPr>
          <w:p w14:paraId="6B2BCB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0.0174</w:t>
            </w:r>
          </w:p>
        </w:tc>
        <w:tc>
          <w:tcPr>
            <w:tcW w:w="1278" w:type="dxa"/>
            <w:tcBorders>
              <w:tl2br w:val="nil"/>
              <w:tr2bl w:val="nil"/>
            </w:tcBorders>
            <w:vAlign w:val="center"/>
          </w:tcPr>
          <w:p w14:paraId="4C85F5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0.0009</w:t>
            </w:r>
          </w:p>
        </w:tc>
        <w:tc>
          <w:tcPr>
            <w:tcW w:w="1423" w:type="dxa"/>
            <w:tcBorders>
              <w:tl2br w:val="nil"/>
              <w:tr2bl w:val="nil"/>
            </w:tcBorders>
            <w:vAlign w:val="center"/>
          </w:tcPr>
          <w:p w14:paraId="4C38CF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0.0011</w:t>
            </w:r>
          </w:p>
        </w:tc>
        <w:tc>
          <w:tcPr>
            <w:tcW w:w="1122" w:type="dxa"/>
            <w:tcBorders>
              <w:tl2br w:val="nil"/>
              <w:tr2bl w:val="nil"/>
            </w:tcBorders>
            <w:vAlign w:val="center"/>
          </w:tcPr>
          <w:p w14:paraId="08AB3B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0.0022</w:t>
            </w:r>
          </w:p>
        </w:tc>
      </w:tr>
      <w:tr w14:paraId="3BF4665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495D80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800</w:t>
            </w:r>
          </w:p>
        </w:tc>
        <w:tc>
          <w:tcPr>
            <w:tcW w:w="1527" w:type="dxa"/>
            <w:tcBorders>
              <w:tl2br w:val="nil"/>
              <w:tr2bl w:val="nil"/>
            </w:tcBorders>
            <w:vAlign w:val="center"/>
          </w:tcPr>
          <w:p w14:paraId="14A45F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0.0116</w:t>
            </w:r>
          </w:p>
        </w:tc>
        <w:tc>
          <w:tcPr>
            <w:tcW w:w="1192" w:type="dxa"/>
            <w:tcBorders>
              <w:tl2br w:val="nil"/>
              <w:tr2bl w:val="nil"/>
            </w:tcBorders>
            <w:vAlign w:val="center"/>
          </w:tcPr>
          <w:p w14:paraId="714B34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0.0026</w:t>
            </w:r>
          </w:p>
        </w:tc>
        <w:tc>
          <w:tcPr>
            <w:tcW w:w="1371" w:type="dxa"/>
            <w:tcBorders>
              <w:tl2br w:val="nil"/>
              <w:tr2bl w:val="nil"/>
            </w:tcBorders>
            <w:vAlign w:val="center"/>
          </w:tcPr>
          <w:p w14:paraId="05958CA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0.0140</w:t>
            </w:r>
          </w:p>
        </w:tc>
        <w:tc>
          <w:tcPr>
            <w:tcW w:w="1278" w:type="dxa"/>
            <w:tcBorders>
              <w:tl2br w:val="nil"/>
              <w:tr2bl w:val="nil"/>
            </w:tcBorders>
            <w:vAlign w:val="center"/>
          </w:tcPr>
          <w:p w14:paraId="3F8AD46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0.0007</w:t>
            </w:r>
          </w:p>
        </w:tc>
        <w:tc>
          <w:tcPr>
            <w:tcW w:w="1423" w:type="dxa"/>
            <w:tcBorders>
              <w:tl2br w:val="nil"/>
              <w:tr2bl w:val="nil"/>
            </w:tcBorders>
            <w:vAlign w:val="center"/>
          </w:tcPr>
          <w:p w14:paraId="6909CB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0.0009</w:t>
            </w:r>
          </w:p>
        </w:tc>
        <w:tc>
          <w:tcPr>
            <w:tcW w:w="1122" w:type="dxa"/>
            <w:tcBorders>
              <w:tl2br w:val="nil"/>
              <w:tr2bl w:val="nil"/>
            </w:tcBorders>
            <w:vAlign w:val="center"/>
          </w:tcPr>
          <w:p w14:paraId="597A608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0.0017</w:t>
            </w:r>
          </w:p>
        </w:tc>
      </w:tr>
      <w:tr w14:paraId="4CA0A3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5D7431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1000</w:t>
            </w:r>
          </w:p>
        </w:tc>
        <w:tc>
          <w:tcPr>
            <w:tcW w:w="1527" w:type="dxa"/>
            <w:tcBorders>
              <w:tl2br w:val="nil"/>
              <w:tr2bl w:val="nil"/>
            </w:tcBorders>
            <w:vAlign w:val="center"/>
          </w:tcPr>
          <w:p w14:paraId="07BCD9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0.0104</w:t>
            </w:r>
          </w:p>
        </w:tc>
        <w:tc>
          <w:tcPr>
            <w:tcW w:w="1192" w:type="dxa"/>
            <w:tcBorders>
              <w:tl2br w:val="nil"/>
              <w:tr2bl w:val="nil"/>
            </w:tcBorders>
            <w:vAlign w:val="center"/>
          </w:tcPr>
          <w:p w14:paraId="5B7A596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0.0023</w:t>
            </w:r>
          </w:p>
        </w:tc>
        <w:tc>
          <w:tcPr>
            <w:tcW w:w="1371" w:type="dxa"/>
            <w:tcBorders>
              <w:tl2br w:val="nil"/>
              <w:tr2bl w:val="nil"/>
            </w:tcBorders>
            <w:vAlign w:val="center"/>
          </w:tcPr>
          <w:p w14:paraId="0996BF0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0.0125</w:t>
            </w:r>
          </w:p>
        </w:tc>
        <w:tc>
          <w:tcPr>
            <w:tcW w:w="1278" w:type="dxa"/>
            <w:tcBorders>
              <w:tl2br w:val="nil"/>
              <w:tr2bl w:val="nil"/>
            </w:tcBorders>
            <w:vAlign w:val="center"/>
          </w:tcPr>
          <w:p w14:paraId="6166930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0.0006</w:t>
            </w:r>
          </w:p>
        </w:tc>
        <w:tc>
          <w:tcPr>
            <w:tcW w:w="1423" w:type="dxa"/>
            <w:tcBorders>
              <w:tl2br w:val="nil"/>
              <w:tr2bl w:val="nil"/>
            </w:tcBorders>
            <w:vAlign w:val="center"/>
          </w:tcPr>
          <w:p w14:paraId="0775D9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0.0008</w:t>
            </w:r>
          </w:p>
        </w:tc>
        <w:tc>
          <w:tcPr>
            <w:tcW w:w="1122" w:type="dxa"/>
            <w:tcBorders>
              <w:tl2br w:val="nil"/>
              <w:tr2bl w:val="nil"/>
            </w:tcBorders>
            <w:vAlign w:val="center"/>
          </w:tcPr>
          <w:p w14:paraId="5E7696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0.0016</w:t>
            </w:r>
          </w:p>
        </w:tc>
      </w:tr>
      <w:tr w14:paraId="6EB57F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3BB7DD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1200</w:t>
            </w:r>
          </w:p>
        </w:tc>
        <w:tc>
          <w:tcPr>
            <w:tcW w:w="1527" w:type="dxa"/>
            <w:tcBorders>
              <w:tl2br w:val="nil"/>
              <w:tr2bl w:val="nil"/>
            </w:tcBorders>
            <w:vAlign w:val="center"/>
          </w:tcPr>
          <w:p w14:paraId="1509D9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0.0122</w:t>
            </w:r>
          </w:p>
        </w:tc>
        <w:tc>
          <w:tcPr>
            <w:tcW w:w="1192" w:type="dxa"/>
            <w:tcBorders>
              <w:tl2br w:val="nil"/>
              <w:tr2bl w:val="nil"/>
            </w:tcBorders>
            <w:vAlign w:val="center"/>
          </w:tcPr>
          <w:p w14:paraId="326A31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0.0027</w:t>
            </w:r>
          </w:p>
        </w:tc>
        <w:tc>
          <w:tcPr>
            <w:tcW w:w="1371" w:type="dxa"/>
            <w:tcBorders>
              <w:tl2br w:val="nil"/>
              <w:tr2bl w:val="nil"/>
            </w:tcBorders>
            <w:vAlign w:val="center"/>
          </w:tcPr>
          <w:p w14:paraId="51E8B70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0.0146</w:t>
            </w:r>
          </w:p>
        </w:tc>
        <w:tc>
          <w:tcPr>
            <w:tcW w:w="1278" w:type="dxa"/>
            <w:tcBorders>
              <w:tl2br w:val="nil"/>
              <w:tr2bl w:val="nil"/>
            </w:tcBorders>
            <w:vAlign w:val="center"/>
          </w:tcPr>
          <w:p w14:paraId="56EFA4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0.0007</w:t>
            </w:r>
          </w:p>
        </w:tc>
        <w:tc>
          <w:tcPr>
            <w:tcW w:w="1423" w:type="dxa"/>
            <w:tcBorders>
              <w:tl2br w:val="nil"/>
              <w:tr2bl w:val="nil"/>
            </w:tcBorders>
            <w:vAlign w:val="center"/>
          </w:tcPr>
          <w:p w14:paraId="0BB5C3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0.0009</w:t>
            </w:r>
          </w:p>
        </w:tc>
        <w:tc>
          <w:tcPr>
            <w:tcW w:w="1122" w:type="dxa"/>
            <w:tcBorders>
              <w:tl2br w:val="nil"/>
              <w:tr2bl w:val="nil"/>
            </w:tcBorders>
            <w:vAlign w:val="center"/>
          </w:tcPr>
          <w:p w14:paraId="782FA9F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0.0018</w:t>
            </w:r>
          </w:p>
        </w:tc>
      </w:tr>
      <w:tr w14:paraId="33A0A87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444922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1500</w:t>
            </w:r>
          </w:p>
        </w:tc>
        <w:tc>
          <w:tcPr>
            <w:tcW w:w="1527" w:type="dxa"/>
            <w:tcBorders>
              <w:tl2br w:val="nil"/>
              <w:tr2bl w:val="nil"/>
            </w:tcBorders>
            <w:vAlign w:val="center"/>
          </w:tcPr>
          <w:p w14:paraId="6619E1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0.0133</w:t>
            </w:r>
          </w:p>
        </w:tc>
        <w:tc>
          <w:tcPr>
            <w:tcW w:w="1192" w:type="dxa"/>
            <w:tcBorders>
              <w:tl2br w:val="nil"/>
              <w:tr2bl w:val="nil"/>
            </w:tcBorders>
            <w:vAlign w:val="center"/>
          </w:tcPr>
          <w:p w14:paraId="21220C0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0.0029</w:t>
            </w:r>
          </w:p>
        </w:tc>
        <w:tc>
          <w:tcPr>
            <w:tcW w:w="1371" w:type="dxa"/>
            <w:tcBorders>
              <w:tl2br w:val="nil"/>
              <w:tr2bl w:val="nil"/>
            </w:tcBorders>
            <w:vAlign w:val="center"/>
          </w:tcPr>
          <w:p w14:paraId="550DDA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0.0159</w:t>
            </w:r>
          </w:p>
        </w:tc>
        <w:tc>
          <w:tcPr>
            <w:tcW w:w="1278" w:type="dxa"/>
            <w:tcBorders>
              <w:tl2br w:val="nil"/>
              <w:tr2bl w:val="nil"/>
            </w:tcBorders>
            <w:vAlign w:val="center"/>
          </w:tcPr>
          <w:p w14:paraId="4E0E95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0.0008</w:t>
            </w:r>
          </w:p>
        </w:tc>
        <w:tc>
          <w:tcPr>
            <w:tcW w:w="1423" w:type="dxa"/>
            <w:tcBorders>
              <w:tl2br w:val="nil"/>
              <w:tr2bl w:val="nil"/>
            </w:tcBorders>
            <w:vAlign w:val="center"/>
          </w:tcPr>
          <w:p w14:paraId="25F27D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0.0010</w:t>
            </w:r>
          </w:p>
        </w:tc>
        <w:tc>
          <w:tcPr>
            <w:tcW w:w="1122" w:type="dxa"/>
            <w:tcBorders>
              <w:tl2br w:val="nil"/>
              <w:tr2bl w:val="nil"/>
            </w:tcBorders>
            <w:vAlign w:val="center"/>
          </w:tcPr>
          <w:p w14:paraId="30BB6E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0.0020</w:t>
            </w:r>
          </w:p>
        </w:tc>
      </w:tr>
      <w:tr w14:paraId="57C678B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07B971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2000</w:t>
            </w:r>
          </w:p>
        </w:tc>
        <w:tc>
          <w:tcPr>
            <w:tcW w:w="1527" w:type="dxa"/>
            <w:tcBorders>
              <w:tl2br w:val="nil"/>
              <w:tr2bl w:val="nil"/>
            </w:tcBorders>
            <w:vAlign w:val="center"/>
          </w:tcPr>
          <w:p w14:paraId="0BF46FD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0.0132</w:t>
            </w:r>
          </w:p>
        </w:tc>
        <w:tc>
          <w:tcPr>
            <w:tcW w:w="1192" w:type="dxa"/>
            <w:tcBorders>
              <w:tl2br w:val="nil"/>
              <w:tr2bl w:val="nil"/>
            </w:tcBorders>
            <w:vAlign w:val="center"/>
          </w:tcPr>
          <w:p w14:paraId="4BC3074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0.0029</w:t>
            </w:r>
          </w:p>
        </w:tc>
        <w:tc>
          <w:tcPr>
            <w:tcW w:w="1371" w:type="dxa"/>
            <w:tcBorders>
              <w:tl2br w:val="nil"/>
              <w:tr2bl w:val="nil"/>
            </w:tcBorders>
            <w:vAlign w:val="center"/>
          </w:tcPr>
          <w:p w14:paraId="0B50F53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0.0158</w:t>
            </w:r>
          </w:p>
        </w:tc>
        <w:tc>
          <w:tcPr>
            <w:tcW w:w="1278" w:type="dxa"/>
            <w:tcBorders>
              <w:tl2br w:val="nil"/>
              <w:tr2bl w:val="nil"/>
            </w:tcBorders>
            <w:vAlign w:val="center"/>
          </w:tcPr>
          <w:p w14:paraId="440BF4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0.0008</w:t>
            </w:r>
          </w:p>
        </w:tc>
        <w:tc>
          <w:tcPr>
            <w:tcW w:w="1423" w:type="dxa"/>
            <w:tcBorders>
              <w:tl2br w:val="nil"/>
              <w:tr2bl w:val="nil"/>
            </w:tcBorders>
            <w:vAlign w:val="center"/>
          </w:tcPr>
          <w:p w14:paraId="0BB8160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0.0010</w:t>
            </w:r>
          </w:p>
        </w:tc>
        <w:tc>
          <w:tcPr>
            <w:tcW w:w="1122" w:type="dxa"/>
            <w:tcBorders>
              <w:tl2br w:val="nil"/>
              <w:tr2bl w:val="nil"/>
            </w:tcBorders>
            <w:vAlign w:val="center"/>
          </w:tcPr>
          <w:p w14:paraId="2CCB285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0.0020</w:t>
            </w:r>
          </w:p>
        </w:tc>
      </w:tr>
      <w:tr w14:paraId="09EFD0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267F5B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2500</w:t>
            </w:r>
          </w:p>
        </w:tc>
        <w:tc>
          <w:tcPr>
            <w:tcW w:w="1527" w:type="dxa"/>
            <w:tcBorders>
              <w:tl2br w:val="nil"/>
              <w:tr2bl w:val="nil"/>
            </w:tcBorders>
            <w:vAlign w:val="center"/>
          </w:tcPr>
          <w:p w14:paraId="1B9BB07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0.0123</w:t>
            </w:r>
          </w:p>
        </w:tc>
        <w:tc>
          <w:tcPr>
            <w:tcW w:w="1192" w:type="dxa"/>
            <w:tcBorders>
              <w:tl2br w:val="nil"/>
              <w:tr2bl w:val="nil"/>
            </w:tcBorders>
            <w:vAlign w:val="center"/>
          </w:tcPr>
          <w:p w14:paraId="4C964F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0.0027</w:t>
            </w:r>
          </w:p>
        </w:tc>
        <w:tc>
          <w:tcPr>
            <w:tcW w:w="1371" w:type="dxa"/>
            <w:tcBorders>
              <w:tl2br w:val="nil"/>
              <w:tr2bl w:val="nil"/>
            </w:tcBorders>
            <w:vAlign w:val="center"/>
          </w:tcPr>
          <w:p w14:paraId="5200FA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0.0148</w:t>
            </w:r>
          </w:p>
        </w:tc>
        <w:tc>
          <w:tcPr>
            <w:tcW w:w="1278" w:type="dxa"/>
            <w:tcBorders>
              <w:tl2br w:val="nil"/>
              <w:tr2bl w:val="nil"/>
            </w:tcBorders>
            <w:vAlign w:val="center"/>
          </w:tcPr>
          <w:p w14:paraId="5E54F4A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0.0007</w:t>
            </w:r>
          </w:p>
        </w:tc>
        <w:tc>
          <w:tcPr>
            <w:tcW w:w="1423" w:type="dxa"/>
            <w:tcBorders>
              <w:tl2br w:val="nil"/>
              <w:tr2bl w:val="nil"/>
            </w:tcBorders>
            <w:vAlign w:val="center"/>
          </w:tcPr>
          <w:p w14:paraId="4EBB3B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0.0009</w:t>
            </w:r>
          </w:p>
        </w:tc>
        <w:tc>
          <w:tcPr>
            <w:tcW w:w="1122" w:type="dxa"/>
            <w:tcBorders>
              <w:tl2br w:val="nil"/>
              <w:tr2bl w:val="nil"/>
            </w:tcBorders>
            <w:vAlign w:val="center"/>
          </w:tcPr>
          <w:p w14:paraId="6425E8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0.0018</w:t>
            </w:r>
          </w:p>
        </w:tc>
      </w:tr>
      <w:tr w14:paraId="39747C8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75659AE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3000</w:t>
            </w:r>
          </w:p>
        </w:tc>
        <w:tc>
          <w:tcPr>
            <w:tcW w:w="1527" w:type="dxa"/>
            <w:tcBorders>
              <w:tl2br w:val="nil"/>
              <w:tr2bl w:val="nil"/>
            </w:tcBorders>
            <w:vAlign w:val="center"/>
          </w:tcPr>
          <w:p w14:paraId="33FA5F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0.0112</w:t>
            </w:r>
          </w:p>
        </w:tc>
        <w:tc>
          <w:tcPr>
            <w:tcW w:w="1192" w:type="dxa"/>
            <w:tcBorders>
              <w:tl2br w:val="nil"/>
              <w:tr2bl w:val="nil"/>
            </w:tcBorders>
            <w:vAlign w:val="center"/>
          </w:tcPr>
          <w:p w14:paraId="21CC57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0.0025</w:t>
            </w:r>
          </w:p>
        </w:tc>
        <w:tc>
          <w:tcPr>
            <w:tcW w:w="1371" w:type="dxa"/>
            <w:tcBorders>
              <w:tl2br w:val="nil"/>
              <w:tr2bl w:val="nil"/>
            </w:tcBorders>
            <w:vAlign w:val="center"/>
          </w:tcPr>
          <w:p w14:paraId="793797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rPr>
            </w:pPr>
            <w:r>
              <w:rPr>
                <w:rFonts w:hint="default" w:ascii="Times New Roman" w:hAnsi="Times New Roman" w:eastAsia="宋体" w:cs="Times New Roman"/>
                <w:b w:val="0"/>
                <w:sz w:val="21"/>
                <w:szCs w:val="21"/>
              </w:rPr>
              <w:t>0.0135</w:t>
            </w:r>
          </w:p>
        </w:tc>
        <w:tc>
          <w:tcPr>
            <w:tcW w:w="1278" w:type="dxa"/>
            <w:tcBorders>
              <w:tl2br w:val="nil"/>
              <w:tr2bl w:val="nil"/>
            </w:tcBorders>
            <w:vAlign w:val="center"/>
          </w:tcPr>
          <w:p w14:paraId="7B76FB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0.0007</w:t>
            </w:r>
          </w:p>
        </w:tc>
        <w:tc>
          <w:tcPr>
            <w:tcW w:w="1423" w:type="dxa"/>
            <w:tcBorders>
              <w:tl2br w:val="nil"/>
              <w:tr2bl w:val="nil"/>
            </w:tcBorders>
            <w:vAlign w:val="center"/>
          </w:tcPr>
          <w:p w14:paraId="6C3423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rPr>
            </w:pPr>
            <w:r>
              <w:rPr>
                <w:rFonts w:hint="default" w:ascii="Times New Roman" w:hAnsi="Times New Roman" w:eastAsia="宋体" w:cs="Times New Roman"/>
                <w:b w:val="0"/>
                <w:sz w:val="21"/>
                <w:szCs w:val="21"/>
              </w:rPr>
              <w:t>0.0008</w:t>
            </w:r>
          </w:p>
        </w:tc>
        <w:tc>
          <w:tcPr>
            <w:tcW w:w="1122" w:type="dxa"/>
            <w:tcBorders>
              <w:tl2br w:val="nil"/>
              <w:tr2bl w:val="nil"/>
            </w:tcBorders>
            <w:vAlign w:val="center"/>
          </w:tcPr>
          <w:p w14:paraId="5D0432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0.0017</w:t>
            </w:r>
          </w:p>
        </w:tc>
      </w:tr>
      <w:tr w14:paraId="3F0EA2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6C7F8B1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rPr>
              <w:t>最大落地浓度</w:t>
            </w:r>
            <w:r>
              <w:rPr>
                <w:rFonts w:hint="default" w:ascii="Times New Roman" w:hAnsi="Times New Roman" w:eastAsia="宋体" w:cs="Times New Roman"/>
                <w:color w:val="auto"/>
                <w:sz w:val="21"/>
                <w:szCs w:val="21"/>
                <w:u w:val="none"/>
                <w:lang w:eastAsia="zh-CN"/>
              </w:rPr>
              <w:t>及占标率</w:t>
            </w:r>
          </w:p>
        </w:tc>
        <w:tc>
          <w:tcPr>
            <w:tcW w:w="1527" w:type="dxa"/>
            <w:tcBorders>
              <w:tl2br w:val="nil"/>
              <w:tr2bl w:val="nil"/>
            </w:tcBorders>
            <w:vAlign w:val="center"/>
          </w:tcPr>
          <w:p w14:paraId="5EA9C9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rPr>
              <w:t>0.0156</w:t>
            </w:r>
          </w:p>
        </w:tc>
        <w:tc>
          <w:tcPr>
            <w:tcW w:w="1192" w:type="dxa"/>
            <w:tcBorders>
              <w:tl2br w:val="nil"/>
              <w:tr2bl w:val="nil"/>
            </w:tcBorders>
            <w:vAlign w:val="center"/>
          </w:tcPr>
          <w:p w14:paraId="13838F5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0.0035</w:t>
            </w:r>
          </w:p>
        </w:tc>
        <w:tc>
          <w:tcPr>
            <w:tcW w:w="1371" w:type="dxa"/>
            <w:tcBorders>
              <w:tl2br w:val="nil"/>
              <w:tr2bl w:val="nil"/>
            </w:tcBorders>
            <w:vAlign w:val="center"/>
          </w:tcPr>
          <w:p w14:paraId="5A8AE5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rPr>
              <w:t>0.0188</w:t>
            </w:r>
          </w:p>
        </w:tc>
        <w:tc>
          <w:tcPr>
            <w:tcW w:w="1278" w:type="dxa"/>
            <w:tcBorders>
              <w:tl2br w:val="nil"/>
              <w:tr2bl w:val="nil"/>
            </w:tcBorders>
            <w:vAlign w:val="center"/>
          </w:tcPr>
          <w:p w14:paraId="4608CF4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0.0009</w:t>
            </w:r>
          </w:p>
        </w:tc>
        <w:tc>
          <w:tcPr>
            <w:tcW w:w="1423" w:type="dxa"/>
            <w:tcBorders>
              <w:tl2br w:val="nil"/>
              <w:tr2bl w:val="nil"/>
            </w:tcBorders>
            <w:vAlign w:val="center"/>
          </w:tcPr>
          <w:p w14:paraId="2D8368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rPr>
              <w:t>0.0012</w:t>
            </w:r>
          </w:p>
        </w:tc>
        <w:tc>
          <w:tcPr>
            <w:tcW w:w="1122" w:type="dxa"/>
            <w:tcBorders>
              <w:tl2br w:val="nil"/>
              <w:tr2bl w:val="nil"/>
            </w:tcBorders>
            <w:vAlign w:val="center"/>
          </w:tcPr>
          <w:p w14:paraId="14AFF95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lang w:val="en-US" w:eastAsia="zh-CN"/>
              </w:rPr>
            </w:pPr>
            <w:r>
              <w:rPr>
                <w:rFonts w:hint="default" w:ascii="Times New Roman" w:hAnsi="Times New Roman" w:eastAsia="宋体" w:cs="Times New Roman"/>
                <w:b w:val="0"/>
                <w:sz w:val="21"/>
                <w:szCs w:val="21"/>
              </w:rPr>
              <w:t>0.0023</w:t>
            </w:r>
          </w:p>
        </w:tc>
      </w:tr>
      <w:tr w14:paraId="1569031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45A9A6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u w:val="none"/>
                <w:lang w:eastAsia="zh-CN"/>
              </w:rPr>
            </w:pPr>
            <w:r>
              <w:rPr>
                <w:rFonts w:hint="default" w:ascii="Times New Roman" w:hAnsi="Times New Roman" w:eastAsia="宋体" w:cs="Times New Roman"/>
                <w:color w:val="auto"/>
                <w:sz w:val="21"/>
                <w:szCs w:val="21"/>
                <w:u w:val="none"/>
                <w:lang w:eastAsia="zh-CN"/>
              </w:rPr>
              <w:t>下风向最大浓度出现距离</w:t>
            </w:r>
          </w:p>
        </w:tc>
        <w:tc>
          <w:tcPr>
            <w:tcW w:w="2719" w:type="dxa"/>
            <w:gridSpan w:val="2"/>
            <w:tcBorders>
              <w:tl2br w:val="nil"/>
              <w:tr2bl w:val="nil"/>
            </w:tcBorders>
            <w:vAlign w:val="center"/>
          </w:tcPr>
          <w:p w14:paraId="68CC69E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c>
          <w:tcPr>
            <w:tcW w:w="2649" w:type="dxa"/>
            <w:gridSpan w:val="2"/>
            <w:tcBorders>
              <w:tl2br w:val="nil"/>
              <w:tr2bl w:val="nil"/>
            </w:tcBorders>
            <w:vAlign w:val="center"/>
          </w:tcPr>
          <w:p w14:paraId="7CC246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c>
          <w:tcPr>
            <w:tcW w:w="2545" w:type="dxa"/>
            <w:gridSpan w:val="2"/>
            <w:tcBorders>
              <w:tl2br w:val="nil"/>
              <w:tr2bl w:val="nil"/>
            </w:tcBorders>
            <w:vAlign w:val="center"/>
          </w:tcPr>
          <w:p w14:paraId="1C6F7D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yellow"/>
                <w:u w:val="none"/>
                <w:lang w:val="en-US" w:eastAsia="zh-CN"/>
              </w:rPr>
            </w:pPr>
            <w:r>
              <w:rPr>
                <w:rFonts w:hint="default" w:ascii="Times New Roman" w:hAnsi="Times New Roman" w:eastAsia="宋体" w:cs="Times New Roman"/>
                <w:b w:val="0"/>
                <w:sz w:val="21"/>
                <w:szCs w:val="21"/>
                <w:highlight w:val="none"/>
              </w:rPr>
              <w:t>479.0</w:t>
            </w:r>
            <w:r>
              <w:rPr>
                <w:rFonts w:hint="default" w:ascii="Times New Roman" w:hAnsi="Times New Roman" w:cs="Times New Roman"/>
                <w:color w:val="auto"/>
                <w:sz w:val="21"/>
                <w:szCs w:val="21"/>
                <w:highlight w:val="none"/>
                <w:u w:val="none"/>
                <w:lang w:val="en-US" w:eastAsia="zh-CN"/>
              </w:rPr>
              <w:t>m</w:t>
            </w:r>
          </w:p>
        </w:tc>
      </w:tr>
      <w:tr w14:paraId="4E9A023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4" w:type="pct"/>
            <w:tcBorders>
              <w:tl2br w:val="nil"/>
              <w:tr2bl w:val="nil"/>
            </w:tcBorders>
            <w:vAlign w:val="center"/>
          </w:tcPr>
          <w:p w14:paraId="66B9AE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rPr>
            </w:pPr>
            <w:r>
              <w:rPr>
                <w:rFonts w:hint="default" w:ascii="Times New Roman" w:hAnsi="Times New Roman" w:cs="Times New Roman"/>
                <w:bCs/>
                <w:color w:val="auto"/>
                <w:sz w:val="21"/>
                <w:szCs w:val="21"/>
                <w:u w:val="none"/>
              </w:rPr>
              <w:t>D</w:t>
            </w:r>
            <w:r>
              <w:rPr>
                <w:rFonts w:hint="default" w:ascii="Times New Roman" w:hAnsi="Times New Roman" w:cs="Times New Roman"/>
                <w:bCs/>
                <w:color w:val="auto"/>
                <w:sz w:val="21"/>
                <w:szCs w:val="21"/>
                <w:u w:val="none"/>
                <w:vertAlign w:val="subscript"/>
              </w:rPr>
              <w:t>10%</w:t>
            </w:r>
            <w:r>
              <w:rPr>
                <w:rFonts w:hint="default" w:ascii="Times New Roman" w:hAnsi="Times New Roman" w:eastAsia="宋体" w:cs="Times New Roman"/>
                <w:color w:val="auto"/>
                <w:sz w:val="21"/>
                <w:szCs w:val="21"/>
                <w:u w:val="none"/>
              </w:rPr>
              <w:t>出现距离</w:t>
            </w:r>
          </w:p>
        </w:tc>
        <w:tc>
          <w:tcPr>
            <w:tcW w:w="1366" w:type="pct"/>
            <w:gridSpan w:val="2"/>
            <w:tcBorders>
              <w:tl2br w:val="nil"/>
              <w:tr2bl w:val="nil"/>
            </w:tcBorders>
            <w:vAlign w:val="center"/>
          </w:tcPr>
          <w:p w14:paraId="5EF8092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330" w:type="pct"/>
            <w:gridSpan w:val="2"/>
            <w:tcBorders>
              <w:tl2br w:val="nil"/>
              <w:tr2bl w:val="nil"/>
            </w:tcBorders>
            <w:vAlign w:val="center"/>
          </w:tcPr>
          <w:p w14:paraId="60F676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278" w:type="pct"/>
            <w:gridSpan w:val="2"/>
            <w:tcBorders>
              <w:tl2br w:val="nil"/>
              <w:tr2bl w:val="nil"/>
            </w:tcBorders>
            <w:vAlign w:val="center"/>
          </w:tcPr>
          <w:p w14:paraId="4864A7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r>
    </w:tbl>
    <w:p w14:paraId="6D9D21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Cs/>
          <w:sz w:val="24"/>
          <w:szCs w:val="28"/>
          <w:lang w:val="en-US" w:eastAsia="zh-CN"/>
        </w:rPr>
      </w:pPr>
      <w:r>
        <w:rPr>
          <w:rFonts w:hint="default" w:ascii="Times New Roman" w:hAnsi="Times New Roman" w:eastAsia="黑体" w:cs="黑体"/>
          <w:b w:val="0"/>
          <w:bCs/>
          <w:color w:val="auto"/>
          <w:kern w:val="2"/>
          <w:sz w:val="24"/>
          <w:szCs w:val="24"/>
          <w:lang w:val="en-US" w:eastAsia="zh-CN" w:bidi="ar-SA"/>
        </w:rPr>
        <w:t>表</w:t>
      </w:r>
      <w:r>
        <w:rPr>
          <w:color w:val="000000"/>
          <w:spacing w:val="0"/>
          <w:szCs w:val="24"/>
        </w:rPr>
        <w:t>4.</w:t>
      </w:r>
      <w:r>
        <w:rPr>
          <w:rFonts w:hint="eastAsia"/>
          <w:color w:val="000000"/>
          <w:spacing w:val="0"/>
          <w:szCs w:val="24"/>
          <w:lang w:val="en-US" w:eastAsia="zh-CN"/>
        </w:rPr>
        <w:t>4</w:t>
      </w:r>
      <w:r>
        <w:rPr>
          <w:color w:val="000000"/>
          <w:spacing w:val="0"/>
          <w:szCs w:val="24"/>
        </w:rPr>
        <w:t>-</w:t>
      </w:r>
      <w:r>
        <w:rPr>
          <w:rFonts w:hint="eastAsia"/>
          <w:color w:val="000000"/>
          <w:spacing w:val="0"/>
          <w:szCs w:val="24"/>
          <w:lang w:val="en-US" w:eastAsia="zh-CN"/>
        </w:rPr>
        <w:t>3</w:t>
      </w:r>
      <w:r>
        <w:rPr>
          <w:rFonts w:hint="eastAsia" w:ascii="Times New Roman" w:hAnsi="Times New Roman" w:eastAsia="黑体" w:cs="黑体"/>
          <w:b w:val="0"/>
          <w:bCs/>
          <w:color w:val="auto"/>
          <w:kern w:val="2"/>
          <w:sz w:val="24"/>
          <w:szCs w:val="24"/>
          <w:lang w:val="en-US" w:eastAsia="zh-CN" w:bidi="ar-SA"/>
        </w:rPr>
        <w:t xml:space="preserve">  </w:t>
      </w:r>
      <w:r>
        <w:rPr>
          <w:rFonts w:hint="eastAsia" w:ascii="黑体" w:hAnsi="黑体" w:eastAsia="黑体" w:cs="黑体"/>
          <w:bCs/>
          <w:sz w:val="24"/>
          <w:szCs w:val="28"/>
          <w:lang w:val="en-US" w:eastAsia="zh-CN"/>
        </w:rPr>
        <w:t>无组织废气下风向轴向浓度估算结果表</w:t>
      </w:r>
    </w:p>
    <w:tbl>
      <w:tblPr>
        <w:tblStyle w:val="28"/>
        <w:tblW w:w="4996" w:type="pct"/>
        <w:tblInd w:w="1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036"/>
        <w:gridCol w:w="1412"/>
        <w:gridCol w:w="1308"/>
        <w:gridCol w:w="1487"/>
        <w:gridCol w:w="1161"/>
        <w:gridCol w:w="1400"/>
        <w:gridCol w:w="1145"/>
      </w:tblGrid>
      <w:tr w14:paraId="1EE57DA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vMerge w:val="restart"/>
            <w:tcBorders>
              <w:tl2br w:val="nil"/>
              <w:tr2bl w:val="nil"/>
            </w:tcBorders>
            <w:vAlign w:val="center"/>
          </w:tcPr>
          <w:p w14:paraId="784F05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下风向距离</w:t>
            </w:r>
          </w:p>
          <w:p w14:paraId="28ABA1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m</w:t>
            </w:r>
            <w:r>
              <w:rPr>
                <w:rFonts w:hint="default" w:ascii="Times New Roman" w:hAnsi="Times New Roman" w:eastAsia="宋体" w:cs="Times New Roman"/>
                <w:color w:val="auto"/>
                <w:sz w:val="21"/>
                <w:szCs w:val="21"/>
                <w:highlight w:val="none"/>
                <w:u w:val="none"/>
              </w:rPr>
              <w:t>）</w:t>
            </w:r>
          </w:p>
        </w:tc>
        <w:tc>
          <w:tcPr>
            <w:tcW w:w="3976" w:type="pct"/>
            <w:gridSpan w:val="6"/>
            <w:tcBorders>
              <w:tl2br w:val="nil"/>
              <w:tr2bl w:val="nil"/>
            </w:tcBorders>
            <w:vAlign w:val="center"/>
          </w:tcPr>
          <w:p w14:paraId="779D56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生产车间（M1）</w:t>
            </w:r>
          </w:p>
        </w:tc>
      </w:tr>
      <w:tr w14:paraId="45AE35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vMerge w:val="continue"/>
            <w:tcBorders>
              <w:tl2br w:val="nil"/>
              <w:tr2bl w:val="nil"/>
            </w:tcBorders>
            <w:vAlign w:val="center"/>
          </w:tcPr>
          <w:p w14:paraId="53DE37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p>
        </w:tc>
        <w:tc>
          <w:tcPr>
            <w:tcW w:w="1366" w:type="pct"/>
            <w:gridSpan w:val="2"/>
            <w:tcBorders>
              <w:tl2br w:val="nil"/>
              <w:tr2bl w:val="nil"/>
            </w:tcBorders>
            <w:vAlign w:val="center"/>
          </w:tcPr>
          <w:p w14:paraId="5FEDF9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TSP</w:t>
            </w:r>
          </w:p>
        </w:tc>
        <w:tc>
          <w:tcPr>
            <w:tcW w:w="1330" w:type="pct"/>
            <w:gridSpan w:val="2"/>
            <w:tcBorders>
              <w:tl2br w:val="nil"/>
              <w:tr2bl w:val="nil"/>
            </w:tcBorders>
            <w:vAlign w:val="center"/>
          </w:tcPr>
          <w:p w14:paraId="631097A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NMHC</w:t>
            </w:r>
          </w:p>
        </w:tc>
        <w:tc>
          <w:tcPr>
            <w:tcW w:w="1278" w:type="pct"/>
            <w:gridSpan w:val="2"/>
            <w:tcBorders>
              <w:tl2br w:val="nil"/>
              <w:tr2bl w:val="nil"/>
            </w:tcBorders>
            <w:vAlign w:val="center"/>
          </w:tcPr>
          <w:p w14:paraId="508E68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sz w:val="21"/>
                <w:szCs w:val="21"/>
                <w:highlight w:val="none"/>
              </w:rPr>
              <w:t>甲醛</w:t>
            </w:r>
          </w:p>
        </w:tc>
      </w:tr>
      <w:tr w14:paraId="449BA1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vMerge w:val="continue"/>
            <w:tcBorders>
              <w:tl2br w:val="nil"/>
              <w:tr2bl w:val="nil"/>
            </w:tcBorders>
            <w:vAlign w:val="center"/>
          </w:tcPr>
          <w:p w14:paraId="54BA65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p>
        </w:tc>
        <w:tc>
          <w:tcPr>
            <w:tcW w:w="709" w:type="pct"/>
            <w:tcBorders>
              <w:tl2br w:val="nil"/>
              <w:tr2bl w:val="nil"/>
            </w:tcBorders>
            <w:vAlign w:val="center"/>
          </w:tcPr>
          <w:p w14:paraId="49E00C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768FA53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657" w:type="pct"/>
            <w:tcBorders>
              <w:tl2br w:val="nil"/>
              <w:tr2bl w:val="nil"/>
            </w:tcBorders>
            <w:vAlign w:val="center"/>
          </w:tcPr>
          <w:p w14:paraId="738A7C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1264AE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c>
          <w:tcPr>
            <w:tcW w:w="747" w:type="pct"/>
            <w:tcBorders>
              <w:tl2br w:val="nil"/>
              <w:tr2bl w:val="nil"/>
            </w:tcBorders>
            <w:vAlign w:val="center"/>
          </w:tcPr>
          <w:p w14:paraId="5A32CC8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3331DF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583" w:type="pct"/>
            <w:tcBorders>
              <w:tl2br w:val="nil"/>
              <w:tr2bl w:val="nil"/>
            </w:tcBorders>
            <w:vAlign w:val="center"/>
          </w:tcPr>
          <w:p w14:paraId="1EF9DF2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104CF4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c>
          <w:tcPr>
            <w:tcW w:w="703" w:type="pct"/>
            <w:tcBorders>
              <w:tl2br w:val="nil"/>
              <w:tr2bl w:val="nil"/>
            </w:tcBorders>
            <w:vAlign w:val="center"/>
          </w:tcPr>
          <w:p w14:paraId="28F31A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浓度</w:t>
            </w:r>
          </w:p>
          <w:p w14:paraId="5CE73C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μ</w:t>
            </w:r>
            <w:r>
              <w:rPr>
                <w:rFonts w:hint="default" w:ascii="Times New Roman" w:hAnsi="Times New Roman" w:eastAsia="宋体" w:cs="Times New Roman"/>
                <w:color w:val="auto"/>
                <w:sz w:val="21"/>
                <w:szCs w:val="21"/>
                <w:highlight w:val="none"/>
                <w:u w:val="none"/>
                <w:lang w:val="en-US" w:eastAsia="zh-CN"/>
              </w:rPr>
              <w:t>g</w:t>
            </w:r>
            <w:r>
              <w:rPr>
                <w:rFonts w:hint="default" w:ascii="Times New Roman" w:hAnsi="Times New Roman" w:cs="Times New Roman"/>
                <w:color w:val="auto"/>
                <w:sz w:val="21"/>
                <w:szCs w:val="21"/>
                <w:highlight w:val="none"/>
                <w:u w:val="none"/>
              </w:rPr>
              <w:t>/m</w:t>
            </w:r>
            <w:r>
              <w:rPr>
                <w:rFonts w:hint="default" w:ascii="Times New Roman" w:hAnsi="Times New Roman" w:cs="Times New Roman"/>
                <w:color w:val="auto"/>
                <w:sz w:val="21"/>
                <w:szCs w:val="21"/>
                <w:highlight w:val="none"/>
                <w:u w:val="none"/>
                <w:vertAlign w:val="superscript"/>
              </w:rPr>
              <w:t>3</w:t>
            </w:r>
            <w:r>
              <w:rPr>
                <w:rFonts w:hint="default" w:ascii="Times New Roman" w:hAnsi="Times New Roman" w:eastAsia="宋体" w:cs="Times New Roman"/>
                <w:color w:val="auto"/>
                <w:sz w:val="21"/>
                <w:szCs w:val="21"/>
                <w:highlight w:val="none"/>
                <w:u w:val="none"/>
              </w:rPr>
              <w:t>）</w:t>
            </w:r>
          </w:p>
        </w:tc>
        <w:tc>
          <w:tcPr>
            <w:tcW w:w="575" w:type="pct"/>
            <w:tcBorders>
              <w:tl2br w:val="nil"/>
              <w:tr2bl w:val="nil"/>
            </w:tcBorders>
            <w:vAlign w:val="center"/>
          </w:tcPr>
          <w:p w14:paraId="65DDF5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占标率</w:t>
            </w:r>
          </w:p>
          <w:p w14:paraId="776613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rPr>
              <w:t>）</w:t>
            </w:r>
          </w:p>
        </w:tc>
      </w:tr>
      <w:tr w14:paraId="33FE7B8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500344F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25</w:t>
            </w:r>
          </w:p>
        </w:tc>
        <w:tc>
          <w:tcPr>
            <w:tcW w:w="1412" w:type="dxa"/>
            <w:tcBorders>
              <w:tl2br w:val="nil"/>
              <w:tr2bl w:val="nil"/>
            </w:tcBorders>
            <w:vAlign w:val="center"/>
          </w:tcPr>
          <w:p w14:paraId="5CF183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58.9120</w:t>
            </w:r>
          </w:p>
        </w:tc>
        <w:tc>
          <w:tcPr>
            <w:tcW w:w="1308" w:type="dxa"/>
            <w:tcBorders>
              <w:tl2br w:val="nil"/>
              <w:tr2bl w:val="nil"/>
            </w:tcBorders>
            <w:vAlign w:val="center"/>
          </w:tcPr>
          <w:p w14:paraId="30C241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6.5458</w:t>
            </w:r>
          </w:p>
        </w:tc>
        <w:tc>
          <w:tcPr>
            <w:tcW w:w="1487" w:type="dxa"/>
            <w:tcBorders>
              <w:tl2br w:val="nil"/>
              <w:tr2bl w:val="nil"/>
            </w:tcBorders>
            <w:vAlign w:val="center"/>
          </w:tcPr>
          <w:p w14:paraId="0B66F98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45.9167</w:t>
            </w:r>
          </w:p>
        </w:tc>
        <w:tc>
          <w:tcPr>
            <w:tcW w:w="1161" w:type="dxa"/>
            <w:tcBorders>
              <w:tl2br w:val="nil"/>
              <w:tr2bl w:val="nil"/>
            </w:tcBorders>
            <w:vAlign w:val="center"/>
          </w:tcPr>
          <w:p w14:paraId="728645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2.2958</w:t>
            </w:r>
          </w:p>
        </w:tc>
        <w:tc>
          <w:tcPr>
            <w:tcW w:w="1400" w:type="dxa"/>
            <w:tcBorders>
              <w:tl2br w:val="nil"/>
              <w:tr2bl w:val="nil"/>
            </w:tcBorders>
            <w:vAlign w:val="center"/>
          </w:tcPr>
          <w:p w14:paraId="435BC9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3.0322</w:t>
            </w:r>
          </w:p>
        </w:tc>
        <w:tc>
          <w:tcPr>
            <w:tcW w:w="1145" w:type="dxa"/>
            <w:tcBorders>
              <w:tl2br w:val="nil"/>
              <w:tr2bl w:val="nil"/>
            </w:tcBorders>
            <w:vAlign w:val="center"/>
          </w:tcPr>
          <w:p w14:paraId="30B542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6.0645</w:t>
            </w:r>
          </w:p>
        </w:tc>
      </w:tr>
      <w:tr w14:paraId="6CBC3D4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0381485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50</w:t>
            </w:r>
          </w:p>
        </w:tc>
        <w:tc>
          <w:tcPr>
            <w:tcW w:w="1412" w:type="dxa"/>
            <w:tcBorders>
              <w:tl2br w:val="nil"/>
              <w:tr2bl w:val="nil"/>
            </w:tcBorders>
            <w:vAlign w:val="center"/>
          </w:tcPr>
          <w:p w14:paraId="4AC8C3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68.5780</w:t>
            </w:r>
          </w:p>
        </w:tc>
        <w:tc>
          <w:tcPr>
            <w:tcW w:w="1308" w:type="dxa"/>
            <w:tcBorders>
              <w:tl2br w:val="nil"/>
              <w:tr2bl w:val="nil"/>
            </w:tcBorders>
            <w:vAlign w:val="center"/>
          </w:tcPr>
          <w:p w14:paraId="5AB9D10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7.6198</w:t>
            </w:r>
          </w:p>
        </w:tc>
        <w:tc>
          <w:tcPr>
            <w:tcW w:w="1487" w:type="dxa"/>
            <w:tcBorders>
              <w:tl2br w:val="nil"/>
              <w:tr2bl w:val="nil"/>
            </w:tcBorders>
            <w:vAlign w:val="center"/>
          </w:tcPr>
          <w:p w14:paraId="15F484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53.4505</w:t>
            </w:r>
          </w:p>
        </w:tc>
        <w:tc>
          <w:tcPr>
            <w:tcW w:w="1161" w:type="dxa"/>
            <w:tcBorders>
              <w:tl2br w:val="nil"/>
              <w:tr2bl w:val="nil"/>
            </w:tcBorders>
            <w:vAlign w:val="center"/>
          </w:tcPr>
          <w:p w14:paraId="4FB066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2.6725</w:t>
            </w:r>
          </w:p>
        </w:tc>
        <w:tc>
          <w:tcPr>
            <w:tcW w:w="1400" w:type="dxa"/>
            <w:tcBorders>
              <w:tl2br w:val="nil"/>
              <w:tr2bl w:val="nil"/>
            </w:tcBorders>
            <w:vAlign w:val="center"/>
          </w:tcPr>
          <w:p w14:paraId="5D258A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3.5297</w:t>
            </w:r>
          </w:p>
        </w:tc>
        <w:tc>
          <w:tcPr>
            <w:tcW w:w="1145" w:type="dxa"/>
            <w:tcBorders>
              <w:tl2br w:val="nil"/>
              <w:tr2bl w:val="nil"/>
            </w:tcBorders>
            <w:vAlign w:val="center"/>
          </w:tcPr>
          <w:p w14:paraId="1BCFFCF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7.0595</w:t>
            </w:r>
          </w:p>
        </w:tc>
      </w:tr>
      <w:tr w14:paraId="24699B3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02D23DB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100</w:t>
            </w:r>
          </w:p>
        </w:tc>
        <w:tc>
          <w:tcPr>
            <w:tcW w:w="1412" w:type="dxa"/>
            <w:tcBorders>
              <w:tl2br w:val="nil"/>
              <w:tr2bl w:val="nil"/>
            </w:tcBorders>
            <w:vAlign w:val="center"/>
          </w:tcPr>
          <w:p w14:paraId="2838A98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43.4350</w:t>
            </w:r>
          </w:p>
        </w:tc>
        <w:tc>
          <w:tcPr>
            <w:tcW w:w="1308" w:type="dxa"/>
            <w:tcBorders>
              <w:tl2br w:val="nil"/>
              <w:tr2bl w:val="nil"/>
            </w:tcBorders>
            <w:vAlign w:val="center"/>
          </w:tcPr>
          <w:p w14:paraId="11EACB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4.8261</w:t>
            </w:r>
          </w:p>
        </w:tc>
        <w:tc>
          <w:tcPr>
            <w:tcW w:w="1487" w:type="dxa"/>
            <w:tcBorders>
              <w:tl2br w:val="nil"/>
              <w:tr2bl w:val="nil"/>
            </w:tcBorders>
            <w:vAlign w:val="center"/>
          </w:tcPr>
          <w:p w14:paraId="5425F43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33.8537</w:t>
            </w:r>
          </w:p>
        </w:tc>
        <w:tc>
          <w:tcPr>
            <w:tcW w:w="1161" w:type="dxa"/>
            <w:tcBorders>
              <w:tl2br w:val="nil"/>
              <w:tr2bl w:val="nil"/>
            </w:tcBorders>
            <w:vAlign w:val="center"/>
          </w:tcPr>
          <w:p w14:paraId="479F4C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1.6927</w:t>
            </w:r>
          </w:p>
        </w:tc>
        <w:tc>
          <w:tcPr>
            <w:tcW w:w="1400" w:type="dxa"/>
            <w:tcBorders>
              <w:tl2br w:val="nil"/>
              <w:tr2bl w:val="nil"/>
            </w:tcBorders>
            <w:vAlign w:val="center"/>
          </w:tcPr>
          <w:p w14:paraId="0A2EC3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2.2356</w:t>
            </w:r>
          </w:p>
        </w:tc>
        <w:tc>
          <w:tcPr>
            <w:tcW w:w="1145" w:type="dxa"/>
            <w:tcBorders>
              <w:tl2br w:val="nil"/>
              <w:tr2bl w:val="nil"/>
            </w:tcBorders>
            <w:vAlign w:val="center"/>
          </w:tcPr>
          <w:p w14:paraId="7CAAE0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4.4712</w:t>
            </w:r>
          </w:p>
        </w:tc>
      </w:tr>
      <w:tr w14:paraId="1803F42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30BC250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150</w:t>
            </w:r>
          </w:p>
        </w:tc>
        <w:tc>
          <w:tcPr>
            <w:tcW w:w="1412" w:type="dxa"/>
            <w:tcBorders>
              <w:tl2br w:val="nil"/>
              <w:tr2bl w:val="nil"/>
            </w:tcBorders>
            <w:vAlign w:val="center"/>
          </w:tcPr>
          <w:p w14:paraId="18D8713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24.8290</w:t>
            </w:r>
          </w:p>
        </w:tc>
        <w:tc>
          <w:tcPr>
            <w:tcW w:w="1308" w:type="dxa"/>
            <w:tcBorders>
              <w:tl2br w:val="nil"/>
              <w:tr2bl w:val="nil"/>
            </w:tcBorders>
            <w:vAlign w:val="center"/>
          </w:tcPr>
          <w:p w14:paraId="0F79413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2.7588</w:t>
            </w:r>
          </w:p>
        </w:tc>
        <w:tc>
          <w:tcPr>
            <w:tcW w:w="1487" w:type="dxa"/>
            <w:tcBorders>
              <w:tl2br w:val="nil"/>
              <w:tr2bl w:val="nil"/>
            </w:tcBorders>
            <w:vAlign w:val="center"/>
          </w:tcPr>
          <w:p w14:paraId="058F36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19.3520</w:t>
            </w:r>
          </w:p>
        </w:tc>
        <w:tc>
          <w:tcPr>
            <w:tcW w:w="1161" w:type="dxa"/>
            <w:tcBorders>
              <w:tl2br w:val="nil"/>
              <w:tr2bl w:val="nil"/>
            </w:tcBorders>
            <w:vAlign w:val="center"/>
          </w:tcPr>
          <w:p w14:paraId="5E98D5A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0.9676</w:t>
            </w:r>
          </w:p>
        </w:tc>
        <w:tc>
          <w:tcPr>
            <w:tcW w:w="1400" w:type="dxa"/>
            <w:tcBorders>
              <w:tl2br w:val="nil"/>
              <w:tr2bl w:val="nil"/>
            </w:tcBorders>
            <w:vAlign w:val="center"/>
          </w:tcPr>
          <w:p w14:paraId="7ECF2A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1.2780</w:t>
            </w:r>
          </w:p>
        </w:tc>
        <w:tc>
          <w:tcPr>
            <w:tcW w:w="1145" w:type="dxa"/>
            <w:tcBorders>
              <w:tl2br w:val="nil"/>
              <w:tr2bl w:val="nil"/>
            </w:tcBorders>
            <w:vAlign w:val="center"/>
          </w:tcPr>
          <w:p w14:paraId="7D9E38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u w:val="none"/>
              </w:rPr>
            </w:pPr>
            <w:r>
              <w:rPr>
                <w:rFonts w:hint="default" w:ascii="Times New Roman" w:hAnsi="Times New Roman" w:eastAsia="宋体" w:cs="Times New Roman"/>
                <w:b w:val="0"/>
                <w:sz w:val="21"/>
                <w:szCs w:val="21"/>
                <w:highlight w:val="none"/>
              </w:rPr>
              <w:t>2.5559</w:t>
            </w:r>
          </w:p>
        </w:tc>
      </w:tr>
      <w:tr w14:paraId="3C453C4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4EB33B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200</w:t>
            </w:r>
          </w:p>
        </w:tc>
        <w:tc>
          <w:tcPr>
            <w:tcW w:w="1412" w:type="dxa"/>
            <w:tcBorders>
              <w:tl2br w:val="nil"/>
              <w:tr2bl w:val="nil"/>
            </w:tcBorders>
            <w:vAlign w:val="center"/>
          </w:tcPr>
          <w:p w14:paraId="33D103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16.6680</w:t>
            </w:r>
          </w:p>
        </w:tc>
        <w:tc>
          <w:tcPr>
            <w:tcW w:w="1308" w:type="dxa"/>
            <w:tcBorders>
              <w:tl2br w:val="nil"/>
              <w:tr2bl w:val="nil"/>
            </w:tcBorders>
            <w:vAlign w:val="center"/>
          </w:tcPr>
          <w:p w14:paraId="73E5FC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1.8520</w:t>
            </w:r>
          </w:p>
        </w:tc>
        <w:tc>
          <w:tcPr>
            <w:tcW w:w="1487" w:type="dxa"/>
            <w:tcBorders>
              <w:tl2br w:val="nil"/>
              <w:tr2bl w:val="nil"/>
            </w:tcBorders>
            <w:vAlign w:val="center"/>
          </w:tcPr>
          <w:p w14:paraId="587D4B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12.9912</w:t>
            </w:r>
          </w:p>
        </w:tc>
        <w:tc>
          <w:tcPr>
            <w:tcW w:w="1161" w:type="dxa"/>
            <w:tcBorders>
              <w:tl2br w:val="nil"/>
              <w:tr2bl w:val="nil"/>
            </w:tcBorders>
            <w:vAlign w:val="center"/>
          </w:tcPr>
          <w:p w14:paraId="672C75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0.6496</w:t>
            </w:r>
          </w:p>
        </w:tc>
        <w:tc>
          <w:tcPr>
            <w:tcW w:w="1400" w:type="dxa"/>
            <w:tcBorders>
              <w:tl2br w:val="nil"/>
              <w:tr2bl w:val="nil"/>
            </w:tcBorders>
            <w:vAlign w:val="center"/>
          </w:tcPr>
          <w:p w14:paraId="3F4BE7A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0.8579</w:t>
            </w:r>
          </w:p>
        </w:tc>
        <w:tc>
          <w:tcPr>
            <w:tcW w:w="1145" w:type="dxa"/>
            <w:tcBorders>
              <w:tl2br w:val="nil"/>
              <w:tr2bl w:val="nil"/>
            </w:tcBorders>
            <w:vAlign w:val="center"/>
          </w:tcPr>
          <w:p w14:paraId="4ECE345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1.7158</w:t>
            </w:r>
          </w:p>
        </w:tc>
      </w:tr>
      <w:tr w14:paraId="25BFCCD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2F22893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400</w:t>
            </w:r>
          </w:p>
        </w:tc>
        <w:tc>
          <w:tcPr>
            <w:tcW w:w="1412" w:type="dxa"/>
            <w:tcBorders>
              <w:tl2br w:val="nil"/>
              <w:tr2bl w:val="nil"/>
            </w:tcBorders>
            <w:vAlign w:val="center"/>
          </w:tcPr>
          <w:p w14:paraId="5CDB37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6.4298</w:t>
            </w:r>
          </w:p>
        </w:tc>
        <w:tc>
          <w:tcPr>
            <w:tcW w:w="1308" w:type="dxa"/>
            <w:tcBorders>
              <w:tl2br w:val="nil"/>
              <w:tr2bl w:val="nil"/>
            </w:tcBorders>
            <w:vAlign w:val="center"/>
          </w:tcPr>
          <w:p w14:paraId="636A0A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0.7144</w:t>
            </w:r>
          </w:p>
        </w:tc>
        <w:tc>
          <w:tcPr>
            <w:tcW w:w="1487" w:type="dxa"/>
            <w:tcBorders>
              <w:tl2br w:val="nil"/>
              <w:tr2bl w:val="nil"/>
            </w:tcBorders>
            <w:vAlign w:val="center"/>
          </w:tcPr>
          <w:p w14:paraId="7A2638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5.0115</w:t>
            </w:r>
          </w:p>
        </w:tc>
        <w:tc>
          <w:tcPr>
            <w:tcW w:w="1161" w:type="dxa"/>
            <w:tcBorders>
              <w:tl2br w:val="nil"/>
              <w:tr2bl w:val="nil"/>
            </w:tcBorders>
            <w:vAlign w:val="center"/>
          </w:tcPr>
          <w:p w14:paraId="45B10B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0.2506</w:t>
            </w:r>
          </w:p>
        </w:tc>
        <w:tc>
          <w:tcPr>
            <w:tcW w:w="1400" w:type="dxa"/>
            <w:tcBorders>
              <w:tl2br w:val="nil"/>
              <w:tr2bl w:val="nil"/>
            </w:tcBorders>
            <w:vAlign w:val="center"/>
          </w:tcPr>
          <w:p w14:paraId="19500B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0.3309</w:t>
            </w:r>
          </w:p>
        </w:tc>
        <w:tc>
          <w:tcPr>
            <w:tcW w:w="1145" w:type="dxa"/>
            <w:tcBorders>
              <w:tl2br w:val="nil"/>
              <w:tr2bl w:val="nil"/>
            </w:tcBorders>
            <w:vAlign w:val="center"/>
          </w:tcPr>
          <w:p w14:paraId="0096EF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0.6619</w:t>
            </w:r>
          </w:p>
        </w:tc>
      </w:tr>
      <w:tr w14:paraId="507F772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0FA80C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600</w:t>
            </w:r>
          </w:p>
        </w:tc>
        <w:tc>
          <w:tcPr>
            <w:tcW w:w="1412" w:type="dxa"/>
            <w:tcBorders>
              <w:tl2br w:val="nil"/>
              <w:tr2bl w:val="nil"/>
            </w:tcBorders>
            <w:vAlign w:val="center"/>
          </w:tcPr>
          <w:p w14:paraId="4329E5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3.6937</w:t>
            </w:r>
          </w:p>
        </w:tc>
        <w:tc>
          <w:tcPr>
            <w:tcW w:w="1308" w:type="dxa"/>
            <w:tcBorders>
              <w:tl2br w:val="nil"/>
              <w:tr2bl w:val="nil"/>
            </w:tcBorders>
            <w:vAlign w:val="center"/>
          </w:tcPr>
          <w:p w14:paraId="7D2733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0.4104</w:t>
            </w:r>
          </w:p>
        </w:tc>
        <w:tc>
          <w:tcPr>
            <w:tcW w:w="1487" w:type="dxa"/>
            <w:tcBorders>
              <w:tl2br w:val="nil"/>
              <w:tr2bl w:val="nil"/>
            </w:tcBorders>
            <w:vAlign w:val="center"/>
          </w:tcPr>
          <w:p w14:paraId="56F390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2.8789</w:t>
            </w:r>
          </w:p>
        </w:tc>
        <w:tc>
          <w:tcPr>
            <w:tcW w:w="1161" w:type="dxa"/>
            <w:tcBorders>
              <w:tl2br w:val="nil"/>
              <w:tr2bl w:val="nil"/>
            </w:tcBorders>
            <w:vAlign w:val="center"/>
          </w:tcPr>
          <w:p w14:paraId="1CA9FE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0.1439</w:t>
            </w:r>
          </w:p>
        </w:tc>
        <w:tc>
          <w:tcPr>
            <w:tcW w:w="1400" w:type="dxa"/>
            <w:tcBorders>
              <w:tl2br w:val="nil"/>
              <w:tr2bl w:val="nil"/>
            </w:tcBorders>
            <w:vAlign w:val="center"/>
          </w:tcPr>
          <w:p w14:paraId="6438B2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0.1901</w:t>
            </w:r>
          </w:p>
        </w:tc>
        <w:tc>
          <w:tcPr>
            <w:tcW w:w="1145" w:type="dxa"/>
            <w:tcBorders>
              <w:tl2br w:val="nil"/>
              <w:tr2bl w:val="nil"/>
            </w:tcBorders>
            <w:vAlign w:val="center"/>
          </w:tcPr>
          <w:p w14:paraId="636D61B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0.3802</w:t>
            </w:r>
          </w:p>
        </w:tc>
      </w:tr>
      <w:tr w14:paraId="689677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7F3EE66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800</w:t>
            </w:r>
          </w:p>
        </w:tc>
        <w:tc>
          <w:tcPr>
            <w:tcW w:w="1412" w:type="dxa"/>
            <w:tcBorders>
              <w:tl2br w:val="nil"/>
              <w:tr2bl w:val="nil"/>
            </w:tcBorders>
            <w:vAlign w:val="center"/>
          </w:tcPr>
          <w:p w14:paraId="25442C4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2.4918</w:t>
            </w:r>
          </w:p>
        </w:tc>
        <w:tc>
          <w:tcPr>
            <w:tcW w:w="1308" w:type="dxa"/>
            <w:tcBorders>
              <w:tl2br w:val="nil"/>
              <w:tr2bl w:val="nil"/>
            </w:tcBorders>
            <w:vAlign w:val="center"/>
          </w:tcPr>
          <w:p w14:paraId="2B94BC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0.2769</w:t>
            </w:r>
          </w:p>
        </w:tc>
        <w:tc>
          <w:tcPr>
            <w:tcW w:w="1487" w:type="dxa"/>
            <w:tcBorders>
              <w:tl2br w:val="nil"/>
              <w:tr2bl w:val="nil"/>
            </w:tcBorders>
            <w:vAlign w:val="center"/>
          </w:tcPr>
          <w:p w14:paraId="631D27D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1.9421</w:t>
            </w:r>
          </w:p>
        </w:tc>
        <w:tc>
          <w:tcPr>
            <w:tcW w:w="1161" w:type="dxa"/>
            <w:tcBorders>
              <w:tl2br w:val="nil"/>
              <w:tr2bl w:val="nil"/>
            </w:tcBorders>
            <w:vAlign w:val="center"/>
          </w:tcPr>
          <w:p w14:paraId="14FE36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0.0971</w:t>
            </w:r>
          </w:p>
        </w:tc>
        <w:tc>
          <w:tcPr>
            <w:tcW w:w="1400" w:type="dxa"/>
            <w:tcBorders>
              <w:tl2br w:val="nil"/>
              <w:tr2bl w:val="nil"/>
            </w:tcBorders>
            <w:vAlign w:val="center"/>
          </w:tcPr>
          <w:p w14:paraId="73A630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0.1283</w:t>
            </w:r>
          </w:p>
        </w:tc>
        <w:tc>
          <w:tcPr>
            <w:tcW w:w="1145" w:type="dxa"/>
            <w:tcBorders>
              <w:tl2br w:val="nil"/>
              <w:tr2bl w:val="nil"/>
            </w:tcBorders>
            <w:vAlign w:val="center"/>
          </w:tcPr>
          <w:p w14:paraId="413C01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0.2565</w:t>
            </w:r>
          </w:p>
        </w:tc>
      </w:tr>
      <w:tr w14:paraId="328EA84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7CF37F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1000</w:t>
            </w:r>
          </w:p>
        </w:tc>
        <w:tc>
          <w:tcPr>
            <w:tcW w:w="1412" w:type="dxa"/>
            <w:tcBorders>
              <w:tl2br w:val="nil"/>
              <w:tr2bl w:val="nil"/>
            </w:tcBorders>
            <w:vAlign w:val="center"/>
          </w:tcPr>
          <w:p w14:paraId="6B60CD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1.8413</w:t>
            </w:r>
          </w:p>
        </w:tc>
        <w:tc>
          <w:tcPr>
            <w:tcW w:w="1308" w:type="dxa"/>
            <w:tcBorders>
              <w:tl2br w:val="nil"/>
              <w:tr2bl w:val="nil"/>
            </w:tcBorders>
            <w:vAlign w:val="center"/>
          </w:tcPr>
          <w:p w14:paraId="6043CA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0.2046</w:t>
            </w:r>
          </w:p>
        </w:tc>
        <w:tc>
          <w:tcPr>
            <w:tcW w:w="1487" w:type="dxa"/>
            <w:tcBorders>
              <w:tl2br w:val="nil"/>
              <w:tr2bl w:val="nil"/>
            </w:tcBorders>
            <w:vAlign w:val="center"/>
          </w:tcPr>
          <w:p w14:paraId="5C3A0D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1.4351</w:t>
            </w:r>
          </w:p>
        </w:tc>
        <w:tc>
          <w:tcPr>
            <w:tcW w:w="1161" w:type="dxa"/>
            <w:tcBorders>
              <w:tl2br w:val="nil"/>
              <w:tr2bl w:val="nil"/>
            </w:tcBorders>
            <w:vAlign w:val="center"/>
          </w:tcPr>
          <w:p w14:paraId="71AA8A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0.0718</w:t>
            </w:r>
          </w:p>
        </w:tc>
        <w:tc>
          <w:tcPr>
            <w:tcW w:w="1400" w:type="dxa"/>
            <w:tcBorders>
              <w:tl2br w:val="nil"/>
              <w:tr2bl w:val="nil"/>
            </w:tcBorders>
            <w:vAlign w:val="center"/>
          </w:tcPr>
          <w:p w14:paraId="198632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0.0948</w:t>
            </w:r>
          </w:p>
        </w:tc>
        <w:tc>
          <w:tcPr>
            <w:tcW w:w="1145" w:type="dxa"/>
            <w:tcBorders>
              <w:tl2br w:val="nil"/>
              <w:tr2bl w:val="nil"/>
            </w:tcBorders>
            <w:vAlign w:val="center"/>
          </w:tcPr>
          <w:p w14:paraId="1773F2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0.1895</w:t>
            </w:r>
          </w:p>
        </w:tc>
      </w:tr>
      <w:tr w14:paraId="4DC896F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4ACF5C4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1200</w:t>
            </w:r>
          </w:p>
        </w:tc>
        <w:tc>
          <w:tcPr>
            <w:tcW w:w="1412" w:type="dxa"/>
            <w:tcBorders>
              <w:tl2br w:val="nil"/>
              <w:tr2bl w:val="nil"/>
            </w:tcBorders>
            <w:vAlign w:val="center"/>
          </w:tcPr>
          <w:p w14:paraId="5DF6520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1.4370</w:t>
            </w:r>
          </w:p>
        </w:tc>
        <w:tc>
          <w:tcPr>
            <w:tcW w:w="1308" w:type="dxa"/>
            <w:tcBorders>
              <w:tl2br w:val="nil"/>
              <w:tr2bl w:val="nil"/>
            </w:tcBorders>
            <w:vAlign w:val="center"/>
          </w:tcPr>
          <w:p w14:paraId="56015E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0.1597</w:t>
            </w:r>
          </w:p>
        </w:tc>
        <w:tc>
          <w:tcPr>
            <w:tcW w:w="1487" w:type="dxa"/>
            <w:tcBorders>
              <w:tl2br w:val="nil"/>
              <w:tr2bl w:val="nil"/>
            </w:tcBorders>
            <w:vAlign w:val="center"/>
          </w:tcPr>
          <w:p w14:paraId="4DA845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1.1200</w:t>
            </w:r>
          </w:p>
        </w:tc>
        <w:tc>
          <w:tcPr>
            <w:tcW w:w="1161" w:type="dxa"/>
            <w:tcBorders>
              <w:tl2br w:val="nil"/>
              <w:tr2bl w:val="nil"/>
            </w:tcBorders>
            <w:vAlign w:val="center"/>
          </w:tcPr>
          <w:p w14:paraId="2E45DA3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0.0560</w:t>
            </w:r>
          </w:p>
        </w:tc>
        <w:tc>
          <w:tcPr>
            <w:tcW w:w="1400" w:type="dxa"/>
            <w:tcBorders>
              <w:tl2br w:val="nil"/>
              <w:tr2bl w:val="nil"/>
            </w:tcBorders>
            <w:vAlign w:val="center"/>
          </w:tcPr>
          <w:p w14:paraId="78385BB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0.0740</w:t>
            </w:r>
          </w:p>
        </w:tc>
        <w:tc>
          <w:tcPr>
            <w:tcW w:w="1145" w:type="dxa"/>
            <w:tcBorders>
              <w:tl2br w:val="nil"/>
              <w:tr2bl w:val="nil"/>
            </w:tcBorders>
            <w:vAlign w:val="center"/>
          </w:tcPr>
          <w:p w14:paraId="53A4961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0.1479</w:t>
            </w:r>
          </w:p>
        </w:tc>
      </w:tr>
      <w:tr w14:paraId="6DDD9AE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61C807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1500</w:t>
            </w:r>
          </w:p>
        </w:tc>
        <w:tc>
          <w:tcPr>
            <w:tcW w:w="1412" w:type="dxa"/>
            <w:tcBorders>
              <w:tl2br w:val="nil"/>
              <w:tr2bl w:val="nil"/>
            </w:tcBorders>
            <w:vAlign w:val="center"/>
          </w:tcPr>
          <w:p w14:paraId="43169A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1.0669</w:t>
            </w:r>
          </w:p>
        </w:tc>
        <w:tc>
          <w:tcPr>
            <w:tcW w:w="1308" w:type="dxa"/>
            <w:tcBorders>
              <w:tl2br w:val="nil"/>
              <w:tr2bl w:val="nil"/>
            </w:tcBorders>
            <w:vAlign w:val="center"/>
          </w:tcPr>
          <w:p w14:paraId="2BB0E5D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0.1185</w:t>
            </w:r>
          </w:p>
        </w:tc>
        <w:tc>
          <w:tcPr>
            <w:tcW w:w="1487" w:type="dxa"/>
            <w:tcBorders>
              <w:tl2br w:val="nil"/>
              <w:tr2bl w:val="nil"/>
            </w:tcBorders>
            <w:vAlign w:val="center"/>
          </w:tcPr>
          <w:p w14:paraId="673E506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0.8316</w:t>
            </w:r>
          </w:p>
        </w:tc>
        <w:tc>
          <w:tcPr>
            <w:tcW w:w="1161" w:type="dxa"/>
            <w:tcBorders>
              <w:tl2br w:val="nil"/>
              <w:tr2bl w:val="nil"/>
            </w:tcBorders>
            <w:vAlign w:val="center"/>
          </w:tcPr>
          <w:p w14:paraId="303E116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0.0416</w:t>
            </w:r>
          </w:p>
        </w:tc>
        <w:tc>
          <w:tcPr>
            <w:tcW w:w="1400" w:type="dxa"/>
            <w:tcBorders>
              <w:tl2br w:val="nil"/>
              <w:tr2bl w:val="nil"/>
            </w:tcBorders>
            <w:vAlign w:val="center"/>
          </w:tcPr>
          <w:p w14:paraId="7E1480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0.0549</w:t>
            </w:r>
          </w:p>
        </w:tc>
        <w:tc>
          <w:tcPr>
            <w:tcW w:w="1145" w:type="dxa"/>
            <w:tcBorders>
              <w:tl2br w:val="nil"/>
              <w:tr2bl w:val="nil"/>
            </w:tcBorders>
            <w:vAlign w:val="center"/>
          </w:tcPr>
          <w:p w14:paraId="407A3C7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0.1098</w:t>
            </w:r>
          </w:p>
        </w:tc>
      </w:tr>
      <w:tr w14:paraId="16D1D6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1CDF8C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2000</w:t>
            </w:r>
          </w:p>
        </w:tc>
        <w:tc>
          <w:tcPr>
            <w:tcW w:w="1412" w:type="dxa"/>
            <w:tcBorders>
              <w:tl2br w:val="nil"/>
              <w:tr2bl w:val="nil"/>
            </w:tcBorders>
            <w:vAlign w:val="center"/>
          </w:tcPr>
          <w:p w14:paraId="449F85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0.7477</w:t>
            </w:r>
          </w:p>
        </w:tc>
        <w:tc>
          <w:tcPr>
            <w:tcW w:w="1308" w:type="dxa"/>
            <w:tcBorders>
              <w:tl2br w:val="nil"/>
              <w:tr2bl w:val="nil"/>
            </w:tcBorders>
            <w:vAlign w:val="center"/>
          </w:tcPr>
          <w:p w14:paraId="68D571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0.0831</w:t>
            </w:r>
          </w:p>
        </w:tc>
        <w:tc>
          <w:tcPr>
            <w:tcW w:w="1487" w:type="dxa"/>
            <w:tcBorders>
              <w:tl2br w:val="nil"/>
              <w:tr2bl w:val="nil"/>
            </w:tcBorders>
            <w:vAlign w:val="center"/>
          </w:tcPr>
          <w:p w14:paraId="34CD10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0.5828</w:t>
            </w:r>
          </w:p>
        </w:tc>
        <w:tc>
          <w:tcPr>
            <w:tcW w:w="1161" w:type="dxa"/>
            <w:tcBorders>
              <w:tl2br w:val="nil"/>
              <w:tr2bl w:val="nil"/>
            </w:tcBorders>
            <w:vAlign w:val="center"/>
          </w:tcPr>
          <w:p w14:paraId="08CA2C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0.0291</w:t>
            </w:r>
          </w:p>
        </w:tc>
        <w:tc>
          <w:tcPr>
            <w:tcW w:w="1400" w:type="dxa"/>
            <w:tcBorders>
              <w:tl2br w:val="nil"/>
              <w:tr2bl w:val="nil"/>
            </w:tcBorders>
            <w:vAlign w:val="center"/>
          </w:tcPr>
          <w:p w14:paraId="4D514C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0.0385</w:t>
            </w:r>
          </w:p>
        </w:tc>
        <w:tc>
          <w:tcPr>
            <w:tcW w:w="1145" w:type="dxa"/>
            <w:tcBorders>
              <w:tl2br w:val="nil"/>
              <w:tr2bl w:val="nil"/>
            </w:tcBorders>
            <w:vAlign w:val="center"/>
          </w:tcPr>
          <w:p w14:paraId="404E96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0.0770</w:t>
            </w:r>
          </w:p>
        </w:tc>
      </w:tr>
      <w:tr w14:paraId="2E8EAC0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0FDEF6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2500</w:t>
            </w:r>
          </w:p>
        </w:tc>
        <w:tc>
          <w:tcPr>
            <w:tcW w:w="1412" w:type="dxa"/>
            <w:tcBorders>
              <w:tl2br w:val="nil"/>
              <w:tr2bl w:val="nil"/>
            </w:tcBorders>
            <w:vAlign w:val="center"/>
          </w:tcPr>
          <w:p w14:paraId="63D4E7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0.5647</w:t>
            </w:r>
          </w:p>
        </w:tc>
        <w:tc>
          <w:tcPr>
            <w:tcW w:w="1308" w:type="dxa"/>
            <w:tcBorders>
              <w:tl2br w:val="nil"/>
              <w:tr2bl w:val="nil"/>
            </w:tcBorders>
            <w:vAlign w:val="center"/>
          </w:tcPr>
          <w:p w14:paraId="656C3B6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0.0627</w:t>
            </w:r>
          </w:p>
        </w:tc>
        <w:tc>
          <w:tcPr>
            <w:tcW w:w="1487" w:type="dxa"/>
            <w:tcBorders>
              <w:tl2br w:val="nil"/>
              <w:tr2bl w:val="nil"/>
            </w:tcBorders>
            <w:vAlign w:val="center"/>
          </w:tcPr>
          <w:p w14:paraId="6E8FA7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0.4401</w:t>
            </w:r>
          </w:p>
        </w:tc>
        <w:tc>
          <w:tcPr>
            <w:tcW w:w="1161" w:type="dxa"/>
            <w:tcBorders>
              <w:tl2br w:val="nil"/>
              <w:tr2bl w:val="nil"/>
            </w:tcBorders>
            <w:vAlign w:val="center"/>
          </w:tcPr>
          <w:p w14:paraId="697188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0.0220</w:t>
            </w:r>
          </w:p>
        </w:tc>
        <w:tc>
          <w:tcPr>
            <w:tcW w:w="1400" w:type="dxa"/>
            <w:tcBorders>
              <w:tl2br w:val="nil"/>
              <w:tr2bl w:val="nil"/>
            </w:tcBorders>
            <w:vAlign w:val="center"/>
          </w:tcPr>
          <w:p w14:paraId="175B85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0.0291</w:t>
            </w:r>
          </w:p>
        </w:tc>
        <w:tc>
          <w:tcPr>
            <w:tcW w:w="1145" w:type="dxa"/>
            <w:tcBorders>
              <w:tl2br w:val="nil"/>
              <w:tr2bl w:val="nil"/>
            </w:tcBorders>
            <w:vAlign w:val="center"/>
          </w:tcPr>
          <w:p w14:paraId="521D70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0.0581</w:t>
            </w:r>
          </w:p>
        </w:tc>
      </w:tr>
      <w:tr w14:paraId="6FC4589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6BD9F7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3000</w:t>
            </w:r>
          </w:p>
        </w:tc>
        <w:tc>
          <w:tcPr>
            <w:tcW w:w="1412" w:type="dxa"/>
            <w:tcBorders>
              <w:tl2br w:val="nil"/>
              <w:tr2bl w:val="nil"/>
            </w:tcBorders>
            <w:vAlign w:val="center"/>
          </w:tcPr>
          <w:p w14:paraId="0A8CD8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0.4412</w:t>
            </w:r>
          </w:p>
        </w:tc>
        <w:tc>
          <w:tcPr>
            <w:tcW w:w="1308" w:type="dxa"/>
            <w:tcBorders>
              <w:tl2br w:val="nil"/>
              <w:tr2bl w:val="nil"/>
            </w:tcBorders>
            <w:vAlign w:val="center"/>
          </w:tcPr>
          <w:p w14:paraId="032118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0.0490</w:t>
            </w:r>
          </w:p>
        </w:tc>
        <w:tc>
          <w:tcPr>
            <w:tcW w:w="1487" w:type="dxa"/>
            <w:tcBorders>
              <w:tl2br w:val="nil"/>
              <w:tr2bl w:val="nil"/>
            </w:tcBorders>
            <w:vAlign w:val="center"/>
          </w:tcPr>
          <w:p w14:paraId="15E453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b w:val="0"/>
                <w:sz w:val="21"/>
                <w:szCs w:val="21"/>
                <w:highlight w:val="none"/>
              </w:rPr>
              <w:t>0.3438</w:t>
            </w:r>
          </w:p>
        </w:tc>
        <w:tc>
          <w:tcPr>
            <w:tcW w:w="1161" w:type="dxa"/>
            <w:tcBorders>
              <w:tl2br w:val="nil"/>
              <w:tr2bl w:val="nil"/>
            </w:tcBorders>
            <w:vAlign w:val="center"/>
          </w:tcPr>
          <w:p w14:paraId="50938C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0.0172</w:t>
            </w:r>
          </w:p>
        </w:tc>
        <w:tc>
          <w:tcPr>
            <w:tcW w:w="1400" w:type="dxa"/>
            <w:tcBorders>
              <w:tl2br w:val="nil"/>
              <w:tr2bl w:val="nil"/>
            </w:tcBorders>
            <w:vAlign w:val="center"/>
          </w:tcPr>
          <w:p w14:paraId="779822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b w:val="0"/>
                <w:sz w:val="21"/>
                <w:szCs w:val="21"/>
                <w:highlight w:val="none"/>
              </w:rPr>
              <w:t>0.0227</w:t>
            </w:r>
          </w:p>
        </w:tc>
        <w:tc>
          <w:tcPr>
            <w:tcW w:w="1145" w:type="dxa"/>
            <w:tcBorders>
              <w:tl2br w:val="nil"/>
              <w:tr2bl w:val="nil"/>
            </w:tcBorders>
            <w:vAlign w:val="center"/>
          </w:tcPr>
          <w:p w14:paraId="67DB4B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0.0454</w:t>
            </w:r>
          </w:p>
        </w:tc>
      </w:tr>
      <w:tr w14:paraId="3BB6F48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02220D8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最大落地浓度</w:t>
            </w:r>
            <w:r>
              <w:rPr>
                <w:rFonts w:hint="default" w:ascii="Times New Roman" w:hAnsi="Times New Roman" w:eastAsia="宋体" w:cs="Times New Roman"/>
                <w:color w:val="auto"/>
                <w:sz w:val="21"/>
                <w:szCs w:val="21"/>
                <w:highlight w:val="none"/>
                <w:u w:val="none"/>
                <w:lang w:eastAsia="zh-CN"/>
              </w:rPr>
              <w:t>及占标率</w:t>
            </w:r>
          </w:p>
        </w:tc>
        <w:tc>
          <w:tcPr>
            <w:tcW w:w="1412" w:type="dxa"/>
            <w:tcBorders>
              <w:tl2br w:val="nil"/>
              <w:tr2bl w:val="nil"/>
            </w:tcBorders>
            <w:vAlign w:val="center"/>
          </w:tcPr>
          <w:p w14:paraId="444B27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70.5150</w:t>
            </w:r>
          </w:p>
        </w:tc>
        <w:tc>
          <w:tcPr>
            <w:tcW w:w="1308" w:type="dxa"/>
            <w:tcBorders>
              <w:tl2br w:val="nil"/>
              <w:tr2bl w:val="nil"/>
            </w:tcBorders>
            <w:vAlign w:val="center"/>
          </w:tcPr>
          <w:p w14:paraId="14D525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7.8350</w:t>
            </w:r>
          </w:p>
        </w:tc>
        <w:tc>
          <w:tcPr>
            <w:tcW w:w="1487" w:type="dxa"/>
            <w:tcBorders>
              <w:tl2br w:val="nil"/>
              <w:tr2bl w:val="nil"/>
            </w:tcBorders>
            <w:vAlign w:val="center"/>
          </w:tcPr>
          <w:p w14:paraId="2E64EB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54.9602</w:t>
            </w:r>
          </w:p>
        </w:tc>
        <w:tc>
          <w:tcPr>
            <w:tcW w:w="1161" w:type="dxa"/>
            <w:tcBorders>
              <w:tl2br w:val="nil"/>
              <w:tr2bl w:val="nil"/>
            </w:tcBorders>
            <w:vAlign w:val="center"/>
          </w:tcPr>
          <w:p w14:paraId="70FD8B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2.7480</w:t>
            </w:r>
          </w:p>
        </w:tc>
        <w:tc>
          <w:tcPr>
            <w:tcW w:w="1400" w:type="dxa"/>
            <w:tcBorders>
              <w:tl2br w:val="nil"/>
              <w:tr2bl w:val="nil"/>
            </w:tcBorders>
            <w:vAlign w:val="center"/>
          </w:tcPr>
          <w:p w14:paraId="5E1A38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3.6294</w:t>
            </w:r>
          </w:p>
        </w:tc>
        <w:tc>
          <w:tcPr>
            <w:tcW w:w="1145" w:type="dxa"/>
            <w:tcBorders>
              <w:tl2br w:val="nil"/>
              <w:tr2bl w:val="nil"/>
            </w:tcBorders>
            <w:vAlign w:val="center"/>
          </w:tcPr>
          <w:p w14:paraId="298619C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7.2589</w:t>
            </w:r>
          </w:p>
        </w:tc>
      </w:tr>
      <w:tr w14:paraId="3FC9AF4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1D21FC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lang w:eastAsia="zh-CN"/>
              </w:rPr>
              <w:t>下风向最大浓度出现距离</w:t>
            </w:r>
          </w:p>
        </w:tc>
        <w:tc>
          <w:tcPr>
            <w:tcW w:w="1366" w:type="pct"/>
            <w:gridSpan w:val="2"/>
            <w:tcBorders>
              <w:tl2br w:val="nil"/>
              <w:tr2bl w:val="nil"/>
            </w:tcBorders>
            <w:vAlign w:val="center"/>
          </w:tcPr>
          <w:p w14:paraId="64102B6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57.0</w:t>
            </w:r>
            <w:r>
              <w:rPr>
                <w:rFonts w:hint="default" w:ascii="Times New Roman" w:hAnsi="Times New Roman" w:cs="Times New Roman"/>
                <w:color w:val="auto"/>
                <w:sz w:val="21"/>
                <w:szCs w:val="21"/>
                <w:highlight w:val="none"/>
                <w:u w:val="none"/>
                <w:lang w:val="en-US" w:eastAsia="zh-CN"/>
              </w:rPr>
              <w:t>m</w:t>
            </w:r>
          </w:p>
        </w:tc>
        <w:tc>
          <w:tcPr>
            <w:tcW w:w="1330" w:type="pct"/>
            <w:gridSpan w:val="2"/>
            <w:tcBorders>
              <w:tl2br w:val="nil"/>
              <w:tr2bl w:val="nil"/>
            </w:tcBorders>
            <w:vAlign w:val="center"/>
          </w:tcPr>
          <w:p w14:paraId="1469FF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57.0</w:t>
            </w:r>
            <w:r>
              <w:rPr>
                <w:rFonts w:hint="default" w:ascii="Times New Roman" w:hAnsi="Times New Roman" w:cs="Times New Roman"/>
                <w:color w:val="auto"/>
                <w:sz w:val="21"/>
                <w:szCs w:val="21"/>
                <w:highlight w:val="none"/>
                <w:u w:val="none"/>
                <w:lang w:val="en-US" w:eastAsia="zh-CN"/>
              </w:rPr>
              <w:t>m</w:t>
            </w:r>
          </w:p>
        </w:tc>
        <w:tc>
          <w:tcPr>
            <w:tcW w:w="1278" w:type="pct"/>
            <w:gridSpan w:val="2"/>
            <w:tcBorders>
              <w:tl2br w:val="nil"/>
              <w:tr2bl w:val="nil"/>
            </w:tcBorders>
            <w:vAlign w:val="center"/>
          </w:tcPr>
          <w:p w14:paraId="6A8DC22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eastAsia="宋体" w:cs="Times New Roman"/>
                <w:b w:val="0"/>
                <w:sz w:val="21"/>
                <w:szCs w:val="21"/>
                <w:highlight w:val="none"/>
              </w:rPr>
              <w:t>57.0</w:t>
            </w:r>
            <w:r>
              <w:rPr>
                <w:rFonts w:hint="default" w:ascii="Times New Roman" w:hAnsi="Times New Roman" w:cs="Times New Roman"/>
                <w:color w:val="auto"/>
                <w:sz w:val="21"/>
                <w:szCs w:val="21"/>
                <w:highlight w:val="none"/>
                <w:u w:val="none"/>
                <w:lang w:val="en-US" w:eastAsia="zh-CN"/>
              </w:rPr>
              <w:t>m</w:t>
            </w:r>
          </w:p>
        </w:tc>
      </w:tr>
      <w:tr w14:paraId="525A17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023" w:type="pct"/>
            <w:tcBorders>
              <w:tl2br w:val="nil"/>
              <w:tr2bl w:val="nil"/>
            </w:tcBorders>
            <w:vAlign w:val="center"/>
          </w:tcPr>
          <w:p w14:paraId="2C885D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rPr>
            </w:pPr>
            <w:r>
              <w:rPr>
                <w:rFonts w:hint="default" w:ascii="Times New Roman" w:hAnsi="Times New Roman" w:cs="Times New Roman"/>
                <w:bCs/>
                <w:color w:val="auto"/>
                <w:sz w:val="21"/>
                <w:szCs w:val="21"/>
                <w:highlight w:val="none"/>
                <w:u w:val="none"/>
              </w:rPr>
              <w:t>D</w:t>
            </w:r>
            <w:r>
              <w:rPr>
                <w:rFonts w:hint="default" w:ascii="Times New Roman" w:hAnsi="Times New Roman" w:cs="Times New Roman"/>
                <w:bCs/>
                <w:color w:val="auto"/>
                <w:sz w:val="21"/>
                <w:szCs w:val="21"/>
                <w:highlight w:val="none"/>
                <w:u w:val="none"/>
                <w:vertAlign w:val="subscript"/>
              </w:rPr>
              <w:t>10%</w:t>
            </w:r>
            <w:r>
              <w:rPr>
                <w:rFonts w:hint="default" w:ascii="Times New Roman" w:hAnsi="Times New Roman" w:eastAsia="宋体" w:cs="Times New Roman"/>
                <w:color w:val="auto"/>
                <w:sz w:val="21"/>
                <w:szCs w:val="21"/>
                <w:highlight w:val="none"/>
                <w:u w:val="none"/>
              </w:rPr>
              <w:t>出现距离</w:t>
            </w:r>
          </w:p>
        </w:tc>
        <w:tc>
          <w:tcPr>
            <w:tcW w:w="1366" w:type="pct"/>
            <w:gridSpan w:val="2"/>
            <w:tcBorders>
              <w:tl2br w:val="nil"/>
              <w:tr2bl w:val="nil"/>
            </w:tcBorders>
            <w:vAlign w:val="center"/>
          </w:tcPr>
          <w:p w14:paraId="315895D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330" w:type="pct"/>
            <w:gridSpan w:val="2"/>
            <w:tcBorders>
              <w:tl2br w:val="nil"/>
              <w:tr2bl w:val="nil"/>
            </w:tcBorders>
            <w:vAlign w:val="center"/>
          </w:tcPr>
          <w:p w14:paraId="23659E3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c>
          <w:tcPr>
            <w:tcW w:w="1278" w:type="pct"/>
            <w:gridSpan w:val="2"/>
            <w:tcBorders>
              <w:tl2br w:val="nil"/>
              <w:tr2bl w:val="nil"/>
            </w:tcBorders>
            <w:vAlign w:val="center"/>
          </w:tcPr>
          <w:p w14:paraId="129DB7B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无</w:t>
            </w:r>
          </w:p>
        </w:tc>
      </w:tr>
    </w:tbl>
    <w:p w14:paraId="492D84E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黑体" w:hAnsi="黑体" w:eastAsia="黑体" w:cs="黑体"/>
          <w:bCs/>
          <w:sz w:val="24"/>
          <w:szCs w:val="28"/>
          <w:lang w:val="en-US" w:eastAsia="zh-CN"/>
        </w:rPr>
      </w:pPr>
      <w:r>
        <w:rPr>
          <w:rFonts w:hint="default" w:ascii="Times New Roman" w:hAnsi="Times New Roman" w:eastAsia="黑体" w:cs="黑体"/>
          <w:b w:val="0"/>
          <w:bCs/>
          <w:color w:val="auto"/>
          <w:kern w:val="2"/>
          <w:sz w:val="24"/>
          <w:szCs w:val="24"/>
          <w:lang w:val="en-US" w:eastAsia="zh-CN" w:bidi="ar-SA"/>
        </w:rPr>
        <w:t>表</w:t>
      </w:r>
      <w:r>
        <w:rPr>
          <w:color w:val="000000"/>
          <w:spacing w:val="0"/>
          <w:szCs w:val="24"/>
        </w:rPr>
        <w:t>4.</w:t>
      </w:r>
      <w:r>
        <w:rPr>
          <w:rFonts w:hint="eastAsia"/>
          <w:color w:val="000000"/>
          <w:spacing w:val="0"/>
          <w:szCs w:val="24"/>
          <w:lang w:val="en-US" w:eastAsia="zh-CN"/>
        </w:rPr>
        <w:t>4</w:t>
      </w:r>
      <w:r>
        <w:rPr>
          <w:color w:val="000000"/>
          <w:spacing w:val="0"/>
          <w:szCs w:val="24"/>
        </w:rPr>
        <w:t>-</w:t>
      </w:r>
      <w:r>
        <w:rPr>
          <w:rFonts w:hint="eastAsia"/>
          <w:color w:val="000000"/>
          <w:spacing w:val="0"/>
          <w:szCs w:val="24"/>
          <w:lang w:val="en-US" w:eastAsia="zh-CN"/>
        </w:rPr>
        <w:t>4</w:t>
      </w:r>
      <w:r>
        <w:rPr>
          <w:rFonts w:hint="eastAsia" w:ascii="Times New Roman" w:hAnsi="Times New Roman" w:eastAsia="黑体" w:cs="黑体"/>
          <w:b w:val="0"/>
          <w:bCs/>
          <w:color w:val="auto"/>
          <w:kern w:val="2"/>
          <w:sz w:val="24"/>
          <w:szCs w:val="24"/>
          <w:lang w:val="en-US" w:eastAsia="zh-CN" w:bidi="ar-SA"/>
        </w:rPr>
        <w:t xml:space="preserve">  </w:t>
      </w:r>
      <w:r>
        <w:rPr>
          <w:rFonts w:hint="eastAsia" w:ascii="黑体" w:hAnsi="黑体" w:eastAsia="黑体" w:cs="黑体"/>
          <w:bCs/>
          <w:sz w:val="24"/>
          <w:szCs w:val="28"/>
          <w:lang w:val="en-US" w:eastAsia="zh-CN"/>
        </w:rPr>
        <w:t>环境空气评价工作等级判定结果表</w:t>
      </w:r>
    </w:p>
    <w:tbl>
      <w:tblPr>
        <w:tblStyle w:val="28"/>
        <w:tblW w:w="4997"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9"/>
        <w:gridCol w:w="1623"/>
        <w:gridCol w:w="1434"/>
        <w:gridCol w:w="1595"/>
        <w:gridCol w:w="1462"/>
        <w:gridCol w:w="1347"/>
      </w:tblGrid>
      <w:tr w14:paraId="69BDB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tcBorders>
              <w:tl2br w:val="nil"/>
              <w:tr2bl w:val="nil"/>
            </w:tcBorders>
            <w:vAlign w:val="center"/>
          </w:tcPr>
          <w:p w14:paraId="6DD71D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lang w:val="en-US" w:eastAsia="zh-CN"/>
              </w:rPr>
              <w:t>排放源</w:t>
            </w:r>
          </w:p>
        </w:tc>
        <w:tc>
          <w:tcPr>
            <w:tcW w:w="815" w:type="pct"/>
            <w:tcBorders>
              <w:tl2br w:val="nil"/>
              <w:tr2bl w:val="nil"/>
            </w:tcBorders>
            <w:vAlign w:val="center"/>
          </w:tcPr>
          <w:p w14:paraId="705450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评价因子</w:t>
            </w:r>
          </w:p>
        </w:tc>
        <w:tc>
          <w:tcPr>
            <w:tcW w:w="720" w:type="pct"/>
            <w:tcBorders>
              <w:tl2br w:val="nil"/>
              <w:tr2bl w:val="nil"/>
            </w:tcBorders>
            <w:vAlign w:val="center"/>
          </w:tcPr>
          <w:p w14:paraId="348445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评价标准</w:t>
            </w:r>
          </w:p>
          <w:p w14:paraId="6FB54C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(μg/m³)</w:t>
            </w:r>
          </w:p>
        </w:tc>
        <w:tc>
          <w:tcPr>
            <w:tcW w:w="801" w:type="pct"/>
            <w:tcBorders>
              <w:tl2br w:val="nil"/>
              <w:tr2bl w:val="nil"/>
            </w:tcBorders>
            <w:vAlign w:val="center"/>
          </w:tcPr>
          <w:p w14:paraId="350CBD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Cmax</w:t>
            </w:r>
          </w:p>
          <w:p w14:paraId="7B967D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(μg/m³)</w:t>
            </w:r>
          </w:p>
        </w:tc>
        <w:tc>
          <w:tcPr>
            <w:tcW w:w="734" w:type="pct"/>
            <w:tcBorders>
              <w:tl2br w:val="nil"/>
              <w:tr2bl w:val="nil"/>
            </w:tcBorders>
            <w:vAlign w:val="center"/>
          </w:tcPr>
          <w:p w14:paraId="7D28C8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Pmax(%)</w:t>
            </w:r>
          </w:p>
        </w:tc>
        <w:tc>
          <w:tcPr>
            <w:tcW w:w="676" w:type="pct"/>
            <w:tcBorders>
              <w:tl2br w:val="nil"/>
              <w:tr2bl w:val="nil"/>
            </w:tcBorders>
            <w:vAlign w:val="center"/>
          </w:tcPr>
          <w:p w14:paraId="7C7161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eastAsia="zh-CN"/>
              </w:rPr>
            </w:pPr>
            <w:r>
              <w:rPr>
                <w:rFonts w:hint="default" w:ascii="Times New Roman" w:hAnsi="Times New Roman" w:eastAsia="宋体" w:cs="Times New Roman"/>
                <w:b w:val="0"/>
                <w:sz w:val="21"/>
                <w:szCs w:val="21"/>
                <w:lang w:eastAsia="zh-CN"/>
              </w:rPr>
              <w:t>评价等级</w:t>
            </w:r>
          </w:p>
        </w:tc>
      </w:tr>
      <w:tr w14:paraId="4899A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tcBorders>
              <w:tl2br w:val="nil"/>
              <w:tr2bl w:val="nil"/>
            </w:tcBorders>
            <w:vAlign w:val="center"/>
          </w:tcPr>
          <w:p w14:paraId="06CB9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DA001</w:t>
            </w:r>
          </w:p>
        </w:tc>
        <w:tc>
          <w:tcPr>
            <w:tcW w:w="815" w:type="pct"/>
            <w:tcBorders>
              <w:tl2br w:val="nil"/>
              <w:tr2bl w:val="nil"/>
            </w:tcBorders>
            <w:vAlign w:val="center"/>
          </w:tcPr>
          <w:p w14:paraId="058657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10</w:t>
            </w:r>
          </w:p>
        </w:tc>
        <w:tc>
          <w:tcPr>
            <w:tcW w:w="720" w:type="pct"/>
            <w:tcBorders>
              <w:tl2br w:val="nil"/>
              <w:tr2bl w:val="nil"/>
            </w:tcBorders>
            <w:vAlign w:val="center"/>
          </w:tcPr>
          <w:p w14:paraId="0E996A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val="en-US" w:eastAsia="zh-CN"/>
              </w:rPr>
              <w:t>45</w:t>
            </w:r>
            <w:r>
              <w:rPr>
                <w:rFonts w:hint="default" w:ascii="Times New Roman" w:hAnsi="Times New Roman" w:eastAsia="宋体" w:cs="Times New Roman"/>
                <w:b w:val="0"/>
                <w:sz w:val="21"/>
                <w:szCs w:val="21"/>
              </w:rPr>
              <w:t>0.0</w:t>
            </w:r>
          </w:p>
        </w:tc>
        <w:tc>
          <w:tcPr>
            <w:tcW w:w="1595" w:type="dxa"/>
            <w:tcBorders>
              <w:tl2br w:val="nil"/>
              <w:tr2bl w:val="nil"/>
            </w:tcBorders>
            <w:vAlign w:val="center"/>
          </w:tcPr>
          <w:p w14:paraId="132029A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0.0039</w:t>
            </w:r>
          </w:p>
        </w:tc>
        <w:tc>
          <w:tcPr>
            <w:tcW w:w="1462" w:type="dxa"/>
            <w:tcBorders>
              <w:tl2br w:val="nil"/>
              <w:tr2bl w:val="nil"/>
            </w:tcBorders>
            <w:vAlign w:val="center"/>
          </w:tcPr>
          <w:p w14:paraId="67C873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0.0009</w:t>
            </w:r>
          </w:p>
        </w:tc>
        <w:tc>
          <w:tcPr>
            <w:tcW w:w="676" w:type="pct"/>
            <w:tcBorders>
              <w:tl2br w:val="nil"/>
              <w:tr2bl w:val="nil"/>
            </w:tcBorders>
            <w:vAlign w:val="center"/>
          </w:tcPr>
          <w:p w14:paraId="3CB2FA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eastAsia="zh-CN"/>
              </w:rPr>
              <w:t>三级</w:t>
            </w:r>
          </w:p>
        </w:tc>
      </w:tr>
      <w:tr w14:paraId="04236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restart"/>
            <w:tcBorders>
              <w:tl2br w:val="nil"/>
              <w:tr2bl w:val="nil"/>
            </w:tcBorders>
            <w:vAlign w:val="center"/>
          </w:tcPr>
          <w:p w14:paraId="72430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DA002</w:t>
            </w:r>
          </w:p>
        </w:tc>
        <w:tc>
          <w:tcPr>
            <w:tcW w:w="815" w:type="pct"/>
            <w:tcBorders>
              <w:tl2br w:val="nil"/>
              <w:tr2bl w:val="nil"/>
            </w:tcBorders>
            <w:vAlign w:val="center"/>
          </w:tcPr>
          <w:p w14:paraId="785C05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10</w:t>
            </w:r>
          </w:p>
        </w:tc>
        <w:tc>
          <w:tcPr>
            <w:tcW w:w="720" w:type="pct"/>
            <w:tcBorders>
              <w:tl2br w:val="nil"/>
              <w:tr2bl w:val="nil"/>
            </w:tcBorders>
            <w:vAlign w:val="center"/>
          </w:tcPr>
          <w:p w14:paraId="273244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val="en-US" w:eastAsia="zh-CN"/>
              </w:rPr>
              <w:t>45</w:t>
            </w:r>
            <w:r>
              <w:rPr>
                <w:rFonts w:hint="default" w:ascii="Times New Roman" w:hAnsi="Times New Roman" w:eastAsia="宋体" w:cs="Times New Roman"/>
                <w:b w:val="0"/>
                <w:sz w:val="21"/>
                <w:szCs w:val="21"/>
              </w:rPr>
              <w:t>0.0</w:t>
            </w:r>
          </w:p>
        </w:tc>
        <w:tc>
          <w:tcPr>
            <w:tcW w:w="1595" w:type="dxa"/>
            <w:tcBorders>
              <w:tl2br w:val="nil"/>
              <w:tr2bl w:val="nil"/>
            </w:tcBorders>
            <w:vAlign w:val="center"/>
          </w:tcPr>
          <w:p w14:paraId="67B6E1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0.0156</w:t>
            </w:r>
          </w:p>
        </w:tc>
        <w:tc>
          <w:tcPr>
            <w:tcW w:w="1462" w:type="dxa"/>
            <w:tcBorders>
              <w:tl2br w:val="nil"/>
              <w:tr2bl w:val="nil"/>
            </w:tcBorders>
            <w:vAlign w:val="center"/>
          </w:tcPr>
          <w:p w14:paraId="5565423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0.0035</w:t>
            </w:r>
          </w:p>
        </w:tc>
        <w:tc>
          <w:tcPr>
            <w:tcW w:w="676" w:type="pct"/>
            <w:tcBorders>
              <w:tl2br w:val="nil"/>
              <w:tr2bl w:val="nil"/>
            </w:tcBorders>
            <w:vAlign w:val="center"/>
          </w:tcPr>
          <w:p w14:paraId="0F3603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eastAsia="zh-CN"/>
              </w:rPr>
              <w:t>三级</w:t>
            </w:r>
          </w:p>
        </w:tc>
      </w:tr>
      <w:tr w14:paraId="1002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continue"/>
            <w:tcBorders>
              <w:tl2br w:val="nil"/>
              <w:tr2bl w:val="nil"/>
            </w:tcBorders>
            <w:vAlign w:val="center"/>
          </w:tcPr>
          <w:p w14:paraId="5F49FA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p>
        </w:tc>
        <w:tc>
          <w:tcPr>
            <w:tcW w:w="815" w:type="pct"/>
            <w:tcBorders>
              <w:tl2br w:val="nil"/>
              <w:tr2bl w:val="nil"/>
            </w:tcBorders>
            <w:vAlign w:val="center"/>
          </w:tcPr>
          <w:p w14:paraId="03DE3A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eastAsia" w:ascii="Times New Roman" w:hAnsi="Times New Roman" w:cs="Times New Roman"/>
                <w:color w:val="auto"/>
                <w:sz w:val="21"/>
                <w:szCs w:val="21"/>
                <w:u w:val="none"/>
                <w:lang w:val="en-US" w:eastAsia="zh-CN"/>
              </w:rPr>
              <w:t>NMHC</w:t>
            </w:r>
          </w:p>
        </w:tc>
        <w:tc>
          <w:tcPr>
            <w:tcW w:w="720" w:type="pct"/>
            <w:tcBorders>
              <w:tl2br w:val="nil"/>
              <w:tr2bl w:val="nil"/>
            </w:tcBorders>
            <w:vAlign w:val="center"/>
          </w:tcPr>
          <w:p w14:paraId="544CA2F1">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sz w:val="21"/>
                <w:szCs w:val="21"/>
              </w:rPr>
            </w:pPr>
            <w:r>
              <w:rPr>
                <w:rFonts w:hint="default" w:ascii="Times New Roman" w:hAnsi="Times New Roman" w:cs="Times New Roman"/>
                <w:color w:val="000000"/>
                <w:sz w:val="21"/>
                <w:szCs w:val="21"/>
              </w:rPr>
              <w:t>2000.0</w:t>
            </w:r>
          </w:p>
        </w:tc>
        <w:tc>
          <w:tcPr>
            <w:tcW w:w="1595" w:type="dxa"/>
            <w:tcBorders>
              <w:tl2br w:val="nil"/>
              <w:tr2bl w:val="nil"/>
            </w:tcBorders>
            <w:vAlign w:val="center"/>
          </w:tcPr>
          <w:p w14:paraId="6A0F63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0.0188</w:t>
            </w:r>
          </w:p>
        </w:tc>
        <w:tc>
          <w:tcPr>
            <w:tcW w:w="1462" w:type="dxa"/>
            <w:tcBorders>
              <w:tl2br w:val="nil"/>
              <w:tr2bl w:val="nil"/>
            </w:tcBorders>
            <w:vAlign w:val="center"/>
          </w:tcPr>
          <w:p w14:paraId="2E24F8C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0.0009</w:t>
            </w:r>
          </w:p>
        </w:tc>
        <w:tc>
          <w:tcPr>
            <w:tcW w:w="676" w:type="pct"/>
            <w:tcBorders>
              <w:tl2br w:val="nil"/>
              <w:tr2bl w:val="nil"/>
            </w:tcBorders>
            <w:vAlign w:val="center"/>
          </w:tcPr>
          <w:p w14:paraId="639178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eastAsia="zh-CN"/>
              </w:rPr>
              <w:t>三级</w:t>
            </w:r>
          </w:p>
        </w:tc>
      </w:tr>
      <w:tr w14:paraId="3311F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continue"/>
            <w:tcBorders>
              <w:tl2br w:val="nil"/>
              <w:tr2bl w:val="nil"/>
            </w:tcBorders>
            <w:vAlign w:val="center"/>
          </w:tcPr>
          <w:p w14:paraId="19608D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p>
        </w:tc>
        <w:tc>
          <w:tcPr>
            <w:tcW w:w="815" w:type="pct"/>
            <w:tcBorders>
              <w:tl2br w:val="nil"/>
              <w:tr2bl w:val="nil"/>
            </w:tcBorders>
            <w:vAlign w:val="center"/>
          </w:tcPr>
          <w:p w14:paraId="3B7E8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甲醛</w:t>
            </w:r>
          </w:p>
        </w:tc>
        <w:tc>
          <w:tcPr>
            <w:tcW w:w="720" w:type="pct"/>
            <w:tcBorders>
              <w:tl2br w:val="nil"/>
              <w:tr2bl w:val="nil"/>
            </w:tcBorders>
            <w:vAlign w:val="center"/>
          </w:tcPr>
          <w:p w14:paraId="69BF14F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sz w:val="21"/>
                <w:szCs w:val="21"/>
                <w:lang w:val="en-US" w:eastAsia="zh-CN"/>
              </w:rPr>
            </w:pPr>
            <w:r>
              <w:rPr>
                <w:rFonts w:hint="default" w:ascii="Times New Roman" w:hAnsi="Times New Roman" w:cs="Times New Roman"/>
                <w:color w:val="000000"/>
                <w:sz w:val="21"/>
                <w:szCs w:val="21"/>
              </w:rPr>
              <w:t>50.0</w:t>
            </w:r>
          </w:p>
        </w:tc>
        <w:tc>
          <w:tcPr>
            <w:tcW w:w="1595" w:type="dxa"/>
            <w:tcBorders>
              <w:tl2br w:val="nil"/>
              <w:tr2bl w:val="nil"/>
            </w:tcBorders>
            <w:vAlign w:val="center"/>
          </w:tcPr>
          <w:p w14:paraId="7C3090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0.0012</w:t>
            </w:r>
          </w:p>
        </w:tc>
        <w:tc>
          <w:tcPr>
            <w:tcW w:w="1462" w:type="dxa"/>
            <w:tcBorders>
              <w:tl2br w:val="nil"/>
              <w:tr2bl w:val="nil"/>
            </w:tcBorders>
            <w:vAlign w:val="center"/>
          </w:tcPr>
          <w:p w14:paraId="03B9CD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0.0023</w:t>
            </w:r>
          </w:p>
        </w:tc>
        <w:tc>
          <w:tcPr>
            <w:tcW w:w="676" w:type="pct"/>
            <w:tcBorders>
              <w:tl2br w:val="nil"/>
              <w:tr2bl w:val="nil"/>
            </w:tcBorders>
            <w:vAlign w:val="center"/>
          </w:tcPr>
          <w:p w14:paraId="224F5A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eastAsia="zh-CN"/>
              </w:rPr>
            </w:pPr>
            <w:r>
              <w:rPr>
                <w:rFonts w:hint="eastAsia" w:ascii="Times New Roman" w:hAnsi="Times New Roman" w:eastAsia="宋体" w:cs="Times New Roman"/>
                <w:b w:val="0"/>
                <w:sz w:val="21"/>
                <w:szCs w:val="21"/>
                <w:lang w:val="en-US" w:eastAsia="zh-CN"/>
              </w:rPr>
              <w:t>二</w:t>
            </w:r>
            <w:r>
              <w:rPr>
                <w:rFonts w:hint="default" w:ascii="Times New Roman" w:hAnsi="Times New Roman" w:eastAsia="宋体" w:cs="Times New Roman"/>
                <w:b w:val="0"/>
                <w:sz w:val="21"/>
                <w:szCs w:val="21"/>
                <w:lang w:eastAsia="zh-CN"/>
              </w:rPr>
              <w:t>级</w:t>
            </w:r>
          </w:p>
        </w:tc>
      </w:tr>
      <w:tr w14:paraId="15DB0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tcBorders>
              <w:tl2br w:val="nil"/>
              <w:tr2bl w:val="nil"/>
            </w:tcBorders>
            <w:vAlign w:val="center"/>
          </w:tcPr>
          <w:p w14:paraId="4658B3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lang w:val="en-US" w:eastAsia="zh-CN"/>
              </w:rPr>
              <w:t>DA003</w:t>
            </w:r>
          </w:p>
        </w:tc>
        <w:tc>
          <w:tcPr>
            <w:tcW w:w="815" w:type="pct"/>
            <w:tcBorders>
              <w:tl2br w:val="nil"/>
              <w:tr2bl w:val="nil"/>
            </w:tcBorders>
            <w:vAlign w:val="center"/>
          </w:tcPr>
          <w:p w14:paraId="514BE5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PM</w:t>
            </w:r>
            <w:r>
              <w:rPr>
                <w:rFonts w:hint="default" w:ascii="Times New Roman" w:hAnsi="Times New Roman" w:eastAsia="宋体" w:cs="Times New Roman"/>
                <w:b w:val="0"/>
                <w:sz w:val="21"/>
                <w:szCs w:val="21"/>
                <w:vertAlign w:val="subscript"/>
              </w:rPr>
              <w:t>10</w:t>
            </w:r>
          </w:p>
        </w:tc>
        <w:tc>
          <w:tcPr>
            <w:tcW w:w="720" w:type="pct"/>
            <w:tcBorders>
              <w:tl2br w:val="nil"/>
              <w:tr2bl w:val="nil"/>
            </w:tcBorders>
            <w:vAlign w:val="center"/>
          </w:tcPr>
          <w:p w14:paraId="2DA2F6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lang w:val="en-US" w:eastAsia="zh-CN"/>
              </w:rPr>
              <w:t>450.0</w:t>
            </w:r>
          </w:p>
        </w:tc>
        <w:tc>
          <w:tcPr>
            <w:tcW w:w="1595" w:type="dxa"/>
            <w:tcBorders>
              <w:tl2br w:val="nil"/>
              <w:tr2bl w:val="nil"/>
            </w:tcBorders>
            <w:vAlign w:val="center"/>
          </w:tcPr>
          <w:p w14:paraId="29692D8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0.0356</w:t>
            </w:r>
          </w:p>
        </w:tc>
        <w:tc>
          <w:tcPr>
            <w:tcW w:w="1462" w:type="dxa"/>
            <w:tcBorders>
              <w:tl2br w:val="nil"/>
              <w:tr2bl w:val="nil"/>
            </w:tcBorders>
            <w:vAlign w:val="center"/>
          </w:tcPr>
          <w:p w14:paraId="402CAA1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0.0079</w:t>
            </w:r>
          </w:p>
        </w:tc>
        <w:tc>
          <w:tcPr>
            <w:tcW w:w="676" w:type="pct"/>
            <w:tcBorders>
              <w:tl2br w:val="nil"/>
              <w:tr2bl w:val="nil"/>
            </w:tcBorders>
            <w:vAlign w:val="center"/>
          </w:tcPr>
          <w:p w14:paraId="65A10C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eastAsia="zh-CN"/>
              </w:rPr>
            </w:pPr>
            <w:r>
              <w:rPr>
                <w:rFonts w:hint="default" w:ascii="Times New Roman" w:hAnsi="Times New Roman" w:eastAsia="宋体" w:cs="Times New Roman"/>
                <w:b w:val="0"/>
                <w:sz w:val="21"/>
                <w:szCs w:val="21"/>
                <w:lang w:eastAsia="zh-CN"/>
              </w:rPr>
              <w:t>三级</w:t>
            </w:r>
          </w:p>
        </w:tc>
      </w:tr>
      <w:tr w14:paraId="04C64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tcBorders>
              <w:tl2br w:val="nil"/>
              <w:tr2bl w:val="nil"/>
            </w:tcBorders>
            <w:vAlign w:val="center"/>
          </w:tcPr>
          <w:p w14:paraId="6D232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lang w:val="en-US" w:eastAsia="zh-CN"/>
              </w:rPr>
              <w:t>DA004</w:t>
            </w:r>
          </w:p>
        </w:tc>
        <w:tc>
          <w:tcPr>
            <w:tcW w:w="815" w:type="pct"/>
            <w:tcBorders>
              <w:tl2br w:val="nil"/>
              <w:tr2bl w:val="nil"/>
            </w:tcBorders>
            <w:vAlign w:val="center"/>
          </w:tcPr>
          <w:p w14:paraId="41DAD3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sz w:val="21"/>
                <w:szCs w:val="21"/>
                <w:lang w:eastAsia="zh-CN"/>
              </w:rPr>
            </w:pPr>
            <w:r>
              <w:rPr>
                <w:rFonts w:hint="default" w:ascii="Times New Roman" w:hAnsi="Times New Roman" w:eastAsia="宋体" w:cs="Times New Roman"/>
                <w:b w:val="0"/>
                <w:sz w:val="21"/>
                <w:szCs w:val="21"/>
              </w:rPr>
              <w:t>PM</w:t>
            </w:r>
            <w:r>
              <w:rPr>
                <w:rFonts w:hint="default" w:ascii="Times New Roman" w:hAnsi="Times New Roman" w:eastAsia="宋体" w:cs="Times New Roman"/>
                <w:b w:val="0"/>
                <w:sz w:val="21"/>
                <w:szCs w:val="21"/>
                <w:vertAlign w:val="subscript"/>
              </w:rPr>
              <w:t>10</w:t>
            </w:r>
          </w:p>
        </w:tc>
        <w:tc>
          <w:tcPr>
            <w:tcW w:w="720" w:type="pct"/>
            <w:tcBorders>
              <w:tl2br w:val="nil"/>
              <w:tr2bl w:val="nil"/>
            </w:tcBorders>
            <w:vAlign w:val="center"/>
          </w:tcPr>
          <w:p w14:paraId="37CC15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val="en-US" w:eastAsia="zh-CN"/>
              </w:rPr>
              <w:t>450.0</w:t>
            </w:r>
          </w:p>
        </w:tc>
        <w:tc>
          <w:tcPr>
            <w:tcW w:w="1595" w:type="dxa"/>
            <w:tcBorders>
              <w:tl2br w:val="nil"/>
              <w:tr2bl w:val="nil"/>
            </w:tcBorders>
            <w:vAlign w:val="center"/>
          </w:tcPr>
          <w:p w14:paraId="5B4192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0.0203</w:t>
            </w:r>
          </w:p>
        </w:tc>
        <w:tc>
          <w:tcPr>
            <w:tcW w:w="1462" w:type="dxa"/>
            <w:tcBorders>
              <w:tl2br w:val="nil"/>
              <w:tr2bl w:val="nil"/>
            </w:tcBorders>
            <w:vAlign w:val="center"/>
          </w:tcPr>
          <w:p w14:paraId="338EB92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rPr>
              <w:t>0.0045</w:t>
            </w:r>
          </w:p>
        </w:tc>
        <w:tc>
          <w:tcPr>
            <w:tcW w:w="676" w:type="pct"/>
            <w:tcBorders>
              <w:tl2br w:val="nil"/>
              <w:tr2bl w:val="nil"/>
            </w:tcBorders>
            <w:vAlign w:val="center"/>
          </w:tcPr>
          <w:p w14:paraId="0636E3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eastAsia="宋体" w:cs="Times New Roman"/>
                <w:b w:val="0"/>
                <w:sz w:val="21"/>
                <w:szCs w:val="21"/>
                <w:lang w:eastAsia="zh-CN"/>
              </w:rPr>
              <w:t>三级</w:t>
            </w:r>
          </w:p>
        </w:tc>
      </w:tr>
      <w:tr w14:paraId="0EE75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restart"/>
            <w:tcBorders>
              <w:tl2br w:val="nil"/>
              <w:tr2bl w:val="nil"/>
            </w:tcBorders>
            <w:vAlign w:val="center"/>
          </w:tcPr>
          <w:p w14:paraId="54876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000000"/>
                <w:spacing w:val="-4"/>
                <w:sz w:val="21"/>
                <w:szCs w:val="21"/>
                <w:u w:val="none"/>
                <w:lang w:val="en-US" w:eastAsia="zh-CN"/>
              </w:rPr>
            </w:pPr>
            <w:r>
              <w:rPr>
                <w:rFonts w:hint="eastAsia" w:ascii="Times New Roman" w:hAnsi="Times New Roman" w:cs="Times New Roman"/>
                <w:b w:val="0"/>
                <w:bCs/>
                <w:color w:val="000000"/>
                <w:spacing w:val="-4"/>
                <w:sz w:val="21"/>
                <w:szCs w:val="21"/>
                <w:u w:val="none"/>
                <w:lang w:val="en-US" w:eastAsia="zh-CN"/>
              </w:rPr>
              <w:t>生产</w:t>
            </w:r>
            <w:r>
              <w:rPr>
                <w:rFonts w:hint="default" w:ascii="Times New Roman" w:hAnsi="Times New Roman" w:cs="Times New Roman"/>
                <w:b w:val="0"/>
                <w:bCs/>
                <w:color w:val="000000"/>
                <w:spacing w:val="-4"/>
                <w:sz w:val="21"/>
                <w:szCs w:val="21"/>
                <w:u w:val="none"/>
                <w:lang w:val="en-US" w:eastAsia="zh-CN"/>
              </w:rPr>
              <w:t>车间（M1）</w:t>
            </w:r>
          </w:p>
        </w:tc>
        <w:tc>
          <w:tcPr>
            <w:tcW w:w="815" w:type="pct"/>
            <w:tcBorders>
              <w:tl2br w:val="nil"/>
              <w:tr2bl w:val="nil"/>
            </w:tcBorders>
            <w:vAlign w:val="center"/>
          </w:tcPr>
          <w:p w14:paraId="18F4D8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rPr>
              <w:t>TSP</w:t>
            </w:r>
          </w:p>
        </w:tc>
        <w:tc>
          <w:tcPr>
            <w:tcW w:w="720" w:type="pct"/>
            <w:tcBorders>
              <w:tl2br w:val="nil"/>
              <w:tr2bl w:val="nil"/>
            </w:tcBorders>
            <w:vAlign w:val="center"/>
          </w:tcPr>
          <w:p w14:paraId="6100B3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cs="Times New Roman"/>
                <w:color w:val="000000"/>
                <w:sz w:val="21"/>
                <w:szCs w:val="21"/>
              </w:rPr>
              <w:t>900.0</w:t>
            </w:r>
          </w:p>
        </w:tc>
        <w:tc>
          <w:tcPr>
            <w:tcW w:w="1595" w:type="dxa"/>
            <w:tcBorders>
              <w:tl2br w:val="nil"/>
              <w:tr2bl w:val="nil"/>
            </w:tcBorders>
            <w:vAlign w:val="center"/>
          </w:tcPr>
          <w:p w14:paraId="2C8BCC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70.5150</w:t>
            </w:r>
          </w:p>
        </w:tc>
        <w:tc>
          <w:tcPr>
            <w:tcW w:w="1462" w:type="dxa"/>
            <w:tcBorders>
              <w:tl2br w:val="nil"/>
              <w:tr2bl w:val="nil"/>
            </w:tcBorders>
            <w:vAlign w:val="center"/>
          </w:tcPr>
          <w:p w14:paraId="19914F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7.8350</w:t>
            </w:r>
          </w:p>
        </w:tc>
        <w:tc>
          <w:tcPr>
            <w:tcW w:w="676" w:type="pct"/>
            <w:tcBorders>
              <w:tl2br w:val="nil"/>
              <w:tr2bl w:val="nil"/>
            </w:tcBorders>
            <w:vAlign w:val="center"/>
          </w:tcPr>
          <w:p w14:paraId="0933FD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eastAsia="zh-CN"/>
              </w:rPr>
            </w:pPr>
            <w:r>
              <w:rPr>
                <w:rFonts w:hint="eastAsia" w:ascii="Times New Roman" w:hAnsi="Times New Roman" w:eastAsia="宋体" w:cs="Times New Roman"/>
                <w:b w:val="0"/>
                <w:sz w:val="21"/>
                <w:szCs w:val="21"/>
                <w:lang w:val="en-US" w:eastAsia="zh-CN"/>
              </w:rPr>
              <w:t>二级</w:t>
            </w:r>
          </w:p>
        </w:tc>
      </w:tr>
      <w:tr w14:paraId="05908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continue"/>
            <w:tcBorders>
              <w:tl2br w:val="nil"/>
              <w:tr2bl w:val="nil"/>
            </w:tcBorders>
            <w:vAlign w:val="center"/>
          </w:tcPr>
          <w:p w14:paraId="1E600C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000000"/>
                <w:spacing w:val="-4"/>
                <w:sz w:val="21"/>
                <w:szCs w:val="21"/>
                <w:u w:val="none"/>
                <w:lang w:val="en-US" w:eastAsia="zh-CN"/>
              </w:rPr>
            </w:pPr>
          </w:p>
        </w:tc>
        <w:tc>
          <w:tcPr>
            <w:tcW w:w="815" w:type="pct"/>
            <w:tcBorders>
              <w:tl2br w:val="nil"/>
              <w:tr2bl w:val="nil"/>
            </w:tcBorders>
            <w:vAlign w:val="center"/>
          </w:tcPr>
          <w:p w14:paraId="2CB23A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rPr>
              <w:t>NMHC</w:t>
            </w:r>
          </w:p>
        </w:tc>
        <w:tc>
          <w:tcPr>
            <w:tcW w:w="720" w:type="pct"/>
            <w:tcBorders>
              <w:tl2br w:val="nil"/>
              <w:tr2bl w:val="nil"/>
            </w:tcBorders>
            <w:vAlign w:val="center"/>
          </w:tcPr>
          <w:p w14:paraId="62220F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2000.0</w:t>
            </w:r>
          </w:p>
        </w:tc>
        <w:tc>
          <w:tcPr>
            <w:tcW w:w="1595" w:type="dxa"/>
            <w:tcBorders>
              <w:tl2br w:val="nil"/>
              <w:tr2bl w:val="nil"/>
            </w:tcBorders>
            <w:vAlign w:val="center"/>
          </w:tcPr>
          <w:p w14:paraId="646726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54.9602</w:t>
            </w:r>
          </w:p>
        </w:tc>
        <w:tc>
          <w:tcPr>
            <w:tcW w:w="1462" w:type="dxa"/>
            <w:tcBorders>
              <w:tl2br w:val="nil"/>
              <w:tr2bl w:val="nil"/>
            </w:tcBorders>
            <w:vAlign w:val="center"/>
          </w:tcPr>
          <w:p w14:paraId="4DE2CC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2.7480</w:t>
            </w:r>
          </w:p>
        </w:tc>
        <w:tc>
          <w:tcPr>
            <w:tcW w:w="676" w:type="pct"/>
            <w:tcBorders>
              <w:tl2br w:val="nil"/>
              <w:tr2bl w:val="nil"/>
            </w:tcBorders>
            <w:vAlign w:val="center"/>
          </w:tcPr>
          <w:p w14:paraId="676611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eastAsia" w:ascii="Times New Roman" w:hAnsi="Times New Roman" w:eastAsia="宋体" w:cs="Times New Roman"/>
                <w:b w:val="0"/>
                <w:sz w:val="21"/>
                <w:szCs w:val="21"/>
                <w:lang w:val="en-US" w:eastAsia="zh-CN"/>
              </w:rPr>
              <w:t>二级</w:t>
            </w:r>
          </w:p>
        </w:tc>
      </w:tr>
      <w:tr w14:paraId="56435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1" w:type="pct"/>
            <w:vMerge w:val="continue"/>
            <w:tcBorders>
              <w:tl2br w:val="nil"/>
              <w:tr2bl w:val="nil"/>
            </w:tcBorders>
            <w:vAlign w:val="center"/>
          </w:tcPr>
          <w:p w14:paraId="0DF323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color w:val="000000"/>
                <w:spacing w:val="-4"/>
                <w:sz w:val="21"/>
                <w:szCs w:val="21"/>
                <w:u w:val="none"/>
                <w:lang w:val="en-US" w:eastAsia="zh-CN"/>
              </w:rPr>
            </w:pPr>
          </w:p>
        </w:tc>
        <w:tc>
          <w:tcPr>
            <w:tcW w:w="815" w:type="pct"/>
            <w:tcBorders>
              <w:tl2br w:val="nil"/>
              <w:tr2bl w:val="nil"/>
            </w:tcBorders>
            <w:vAlign w:val="center"/>
          </w:tcPr>
          <w:p w14:paraId="19EC8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default" w:ascii="Times New Roman" w:hAnsi="Times New Roman" w:eastAsia="宋体" w:cs="Times New Roman"/>
                <w:b w:val="0"/>
                <w:sz w:val="21"/>
                <w:szCs w:val="21"/>
              </w:rPr>
              <w:t>甲醛</w:t>
            </w:r>
          </w:p>
        </w:tc>
        <w:tc>
          <w:tcPr>
            <w:tcW w:w="720" w:type="pct"/>
            <w:tcBorders>
              <w:tl2br w:val="nil"/>
              <w:tr2bl w:val="nil"/>
            </w:tcBorders>
            <w:vAlign w:val="center"/>
          </w:tcPr>
          <w:p w14:paraId="06D081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50.0</w:t>
            </w:r>
          </w:p>
        </w:tc>
        <w:tc>
          <w:tcPr>
            <w:tcW w:w="1595" w:type="dxa"/>
            <w:tcBorders>
              <w:tl2br w:val="nil"/>
              <w:tr2bl w:val="nil"/>
            </w:tcBorders>
            <w:vAlign w:val="center"/>
          </w:tcPr>
          <w:p w14:paraId="42DE63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3.6294</w:t>
            </w:r>
          </w:p>
        </w:tc>
        <w:tc>
          <w:tcPr>
            <w:tcW w:w="1462" w:type="dxa"/>
            <w:tcBorders>
              <w:tl2br w:val="nil"/>
              <w:tr2bl w:val="nil"/>
            </w:tcBorders>
            <w:vAlign w:val="center"/>
          </w:tcPr>
          <w:p w14:paraId="108C4D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sz w:val="21"/>
                <w:szCs w:val="21"/>
              </w:rPr>
            </w:pPr>
            <w:r>
              <w:rPr>
                <w:rFonts w:hint="default" w:ascii="Times New Roman" w:hAnsi="Times New Roman" w:eastAsia="宋体" w:cs="Times New Roman"/>
                <w:b w:val="0"/>
                <w:sz w:val="21"/>
                <w:szCs w:val="21"/>
              </w:rPr>
              <w:t>7.2589</w:t>
            </w:r>
          </w:p>
        </w:tc>
        <w:tc>
          <w:tcPr>
            <w:tcW w:w="676" w:type="pct"/>
            <w:tcBorders>
              <w:tl2br w:val="nil"/>
              <w:tr2bl w:val="nil"/>
            </w:tcBorders>
            <w:vAlign w:val="center"/>
          </w:tcPr>
          <w:p w14:paraId="6A162A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sz w:val="21"/>
                <w:szCs w:val="21"/>
                <w:lang w:val="en-US" w:eastAsia="zh-CN"/>
              </w:rPr>
            </w:pPr>
            <w:r>
              <w:rPr>
                <w:rFonts w:hint="eastAsia" w:ascii="Times New Roman" w:hAnsi="Times New Roman" w:eastAsia="宋体" w:cs="Times New Roman"/>
                <w:b w:val="0"/>
                <w:sz w:val="21"/>
                <w:szCs w:val="21"/>
                <w:lang w:val="en-US" w:eastAsia="zh-CN"/>
              </w:rPr>
              <w:t>二级</w:t>
            </w:r>
          </w:p>
        </w:tc>
      </w:tr>
    </w:tbl>
    <w:p w14:paraId="052D9FCC">
      <w:pPr>
        <w:spacing w:line="360" w:lineRule="auto"/>
        <w:ind w:firstLine="480" w:firstLineChars="200"/>
        <w:rPr>
          <w:rFonts w:hint="eastAsia"/>
          <w:sz w:val="24"/>
          <w:lang w:eastAsia="zh-CN"/>
        </w:rPr>
      </w:pPr>
      <w:r>
        <w:rPr>
          <w:rFonts w:hint="eastAsia"/>
          <w:sz w:val="24"/>
          <w:lang w:eastAsia="zh-CN"/>
        </w:rPr>
        <w:t>根据预测结果</w:t>
      </w:r>
      <w:r>
        <w:rPr>
          <w:rFonts w:hint="eastAsia"/>
          <w:sz w:val="24"/>
        </w:rPr>
        <w:t>，本</w:t>
      </w:r>
      <w:r>
        <w:rPr>
          <w:rFonts w:hint="eastAsia"/>
          <w:sz w:val="24"/>
          <w:lang w:eastAsia="zh-CN"/>
        </w:rPr>
        <w:t>项目</w:t>
      </w:r>
      <w:r>
        <w:rPr>
          <w:rFonts w:hint="eastAsia"/>
          <w:sz w:val="24"/>
        </w:rPr>
        <w:t>Pmax</w:t>
      </w:r>
      <w:r>
        <w:rPr>
          <w:rFonts w:hint="eastAsia"/>
          <w:sz w:val="24"/>
          <w:lang w:eastAsia="zh-CN"/>
        </w:rPr>
        <w:t>＝</w:t>
      </w:r>
      <w:r>
        <w:rPr>
          <w:snapToGrid w:val="0"/>
          <w:kern w:val="0"/>
          <w:sz w:val="24"/>
        </w:rPr>
        <w:t>7.835%</w:t>
      </w:r>
      <w:r>
        <w:rPr>
          <w:rFonts w:hint="eastAsia"/>
          <w:sz w:val="24"/>
        </w:rPr>
        <w:t>，1%&lt;Pmax＜10%，根据《环境影响评价技术导则 大气环境》（HJ2.2-2018）分级判据，确定本项目大气环境影响评价工作等级为二级</w:t>
      </w:r>
      <w:r>
        <w:rPr>
          <w:rFonts w:hint="eastAsia"/>
          <w:sz w:val="24"/>
          <w:lang w:eastAsia="zh-CN"/>
        </w:rPr>
        <w:t>。</w:t>
      </w:r>
    </w:p>
    <w:p w14:paraId="68D5799E">
      <w:pPr>
        <w:spacing w:line="360" w:lineRule="auto"/>
        <w:ind w:firstLine="480" w:firstLineChars="200"/>
        <w:rPr>
          <w:sz w:val="24"/>
        </w:rPr>
      </w:pPr>
      <w:r>
        <w:rPr>
          <w:rFonts w:hint="default" w:ascii="Times New Roman" w:hAnsi="Times New Roman" w:eastAsia="宋体" w:cs="Times New Roman"/>
          <w:color w:val="auto"/>
          <w:u w:val="none"/>
          <w:lang w:val="en-US" w:eastAsia="zh-CN"/>
        </w:rPr>
        <w:t>根据《环境影响评价技术导则-大气环境》（HJ2.2-2018）</w:t>
      </w:r>
      <w:r>
        <w:rPr>
          <w:rFonts w:hint="eastAsia" w:ascii="Times New Roman" w:hAnsi="宋体"/>
          <w:color w:val="auto"/>
          <w:sz w:val="24"/>
          <w:szCs w:val="24"/>
          <w:u w:val="none"/>
        </w:rPr>
        <w:t>有关环境空气评价等级确定原则</w:t>
      </w:r>
      <w:r>
        <w:rPr>
          <w:rFonts w:hint="default" w:ascii="Times New Roman" w:hAnsi="Times New Roman" w:eastAsia="宋体" w:cs="Times New Roman"/>
          <w:color w:val="auto"/>
          <w:u w:val="none"/>
          <w:lang w:val="en-US" w:eastAsia="zh-CN"/>
        </w:rPr>
        <w:t>，本项目为二级评价，不再进行进一步预测与评价，只对污染物排放量进行核算。</w:t>
      </w:r>
    </w:p>
    <w:p w14:paraId="72393E02">
      <w:pPr>
        <w:pStyle w:val="4"/>
      </w:pPr>
      <w:bookmarkStart w:id="266" w:name="_Toc2999"/>
      <w:bookmarkStart w:id="267" w:name="_Toc28611"/>
      <w:bookmarkStart w:id="268" w:name="_Toc12219"/>
      <w:bookmarkStart w:id="269" w:name="_Toc351"/>
      <w:bookmarkStart w:id="270" w:name="_Toc5528"/>
      <w:bookmarkStart w:id="271" w:name="_Toc19722"/>
      <w:bookmarkStart w:id="272" w:name="_Toc161600325"/>
      <w:bookmarkStart w:id="273" w:name="_Toc7652"/>
      <w:r>
        <w:rPr>
          <w:rFonts w:hint="eastAsia"/>
        </w:rPr>
        <w:t>4</w:t>
      </w:r>
      <w:r>
        <w:t>.4.</w:t>
      </w:r>
      <w:r>
        <w:rPr>
          <w:rFonts w:hint="eastAsia"/>
          <w:lang w:val="en-US" w:eastAsia="zh-CN"/>
        </w:rPr>
        <w:t>2</w:t>
      </w:r>
      <w:r>
        <w:t>.大气环境防护距离的计算</w:t>
      </w:r>
      <w:bookmarkEnd w:id="266"/>
      <w:bookmarkEnd w:id="267"/>
      <w:bookmarkEnd w:id="268"/>
      <w:bookmarkEnd w:id="269"/>
      <w:bookmarkEnd w:id="270"/>
      <w:bookmarkEnd w:id="271"/>
      <w:bookmarkEnd w:id="272"/>
      <w:bookmarkEnd w:id="273"/>
    </w:p>
    <w:p w14:paraId="02F0838F">
      <w:pPr>
        <w:bidi w:val="0"/>
        <w:rPr>
          <w:rFonts w:hint="eastAsia"/>
        </w:rPr>
      </w:pPr>
      <w:r>
        <w:rPr>
          <w:rFonts w:hint="eastAsia"/>
        </w:rPr>
        <w:t>根据《环境影响评价技术导则大气环境》(HJ2.2-2018)要求，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6EBBCF1C">
      <w:pPr>
        <w:bidi w:val="0"/>
      </w:pPr>
      <w:r>
        <w:rPr>
          <w:rFonts w:hint="eastAsia"/>
        </w:rPr>
        <w:t>本项目产生的污染物在厂界浓度未出现超标点，无需设置大气环境防护距离</w:t>
      </w:r>
      <w:r>
        <w:t>。</w:t>
      </w:r>
    </w:p>
    <w:p w14:paraId="5F8A9582">
      <w:pPr>
        <w:pStyle w:val="3"/>
      </w:pPr>
      <w:bookmarkStart w:id="274" w:name="_Toc670"/>
      <w:bookmarkStart w:id="275" w:name="_Toc13972"/>
      <w:bookmarkStart w:id="276" w:name="_Toc161600327"/>
      <w:bookmarkStart w:id="277" w:name="_Toc18310"/>
      <w:r>
        <w:rPr>
          <w:rFonts w:hint="eastAsia"/>
        </w:rPr>
        <w:t>4</w:t>
      </w:r>
      <w:r>
        <w:t>.5.污染物排放量核算</w:t>
      </w:r>
      <w:bookmarkEnd w:id="274"/>
      <w:bookmarkEnd w:id="275"/>
      <w:bookmarkEnd w:id="276"/>
      <w:bookmarkEnd w:id="277"/>
    </w:p>
    <w:p w14:paraId="0D5D2414">
      <w:pPr>
        <w:snapToGrid w:val="0"/>
        <w:spacing w:line="440" w:lineRule="exact"/>
        <w:ind w:firstLine="480" w:firstLineChars="200"/>
        <w:jc w:val="left"/>
        <w:rPr>
          <w:snapToGrid w:val="0"/>
          <w:kern w:val="0"/>
          <w:sz w:val="24"/>
        </w:rPr>
      </w:pPr>
      <w:r>
        <w:rPr>
          <w:snapToGrid w:val="0"/>
          <w:kern w:val="0"/>
          <w:sz w:val="24"/>
        </w:rPr>
        <w:t>据《环境影响评价技术导则 大气环境》（HJ2.2-2018）：项目大气污染物年排放量包括项目各有组织排放源和无组织排放源在正常排放条件下的预测排放量之和。污染物年排放量按以下公式计算：</w:t>
      </w:r>
    </w:p>
    <w:p w14:paraId="39EE060F">
      <w:pPr>
        <w:snapToGrid w:val="0"/>
        <w:spacing w:line="500" w:lineRule="exact"/>
        <w:ind w:left="142"/>
        <w:jc w:val="center"/>
        <w:rPr>
          <w:sz w:val="24"/>
        </w:rPr>
      </w:pPr>
      <w:r>
        <w:rPr>
          <w:position w:val="-16"/>
          <w:sz w:val="24"/>
        </w:rPr>
        <w:object>
          <v:shape id="_x0000_i1025" o:spt="75" type="#_x0000_t75" style="height:22.55pt;width:336.2pt;" o:ole="t" filled="f" o:preferrelative="t" stroked="f" coordsize="21600,21600">
            <v:path/>
            <v:fill on="f" focussize="0,0"/>
            <v:stroke on="f"/>
            <v:imagedata r:id="rId25" o:title=""/>
            <o:lock v:ext="edit" aspectratio="t"/>
            <w10:wrap type="none"/>
            <w10:anchorlock/>
          </v:shape>
          <o:OLEObject Type="Embed" ProgID="Equations" ShapeID="_x0000_i1025" DrawAspect="Content" ObjectID="_1468075725" r:id="rId24">
            <o:LockedField>false</o:LockedField>
          </o:OLEObject>
        </w:object>
      </w:r>
    </w:p>
    <w:p w14:paraId="2605329E">
      <w:pPr>
        <w:snapToGrid w:val="0"/>
        <w:spacing w:line="500" w:lineRule="exact"/>
        <w:ind w:left="142"/>
        <w:rPr>
          <w:sz w:val="24"/>
        </w:rPr>
      </w:pPr>
      <w:r>
        <w:rPr>
          <w:sz w:val="24"/>
        </w:rPr>
        <w:t>式中：E年排放：项目年排放量，t/a；</w:t>
      </w:r>
    </w:p>
    <w:p w14:paraId="6A1104A1">
      <w:pPr>
        <w:snapToGrid w:val="0"/>
        <w:spacing w:line="500" w:lineRule="exact"/>
        <w:ind w:left="163" w:leftChars="68" w:firstLine="720" w:firstLineChars="300"/>
        <w:rPr>
          <w:sz w:val="24"/>
        </w:rPr>
      </w:pPr>
      <w:r>
        <w:rPr>
          <w:sz w:val="24"/>
        </w:rPr>
        <w:t>M</w:t>
      </w:r>
      <w:r>
        <w:rPr>
          <w:sz w:val="24"/>
          <w:vertAlign w:val="subscript"/>
        </w:rPr>
        <w:t>i</w:t>
      </w:r>
      <w:r>
        <w:rPr>
          <w:sz w:val="24"/>
        </w:rPr>
        <w:t>有组织：第i个有组织排放源排放速率，kg/h；</w:t>
      </w:r>
    </w:p>
    <w:p w14:paraId="61F6C3A2">
      <w:pPr>
        <w:snapToGrid w:val="0"/>
        <w:spacing w:line="500" w:lineRule="exact"/>
        <w:ind w:left="163" w:leftChars="68" w:firstLine="720" w:firstLineChars="300"/>
        <w:rPr>
          <w:sz w:val="24"/>
        </w:rPr>
      </w:pPr>
      <w:r>
        <w:rPr>
          <w:sz w:val="24"/>
        </w:rPr>
        <w:t>Ｈ</w:t>
      </w:r>
      <w:r>
        <w:rPr>
          <w:sz w:val="24"/>
          <w:vertAlign w:val="subscript"/>
        </w:rPr>
        <w:t>i</w:t>
      </w:r>
      <w:r>
        <w:rPr>
          <w:sz w:val="24"/>
        </w:rPr>
        <w:t>有组织：第i个有组织排放源年有效排放小时数，h/a；</w:t>
      </w:r>
    </w:p>
    <w:p w14:paraId="4EC93229">
      <w:pPr>
        <w:snapToGrid w:val="0"/>
        <w:spacing w:line="500" w:lineRule="exact"/>
        <w:ind w:left="163" w:leftChars="68" w:firstLine="720" w:firstLineChars="300"/>
        <w:rPr>
          <w:sz w:val="24"/>
        </w:rPr>
      </w:pPr>
      <w:r>
        <w:rPr>
          <w:sz w:val="24"/>
        </w:rPr>
        <w:t>M</w:t>
      </w:r>
      <w:r>
        <w:rPr>
          <w:sz w:val="24"/>
          <w:vertAlign w:val="subscript"/>
        </w:rPr>
        <w:t>j</w:t>
      </w:r>
      <w:r>
        <w:rPr>
          <w:sz w:val="24"/>
        </w:rPr>
        <w:t>无组织：第j个无组织排放源排放速率，kg/h；</w:t>
      </w:r>
    </w:p>
    <w:p w14:paraId="587E26E0">
      <w:pPr>
        <w:snapToGrid w:val="0"/>
        <w:spacing w:line="500" w:lineRule="exact"/>
        <w:ind w:left="163" w:leftChars="68" w:firstLine="720" w:firstLineChars="300"/>
        <w:rPr>
          <w:sz w:val="24"/>
        </w:rPr>
      </w:pPr>
      <w:r>
        <w:rPr>
          <w:sz w:val="24"/>
        </w:rPr>
        <w:t>Ｈ</w:t>
      </w:r>
      <w:r>
        <w:rPr>
          <w:sz w:val="24"/>
          <w:vertAlign w:val="subscript"/>
        </w:rPr>
        <w:t>j</w:t>
      </w:r>
      <w:r>
        <w:rPr>
          <w:sz w:val="24"/>
        </w:rPr>
        <w:t>无组织：第j个无组织排放源全年有效排放小时数，h/a。</w:t>
      </w:r>
    </w:p>
    <w:p w14:paraId="570312CA">
      <w:pPr>
        <w:snapToGrid w:val="0"/>
        <w:spacing w:line="440" w:lineRule="exact"/>
        <w:ind w:firstLine="480" w:firstLineChars="200"/>
        <w:jc w:val="left"/>
        <w:rPr>
          <w:snapToGrid w:val="0"/>
          <w:kern w:val="0"/>
          <w:sz w:val="24"/>
        </w:rPr>
      </w:pPr>
      <w:r>
        <w:rPr>
          <w:snapToGrid w:val="0"/>
          <w:kern w:val="0"/>
          <w:sz w:val="24"/>
        </w:rPr>
        <w:t>项目大气污染物年排放量核算见下表。</w:t>
      </w:r>
    </w:p>
    <w:p w14:paraId="20F95591">
      <w:pPr>
        <w:pStyle w:val="32"/>
        <w:spacing w:line="440" w:lineRule="exact"/>
        <w:rPr>
          <w:color w:val="000000"/>
          <w:spacing w:val="0"/>
          <w:szCs w:val="24"/>
        </w:rPr>
      </w:pPr>
      <w:r>
        <w:rPr>
          <w:color w:val="000000"/>
          <w:spacing w:val="0"/>
          <w:szCs w:val="24"/>
        </w:rPr>
        <w:t>表4.5-1  大气污染物</w:t>
      </w:r>
      <w:r>
        <w:rPr>
          <w:rFonts w:hint="eastAsia"/>
          <w:color w:val="000000"/>
          <w:spacing w:val="0"/>
          <w:szCs w:val="24"/>
          <w:lang w:val="en-US" w:eastAsia="zh-CN"/>
        </w:rPr>
        <w:t>年</w:t>
      </w:r>
      <w:r>
        <w:rPr>
          <w:color w:val="000000"/>
          <w:spacing w:val="0"/>
          <w:szCs w:val="24"/>
        </w:rPr>
        <w:t>排放量核算表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0"/>
        <w:gridCol w:w="2946"/>
        <w:gridCol w:w="2750"/>
        <w:gridCol w:w="2504"/>
      </w:tblGrid>
      <w:tr w14:paraId="41ACE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9" w:type="pct"/>
            <w:gridSpan w:val="2"/>
            <w:tcBorders>
              <w:tl2br w:val="nil"/>
              <w:tr2bl w:val="nil"/>
            </w:tcBorders>
            <w:vAlign w:val="center"/>
          </w:tcPr>
          <w:p w14:paraId="405C2426">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val="0"/>
                <w:bCs/>
                <w:kern w:val="21"/>
                <w:sz w:val="21"/>
                <w:szCs w:val="21"/>
              </w:rPr>
            </w:pPr>
            <w:r>
              <w:rPr>
                <w:rFonts w:ascii="Times New Roman" w:hAnsi="Times New Roman" w:eastAsia="宋体" w:cs="Times New Roman"/>
                <w:b w:val="0"/>
                <w:bCs/>
                <w:kern w:val="21"/>
                <w:sz w:val="21"/>
                <w:szCs w:val="21"/>
              </w:rPr>
              <w:t>序号</w:t>
            </w:r>
          </w:p>
        </w:tc>
        <w:tc>
          <w:tcPr>
            <w:tcW w:w="1381" w:type="pct"/>
            <w:tcBorders>
              <w:tl2br w:val="nil"/>
              <w:tr2bl w:val="nil"/>
            </w:tcBorders>
            <w:vAlign w:val="center"/>
          </w:tcPr>
          <w:p w14:paraId="038E5254">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val="0"/>
                <w:bCs/>
                <w:kern w:val="21"/>
                <w:sz w:val="21"/>
                <w:szCs w:val="21"/>
              </w:rPr>
            </w:pPr>
            <w:r>
              <w:rPr>
                <w:rFonts w:ascii="Times New Roman" w:hAnsi="Times New Roman" w:eastAsia="宋体" w:cs="Times New Roman"/>
                <w:b w:val="0"/>
                <w:bCs/>
                <w:kern w:val="21"/>
                <w:sz w:val="21"/>
                <w:szCs w:val="21"/>
              </w:rPr>
              <w:t>污染物</w:t>
            </w:r>
          </w:p>
        </w:tc>
        <w:tc>
          <w:tcPr>
            <w:tcW w:w="1258" w:type="pct"/>
            <w:tcBorders>
              <w:tl2br w:val="nil"/>
              <w:tr2bl w:val="nil"/>
            </w:tcBorders>
            <w:vAlign w:val="center"/>
          </w:tcPr>
          <w:p w14:paraId="20BE819B">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val="0"/>
                <w:bCs/>
                <w:kern w:val="21"/>
                <w:sz w:val="21"/>
                <w:szCs w:val="21"/>
              </w:rPr>
            </w:pPr>
            <w:r>
              <w:rPr>
                <w:rFonts w:ascii="Times New Roman" w:hAnsi="Times New Roman" w:eastAsia="宋体" w:cs="Times New Roman"/>
                <w:b w:val="0"/>
                <w:bCs/>
                <w:kern w:val="21"/>
                <w:sz w:val="21"/>
                <w:szCs w:val="21"/>
              </w:rPr>
              <w:t>年排放量(t/a）</w:t>
            </w:r>
          </w:p>
        </w:tc>
      </w:tr>
      <w:tr w14:paraId="61E93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restart"/>
            <w:tcBorders>
              <w:tl2br w:val="nil"/>
              <w:tr2bl w:val="nil"/>
            </w:tcBorders>
            <w:vAlign w:val="center"/>
          </w:tcPr>
          <w:p w14:paraId="64F1AC8D">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eastAsia="zh-CN"/>
              </w:rPr>
            </w:pPr>
            <w:r>
              <w:rPr>
                <w:rFonts w:hint="eastAsia" w:ascii="Times New Roman" w:hAnsi="Times New Roman" w:eastAsia="宋体" w:cs="Times New Roman"/>
                <w:b w:val="0"/>
                <w:bCs/>
                <w:kern w:val="21"/>
                <w:sz w:val="21"/>
                <w:szCs w:val="21"/>
                <w:lang w:eastAsia="zh-CN"/>
              </w:rPr>
              <w:t>有组织排放源</w:t>
            </w:r>
          </w:p>
        </w:tc>
        <w:tc>
          <w:tcPr>
            <w:tcW w:w="1480" w:type="pct"/>
            <w:tcBorders>
              <w:tl2br w:val="nil"/>
              <w:tr2bl w:val="nil"/>
            </w:tcBorders>
            <w:vAlign w:val="center"/>
          </w:tcPr>
          <w:p w14:paraId="27A9ABD3">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rPr>
              <w:t>DA00</w:t>
            </w:r>
            <w:r>
              <w:rPr>
                <w:rFonts w:hint="eastAsia" w:ascii="Times New Roman" w:hAnsi="Times New Roman" w:eastAsia="宋体" w:cs="Times New Roman"/>
                <w:b w:val="0"/>
                <w:bCs/>
                <w:kern w:val="21"/>
                <w:sz w:val="21"/>
                <w:szCs w:val="21"/>
                <w:lang w:val="en-US" w:eastAsia="zh-CN"/>
              </w:rPr>
              <w:t>1</w:t>
            </w:r>
            <w:r>
              <w:rPr>
                <w:rFonts w:hint="eastAsia" w:ascii="Times New Roman" w:hAnsi="Times New Roman" w:eastAsia="宋体" w:cs="Times New Roman"/>
                <w:b w:val="0"/>
                <w:bCs/>
                <w:kern w:val="21"/>
                <w:sz w:val="21"/>
                <w:szCs w:val="21"/>
              </w:rPr>
              <w:t>（一般排放口）</w:t>
            </w:r>
          </w:p>
        </w:tc>
        <w:tc>
          <w:tcPr>
            <w:tcW w:w="1381" w:type="pct"/>
            <w:tcBorders>
              <w:tl2br w:val="nil"/>
              <w:tr2bl w:val="nil"/>
            </w:tcBorders>
            <w:vAlign w:val="center"/>
          </w:tcPr>
          <w:p w14:paraId="62349030">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r>
              <w:rPr>
                <w:rFonts w:hint="eastAsia" w:ascii="Times New Roman" w:hAnsi="Times New Roman" w:eastAsia="宋体" w:cs="Times New Roman"/>
                <w:b w:val="0"/>
                <w:bCs/>
                <w:kern w:val="21"/>
                <w:sz w:val="21"/>
                <w:szCs w:val="21"/>
                <w:lang w:val="en-US" w:eastAsia="zh-CN"/>
              </w:rPr>
              <w:t>颗粒物</w:t>
            </w:r>
          </w:p>
        </w:tc>
        <w:tc>
          <w:tcPr>
            <w:tcW w:w="2504" w:type="dxa"/>
            <w:tcBorders>
              <w:tl2br w:val="nil"/>
              <w:tr2bl w:val="nil"/>
            </w:tcBorders>
            <w:vAlign w:val="center"/>
          </w:tcPr>
          <w:p w14:paraId="45BE4806">
            <w:pPr>
              <w:pStyle w:val="35"/>
              <w:ind w:firstLine="0" w:firstLineChars="0"/>
              <w:rPr>
                <w:rFonts w:hint="default" w:ascii="Times New Roman" w:hAnsi="Times New Roman" w:eastAsia="宋体" w:cs="Times New Roman"/>
                <w:b w:val="0"/>
                <w:bCs/>
                <w:kern w:val="21"/>
                <w:sz w:val="21"/>
                <w:szCs w:val="21"/>
                <w:lang w:val="en-US" w:eastAsia="zh-CN"/>
              </w:rPr>
            </w:pPr>
            <w:r>
              <w:rPr>
                <w:rFonts w:hint="eastAsia" w:eastAsia="宋体"/>
                <w:sz w:val="21"/>
                <w:szCs w:val="21"/>
                <w:u w:val="none"/>
                <w:vertAlign w:val="baseline"/>
                <w:lang w:val="en-US" w:eastAsia="zh-CN"/>
              </w:rPr>
              <w:t>0.052</w:t>
            </w:r>
          </w:p>
        </w:tc>
      </w:tr>
      <w:tr w14:paraId="5163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08A8B268">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vMerge w:val="restart"/>
            <w:tcBorders>
              <w:tl2br w:val="nil"/>
              <w:tr2bl w:val="nil"/>
            </w:tcBorders>
            <w:vAlign w:val="center"/>
          </w:tcPr>
          <w:p w14:paraId="7F8A735C">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lang w:val="en-US" w:eastAsia="zh-CN"/>
              </w:rPr>
              <w:t>DA002</w:t>
            </w:r>
            <w:r>
              <w:rPr>
                <w:rFonts w:hint="eastAsia" w:ascii="Times New Roman" w:hAnsi="Times New Roman" w:eastAsia="宋体" w:cs="Times New Roman"/>
                <w:b w:val="0"/>
                <w:bCs/>
                <w:kern w:val="21"/>
                <w:sz w:val="21"/>
                <w:szCs w:val="21"/>
              </w:rPr>
              <w:t>（一般排放口）</w:t>
            </w:r>
          </w:p>
        </w:tc>
        <w:tc>
          <w:tcPr>
            <w:tcW w:w="1381" w:type="pct"/>
            <w:tcBorders>
              <w:tl2br w:val="nil"/>
              <w:tr2bl w:val="nil"/>
            </w:tcBorders>
            <w:vAlign w:val="center"/>
          </w:tcPr>
          <w:p w14:paraId="3B77B5E1">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b w:val="0"/>
                <w:bCs/>
                <w:kern w:val="21"/>
                <w:sz w:val="21"/>
                <w:szCs w:val="21"/>
                <w:lang w:val="en-US" w:eastAsia="zh-CN"/>
              </w:rPr>
            </w:pPr>
            <w:r>
              <w:rPr>
                <w:rFonts w:hint="eastAsia" w:ascii="Times New Roman" w:hAnsi="Times New Roman" w:eastAsia="宋体" w:cs="Times New Roman"/>
                <w:b w:val="0"/>
                <w:bCs/>
                <w:kern w:val="21"/>
                <w:sz w:val="21"/>
                <w:szCs w:val="21"/>
                <w:lang w:val="en-US" w:eastAsia="zh-CN"/>
              </w:rPr>
              <w:t>颗粒物</w:t>
            </w:r>
          </w:p>
        </w:tc>
        <w:tc>
          <w:tcPr>
            <w:tcW w:w="2504" w:type="dxa"/>
            <w:tcBorders>
              <w:tl2br w:val="nil"/>
              <w:tr2bl w:val="nil"/>
            </w:tcBorders>
            <w:vAlign w:val="center"/>
          </w:tcPr>
          <w:p w14:paraId="0D25A1A4">
            <w:pPr>
              <w:pStyle w:val="35"/>
              <w:ind w:firstLine="0" w:firstLineChars="0"/>
              <w:rPr>
                <w:rFonts w:hint="default" w:ascii="Times New Roman" w:hAnsi="Times New Roman" w:eastAsia="宋体" w:cs="Times New Roman"/>
                <w:b w:val="0"/>
                <w:bCs/>
                <w:kern w:val="21"/>
                <w:sz w:val="21"/>
                <w:szCs w:val="21"/>
                <w:lang w:val="en-US" w:eastAsia="zh-CN"/>
              </w:rPr>
            </w:pPr>
            <w:r>
              <w:rPr>
                <w:rFonts w:hint="eastAsia"/>
                <w:color w:val="000000" w:themeColor="text1"/>
                <w:sz w:val="21"/>
                <w:szCs w:val="21"/>
                <w:u w:val="none"/>
                <w:lang w:val="en-US" w:eastAsia="zh-CN"/>
                <w14:textFill>
                  <w14:solidFill>
                    <w14:schemeClr w14:val="tx1"/>
                  </w14:solidFill>
                </w14:textFill>
              </w:rPr>
              <w:t>0.209</w:t>
            </w:r>
          </w:p>
        </w:tc>
      </w:tr>
      <w:tr w14:paraId="5E8BC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193EC95D">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vMerge w:val="continue"/>
            <w:tcBorders>
              <w:tl2br w:val="nil"/>
              <w:tr2bl w:val="nil"/>
            </w:tcBorders>
            <w:vAlign w:val="center"/>
          </w:tcPr>
          <w:p w14:paraId="5242BBE5">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p>
        </w:tc>
        <w:tc>
          <w:tcPr>
            <w:tcW w:w="1381" w:type="pct"/>
            <w:tcBorders>
              <w:tl2br w:val="nil"/>
              <w:tr2bl w:val="nil"/>
            </w:tcBorders>
            <w:vAlign w:val="center"/>
          </w:tcPr>
          <w:p w14:paraId="1CD0EDFB">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r>
              <w:rPr>
                <w:rFonts w:hint="eastAsia" w:ascii="Times New Roman" w:hAnsi="Times New Roman" w:eastAsia="宋体" w:cs="Times New Roman"/>
                <w:b w:val="0"/>
                <w:bCs/>
                <w:kern w:val="21"/>
                <w:sz w:val="21"/>
                <w:szCs w:val="21"/>
                <w:lang w:val="en-US" w:eastAsia="zh-CN"/>
              </w:rPr>
              <w:t>非甲烷总烃</w:t>
            </w:r>
          </w:p>
        </w:tc>
        <w:tc>
          <w:tcPr>
            <w:tcW w:w="2504" w:type="dxa"/>
            <w:tcBorders>
              <w:tl2br w:val="nil"/>
              <w:tr2bl w:val="nil"/>
            </w:tcBorders>
            <w:vAlign w:val="center"/>
          </w:tcPr>
          <w:p w14:paraId="39F5519B">
            <w:pPr>
              <w:pStyle w:val="35"/>
              <w:ind w:firstLine="0" w:firstLineChars="0"/>
              <w:rPr>
                <w:rFonts w:hint="default" w:eastAsia="宋体" w:cs="Times New Roman"/>
                <w:b w:val="0"/>
                <w:bCs/>
                <w:kern w:val="21"/>
                <w:sz w:val="21"/>
                <w:szCs w:val="21"/>
                <w:lang w:val="en-US" w:eastAsia="zh-CN"/>
              </w:rPr>
            </w:pPr>
            <w:r>
              <w:rPr>
                <w:rFonts w:hint="eastAsia"/>
                <w:color w:val="000000" w:themeColor="text1"/>
                <w:sz w:val="21"/>
                <w:szCs w:val="21"/>
                <w:u w:val="none"/>
                <w:lang w:val="en-US" w:eastAsia="zh-CN"/>
                <w14:textFill>
                  <w14:solidFill>
                    <w14:schemeClr w14:val="tx1"/>
                  </w14:solidFill>
                </w14:textFill>
              </w:rPr>
              <w:t>0.251</w:t>
            </w:r>
          </w:p>
        </w:tc>
      </w:tr>
      <w:tr w14:paraId="7FF25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1C2F0744">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vMerge w:val="continue"/>
            <w:tcBorders>
              <w:tl2br w:val="nil"/>
              <w:tr2bl w:val="nil"/>
            </w:tcBorders>
            <w:vAlign w:val="center"/>
          </w:tcPr>
          <w:p w14:paraId="65CB539B">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381" w:type="pct"/>
            <w:tcBorders>
              <w:tl2br w:val="nil"/>
              <w:tr2bl w:val="nil"/>
            </w:tcBorders>
            <w:vAlign w:val="center"/>
          </w:tcPr>
          <w:p w14:paraId="276FF246">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r>
              <w:rPr>
                <w:rFonts w:hint="eastAsia" w:ascii="Times New Roman" w:hAnsi="Times New Roman" w:eastAsia="宋体" w:cs="Times New Roman"/>
                <w:b w:val="0"/>
                <w:bCs/>
                <w:kern w:val="21"/>
                <w:sz w:val="21"/>
                <w:szCs w:val="21"/>
                <w:lang w:val="en-US" w:eastAsia="zh-CN"/>
              </w:rPr>
              <w:t>甲醛</w:t>
            </w:r>
          </w:p>
        </w:tc>
        <w:tc>
          <w:tcPr>
            <w:tcW w:w="2504" w:type="dxa"/>
            <w:tcBorders>
              <w:tl2br w:val="nil"/>
              <w:tr2bl w:val="nil"/>
            </w:tcBorders>
            <w:vAlign w:val="center"/>
          </w:tcPr>
          <w:p w14:paraId="1EBDAF3C">
            <w:pPr>
              <w:pStyle w:val="35"/>
              <w:ind w:firstLine="0" w:firstLineChars="0"/>
              <w:rPr>
                <w:rFonts w:hint="default" w:ascii="Times New Roman" w:hAnsi="Times New Roman" w:eastAsia="宋体" w:cs="Times New Roman"/>
                <w:b w:val="0"/>
                <w:bCs/>
                <w:kern w:val="21"/>
                <w:sz w:val="21"/>
                <w:szCs w:val="21"/>
                <w:lang w:val="en-US" w:eastAsia="zh-CN"/>
              </w:rPr>
            </w:pPr>
            <w:r>
              <w:rPr>
                <w:rFonts w:hint="eastAsia"/>
                <w:color w:val="000000" w:themeColor="text1"/>
                <w:sz w:val="21"/>
                <w:szCs w:val="21"/>
                <w:u w:val="none"/>
                <w:lang w:val="en-US" w:eastAsia="zh-CN"/>
                <w14:textFill>
                  <w14:solidFill>
                    <w14:schemeClr w14:val="tx1"/>
                  </w14:solidFill>
                </w14:textFill>
              </w:rPr>
              <w:t>0.016</w:t>
            </w:r>
          </w:p>
        </w:tc>
      </w:tr>
      <w:tr w14:paraId="484C9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1FF9668E">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tcBorders>
              <w:tl2br w:val="nil"/>
              <w:tr2bl w:val="nil"/>
            </w:tcBorders>
            <w:vAlign w:val="center"/>
          </w:tcPr>
          <w:p w14:paraId="3E5BE1E4">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rPr>
              <w:t>DA00</w:t>
            </w:r>
            <w:r>
              <w:rPr>
                <w:rFonts w:hint="eastAsia" w:ascii="Times New Roman" w:hAnsi="Times New Roman" w:eastAsia="宋体" w:cs="Times New Roman"/>
                <w:b w:val="0"/>
                <w:bCs/>
                <w:kern w:val="21"/>
                <w:sz w:val="21"/>
                <w:szCs w:val="21"/>
                <w:lang w:val="en-US" w:eastAsia="zh-CN"/>
              </w:rPr>
              <w:t>3</w:t>
            </w:r>
            <w:r>
              <w:rPr>
                <w:rFonts w:hint="eastAsia" w:ascii="Times New Roman" w:hAnsi="Times New Roman" w:eastAsia="宋体" w:cs="Times New Roman"/>
                <w:b w:val="0"/>
                <w:bCs/>
                <w:kern w:val="21"/>
                <w:sz w:val="21"/>
                <w:szCs w:val="21"/>
              </w:rPr>
              <w:t>（一般排放口）</w:t>
            </w:r>
          </w:p>
        </w:tc>
        <w:tc>
          <w:tcPr>
            <w:tcW w:w="1381" w:type="pct"/>
            <w:tcBorders>
              <w:tl2br w:val="nil"/>
              <w:tr2bl w:val="nil"/>
            </w:tcBorders>
            <w:vAlign w:val="center"/>
          </w:tcPr>
          <w:p w14:paraId="39CC6A46">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lang w:val="en-US" w:eastAsia="zh-CN"/>
              </w:rPr>
              <w:t>颗粒物</w:t>
            </w:r>
          </w:p>
        </w:tc>
        <w:tc>
          <w:tcPr>
            <w:tcW w:w="2504" w:type="dxa"/>
            <w:tcBorders>
              <w:tl2br w:val="nil"/>
              <w:tr2bl w:val="nil"/>
            </w:tcBorders>
            <w:vAlign w:val="center"/>
          </w:tcPr>
          <w:p w14:paraId="4A99AB42">
            <w:pPr>
              <w:pStyle w:val="35"/>
              <w:ind w:firstLine="0" w:firstLineChars="0"/>
              <w:rPr>
                <w:rFonts w:hint="default" w:ascii="Times New Roman" w:hAnsi="Times New Roman" w:eastAsia="宋体" w:cs="Times New Roman"/>
                <w:b w:val="0"/>
                <w:bCs/>
                <w:kern w:val="21"/>
                <w:sz w:val="21"/>
                <w:szCs w:val="21"/>
                <w:lang w:val="en-US" w:eastAsia="zh-CN"/>
              </w:rPr>
            </w:pPr>
            <w:r>
              <w:rPr>
                <w:rFonts w:hint="eastAsia"/>
                <w:color w:val="000000" w:themeColor="text1"/>
                <w:sz w:val="21"/>
                <w:szCs w:val="21"/>
                <w:u w:val="none"/>
                <w:lang w:val="en-US" w:eastAsia="zh-CN"/>
                <w14:textFill>
                  <w14:solidFill>
                    <w14:schemeClr w14:val="tx1"/>
                  </w14:solidFill>
                </w14:textFill>
              </w:rPr>
              <w:t>0.482</w:t>
            </w:r>
          </w:p>
        </w:tc>
      </w:tr>
      <w:tr w14:paraId="326C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770CB4A7">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tcBorders>
              <w:tl2br w:val="nil"/>
              <w:tr2bl w:val="nil"/>
            </w:tcBorders>
            <w:vAlign w:val="center"/>
          </w:tcPr>
          <w:p w14:paraId="31BDFDAA">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rPr>
              <w:t>DA00</w:t>
            </w:r>
            <w:r>
              <w:rPr>
                <w:rFonts w:hint="eastAsia" w:ascii="Times New Roman" w:hAnsi="Times New Roman" w:eastAsia="宋体" w:cs="Times New Roman"/>
                <w:b w:val="0"/>
                <w:bCs/>
                <w:kern w:val="21"/>
                <w:sz w:val="21"/>
                <w:szCs w:val="21"/>
                <w:lang w:val="en-US" w:eastAsia="zh-CN"/>
              </w:rPr>
              <w:t>4</w:t>
            </w:r>
            <w:r>
              <w:rPr>
                <w:rFonts w:hint="eastAsia" w:ascii="Times New Roman" w:hAnsi="Times New Roman" w:eastAsia="宋体" w:cs="Times New Roman"/>
                <w:b w:val="0"/>
                <w:bCs/>
                <w:kern w:val="21"/>
                <w:sz w:val="21"/>
                <w:szCs w:val="21"/>
              </w:rPr>
              <w:t>（一般排放口）</w:t>
            </w:r>
          </w:p>
        </w:tc>
        <w:tc>
          <w:tcPr>
            <w:tcW w:w="1381" w:type="pct"/>
            <w:tcBorders>
              <w:tl2br w:val="nil"/>
              <w:tr2bl w:val="nil"/>
            </w:tcBorders>
            <w:vAlign w:val="center"/>
          </w:tcPr>
          <w:p w14:paraId="6CEA747F">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lang w:val="en-US" w:eastAsia="zh-CN"/>
              </w:rPr>
              <w:t>颗粒物</w:t>
            </w:r>
          </w:p>
        </w:tc>
        <w:tc>
          <w:tcPr>
            <w:tcW w:w="2504" w:type="dxa"/>
            <w:tcBorders>
              <w:tl2br w:val="nil"/>
              <w:tr2bl w:val="nil"/>
            </w:tcBorders>
            <w:vAlign w:val="center"/>
          </w:tcPr>
          <w:p w14:paraId="70469F99">
            <w:pPr>
              <w:pStyle w:val="35"/>
              <w:ind w:firstLine="0" w:firstLineChars="0"/>
              <w:rPr>
                <w:rFonts w:hint="default" w:ascii="Times New Roman" w:hAnsi="Times New Roman" w:eastAsia="宋体" w:cs="Times New Roman"/>
                <w:b w:val="0"/>
                <w:bCs/>
                <w:kern w:val="21"/>
                <w:sz w:val="21"/>
                <w:szCs w:val="21"/>
                <w:lang w:val="en-US" w:eastAsia="zh-CN"/>
              </w:rPr>
            </w:pPr>
            <w:r>
              <w:rPr>
                <w:rFonts w:hint="eastAsia"/>
                <w:color w:val="000000" w:themeColor="text1"/>
                <w:sz w:val="21"/>
                <w:szCs w:val="21"/>
                <w:u w:val="none"/>
                <w:lang w:val="en-US" w:eastAsia="zh-CN"/>
                <w14:textFill>
                  <w14:solidFill>
                    <w14:schemeClr w14:val="tx1"/>
                  </w14:solidFill>
                </w14:textFill>
              </w:rPr>
              <w:t>0.277</w:t>
            </w:r>
          </w:p>
        </w:tc>
      </w:tr>
      <w:tr w14:paraId="76EAC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restart"/>
            <w:tcBorders>
              <w:tl2br w:val="nil"/>
              <w:tr2bl w:val="nil"/>
            </w:tcBorders>
            <w:vAlign w:val="center"/>
          </w:tcPr>
          <w:p w14:paraId="5F6B1FAC">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rPr>
              <w:t>无组织排放源</w:t>
            </w:r>
          </w:p>
        </w:tc>
        <w:tc>
          <w:tcPr>
            <w:tcW w:w="1480" w:type="pct"/>
            <w:vMerge w:val="restart"/>
            <w:tcBorders>
              <w:tl2br w:val="nil"/>
              <w:tr2bl w:val="nil"/>
            </w:tcBorders>
            <w:vAlign w:val="center"/>
          </w:tcPr>
          <w:p w14:paraId="7FF0EA7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Theme="minorEastAsia"/>
                <w:sz w:val="21"/>
                <w:lang w:val="en-US" w:eastAsia="zh-CN"/>
              </w:rPr>
            </w:pPr>
            <w:r>
              <w:rPr>
                <w:rFonts w:hint="eastAsia"/>
                <w:sz w:val="21"/>
                <w:lang w:val="en-US" w:eastAsia="zh-CN"/>
              </w:rPr>
              <w:t>生产车间（MA001）</w:t>
            </w:r>
          </w:p>
        </w:tc>
        <w:tc>
          <w:tcPr>
            <w:tcW w:w="1381" w:type="pct"/>
            <w:tcBorders>
              <w:tl2br w:val="nil"/>
              <w:tr2bl w:val="nil"/>
            </w:tcBorders>
            <w:vAlign w:val="center"/>
          </w:tcPr>
          <w:p w14:paraId="2DE63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bCs/>
                <w:color w:val="000000"/>
                <w:kern w:val="21"/>
                <w:sz w:val="21"/>
                <w:szCs w:val="21"/>
                <w:lang w:val="en-US" w:eastAsia="zh-CN"/>
              </w:rPr>
            </w:pPr>
            <w:r>
              <w:rPr>
                <w:rFonts w:hint="eastAsia" w:ascii="Times New Roman" w:hAnsi="Times New Roman" w:cs="Times New Roman"/>
                <w:b w:val="0"/>
                <w:bCs w:val="0"/>
                <w:color w:val="000000"/>
                <w:spacing w:val="-4"/>
                <w:sz w:val="21"/>
                <w:szCs w:val="21"/>
                <w:u w:val="none"/>
                <w:lang w:val="en-US" w:eastAsia="zh-CN"/>
              </w:rPr>
              <w:t>颗粒物</w:t>
            </w:r>
          </w:p>
        </w:tc>
        <w:tc>
          <w:tcPr>
            <w:tcW w:w="1258" w:type="pct"/>
            <w:tcBorders>
              <w:tl2br w:val="nil"/>
              <w:tr2bl w:val="nil"/>
            </w:tcBorders>
            <w:vAlign w:val="center"/>
          </w:tcPr>
          <w:p w14:paraId="71B3E3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1"/>
                <w:sz w:val="21"/>
                <w:szCs w:val="21"/>
                <w:lang w:val="en-US" w:eastAsia="zh-CN"/>
              </w:rPr>
            </w:pPr>
            <w:r>
              <w:rPr>
                <w:rFonts w:hint="eastAsia" w:ascii="Times New Roman" w:hAnsi="Times New Roman" w:cs="Times New Roman"/>
                <w:b w:val="0"/>
                <w:bCs w:val="0"/>
                <w:color w:val="000000"/>
                <w:spacing w:val="-4"/>
                <w:sz w:val="21"/>
                <w:szCs w:val="21"/>
                <w:u w:val="none"/>
                <w:lang w:val="en-US" w:eastAsia="zh-CN"/>
              </w:rPr>
              <w:t>0.720</w:t>
            </w:r>
          </w:p>
        </w:tc>
      </w:tr>
      <w:tr w14:paraId="0D1E3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20D08271">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vMerge w:val="continue"/>
            <w:tcBorders>
              <w:tl2br w:val="nil"/>
              <w:tr2bl w:val="nil"/>
            </w:tcBorders>
            <w:vAlign w:val="center"/>
          </w:tcPr>
          <w:p w14:paraId="0DD4623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lang w:val="en-US" w:eastAsia="zh-CN"/>
              </w:rPr>
            </w:pPr>
          </w:p>
        </w:tc>
        <w:tc>
          <w:tcPr>
            <w:tcW w:w="1381" w:type="pct"/>
            <w:tcBorders>
              <w:tl2br w:val="nil"/>
              <w:tr2bl w:val="nil"/>
            </w:tcBorders>
            <w:vAlign w:val="center"/>
          </w:tcPr>
          <w:p w14:paraId="5591A5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bCs/>
                <w:color w:val="000000"/>
                <w:kern w:val="21"/>
                <w:sz w:val="21"/>
                <w:szCs w:val="21"/>
                <w:lang w:val="en-US" w:eastAsia="zh-CN"/>
              </w:rPr>
            </w:pPr>
            <w:r>
              <w:rPr>
                <w:rFonts w:hint="eastAsia" w:ascii="Times New Roman" w:hAnsi="Times New Roman" w:cs="Times New Roman"/>
                <w:b w:val="0"/>
                <w:bCs w:val="0"/>
                <w:color w:val="000000"/>
                <w:spacing w:val="-4"/>
                <w:sz w:val="21"/>
                <w:szCs w:val="21"/>
                <w:u w:val="none"/>
                <w:lang w:val="en-US" w:eastAsia="zh-CN"/>
              </w:rPr>
              <w:t>非甲烷总烃</w:t>
            </w:r>
          </w:p>
        </w:tc>
        <w:tc>
          <w:tcPr>
            <w:tcW w:w="2504" w:type="dxa"/>
            <w:tcBorders>
              <w:tl2br w:val="nil"/>
              <w:tr2bl w:val="nil"/>
            </w:tcBorders>
            <w:vAlign w:val="center"/>
          </w:tcPr>
          <w:p w14:paraId="5B8C7D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r>
              <w:rPr>
                <w:rFonts w:hint="eastAsia"/>
                <w:sz w:val="21"/>
                <w:szCs w:val="21"/>
                <w:vertAlign w:val="baseline"/>
                <w:lang w:val="en-US" w:eastAsia="zh-CN"/>
              </w:rPr>
              <w:t>0.558</w:t>
            </w:r>
          </w:p>
        </w:tc>
      </w:tr>
      <w:tr w14:paraId="2AA04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9" w:type="pct"/>
            <w:vMerge w:val="continue"/>
            <w:tcBorders>
              <w:tl2br w:val="nil"/>
              <w:tr2bl w:val="nil"/>
            </w:tcBorders>
            <w:vAlign w:val="center"/>
          </w:tcPr>
          <w:p w14:paraId="5B800596">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p>
        </w:tc>
        <w:tc>
          <w:tcPr>
            <w:tcW w:w="1480" w:type="pct"/>
            <w:vMerge w:val="continue"/>
            <w:tcBorders>
              <w:tl2br w:val="nil"/>
              <w:tr2bl w:val="nil"/>
            </w:tcBorders>
            <w:vAlign w:val="center"/>
          </w:tcPr>
          <w:p w14:paraId="0AE9E93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sz w:val="21"/>
                <w:lang w:val="en-US" w:eastAsia="zh-CN"/>
              </w:rPr>
            </w:pPr>
          </w:p>
        </w:tc>
        <w:tc>
          <w:tcPr>
            <w:tcW w:w="1381" w:type="pct"/>
            <w:tcBorders>
              <w:tl2br w:val="nil"/>
              <w:tr2bl w:val="nil"/>
            </w:tcBorders>
            <w:vAlign w:val="center"/>
          </w:tcPr>
          <w:p w14:paraId="04D92E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bCs/>
                <w:color w:val="000000"/>
                <w:kern w:val="21"/>
                <w:sz w:val="21"/>
                <w:szCs w:val="21"/>
                <w:lang w:val="en-US" w:eastAsia="zh-CN"/>
              </w:rPr>
            </w:pPr>
            <w:r>
              <w:rPr>
                <w:rFonts w:hint="eastAsia" w:ascii="Times New Roman" w:hAnsi="Times New Roman" w:cs="Times New Roman"/>
                <w:b w:val="0"/>
                <w:bCs w:val="0"/>
                <w:color w:val="000000"/>
                <w:spacing w:val="-4"/>
                <w:sz w:val="21"/>
                <w:szCs w:val="21"/>
                <w:u w:val="none"/>
                <w:lang w:val="en-US" w:eastAsia="zh-CN"/>
              </w:rPr>
              <w:t>甲醛</w:t>
            </w:r>
          </w:p>
        </w:tc>
        <w:tc>
          <w:tcPr>
            <w:tcW w:w="2504" w:type="dxa"/>
            <w:tcBorders>
              <w:tl2br w:val="nil"/>
              <w:tr2bl w:val="nil"/>
            </w:tcBorders>
            <w:vAlign w:val="center"/>
          </w:tcPr>
          <w:p w14:paraId="57E0FF87">
            <w:pPr>
              <w:pStyle w:val="33"/>
              <w:keepNext w:val="0"/>
              <w:keepLines w:val="0"/>
              <w:pageBreakBefore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textAlignment w:val="auto"/>
              <w:rPr>
                <w:rFonts w:hint="eastAsia" w:ascii="Times New Roman" w:hAnsi="Times New Roman" w:eastAsia="宋体" w:cs="Times New Roman"/>
                <w:b w:val="0"/>
                <w:bCs/>
                <w:kern w:val="21"/>
                <w:sz w:val="21"/>
                <w:szCs w:val="21"/>
                <w:lang w:val="en-US" w:eastAsia="zh-CN"/>
              </w:rPr>
            </w:pPr>
            <w:r>
              <w:rPr>
                <w:rFonts w:hint="eastAsia"/>
                <w:sz w:val="21"/>
                <w:szCs w:val="21"/>
                <w:vertAlign w:val="baseline"/>
                <w:lang w:val="en-US" w:eastAsia="zh-CN"/>
              </w:rPr>
              <w:t>0.036</w:t>
            </w:r>
          </w:p>
        </w:tc>
      </w:tr>
      <w:tr w14:paraId="305A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9" w:type="pct"/>
            <w:gridSpan w:val="2"/>
            <w:vMerge w:val="restart"/>
            <w:tcBorders>
              <w:tl2br w:val="nil"/>
              <w:tr2bl w:val="nil"/>
            </w:tcBorders>
            <w:vAlign w:val="center"/>
          </w:tcPr>
          <w:p w14:paraId="45BE3B9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rPr>
            </w:pPr>
            <w:r>
              <w:rPr>
                <w:rFonts w:hint="eastAsia"/>
                <w:sz w:val="21"/>
              </w:rPr>
              <w:t>全厂合计</w:t>
            </w:r>
          </w:p>
        </w:tc>
        <w:tc>
          <w:tcPr>
            <w:tcW w:w="1381" w:type="pct"/>
            <w:tcBorders>
              <w:tl2br w:val="nil"/>
              <w:tr2bl w:val="nil"/>
            </w:tcBorders>
            <w:vAlign w:val="center"/>
          </w:tcPr>
          <w:p w14:paraId="7AD2076C">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eastAsia="zh-CN"/>
              </w:rPr>
            </w:pPr>
            <w:r>
              <w:rPr>
                <w:rFonts w:hint="eastAsia" w:ascii="Times New Roman" w:hAnsi="Times New Roman" w:eastAsia="宋体" w:cs="Times New Roman"/>
                <w:b w:val="0"/>
                <w:bCs/>
                <w:kern w:val="21"/>
                <w:sz w:val="21"/>
                <w:szCs w:val="21"/>
                <w:lang w:eastAsia="zh-CN"/>
              </w:rPr>
              <w:t>颗粒物</w:t>
            </w:r>
          </w:p>
        </w:tc>
        <w:tc>
          <w:tcPr>
            <w:tcW w:w="2504" w:type="dxa"/>
            <w:tcBorders>
              <w:tl2br w:val="nil"/>
              <w:tr2bl w:val="nil"/>
            </w:tcBorders>
            <w:vAlign w:val="center"/>
          </w:tcPr>
          <w:p w14:paraId="1B8F2504">
            <w:pPr>
              <w:keepNext w:val="0"/>
              <w:keepLines w:val="0"/>
              <w:pageBreakBefore w:val="0"/>
              <w:widowControl/>
              <w:suppressLineNumbers w:val="0"/>
              <w:kinsoku/>
              <w:wordWrap/>
              <w:overflowPunct/>
              <w:topLinePunct w:val="0"/>
              <w:bidi w:val="0"/>
              <w:adjustRightInd/>
              <w:snapToGrid/>
              <w:spacing w:line="240" w:lineRule="auto"/>
              <w:ind w:firstLine="0" w:firstLineChars="0"/>
              <w:jc w:val="center"/>
              <w:textAlignment w:val="center"/>
              <w:rPr>
                <w:rFonts w:hint="default" w:ascii="Times New Roman" w:hAnsi="Times New Roman" w:eastAsia="宋体" w:cs="Times New Roman"/>
                <w:b w:val="0"/>
                <w:bCs/>
                <w:kern w:val="21"/>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1.74</w:t>
            </w:r>
          </w:p>
        </w:tc>
      </w:tr>
      <w:tr w14:paraId="76151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9" w:type="pct"/>
            <w:gridSpan w:val="2"/>
            <w:vMerge w:val="continue"/>
            <w:tcBorders>
              <w:tl2br w:val="nil"/>
              <w:tr2bl w:val="nil"/>
            </w:tcBorders>
            <w:vAlign w:val="center"/>
          </w:tcPr>
          <w:p w14:paraId="41069B8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sz w:val="21"/>
              </w:rPr>
            </w:pPr>
          </w:p>
        </w:tc>
        <w:tc>
          <w:tcPr>
            <w:tcW w:w="1381" w:type="pct"/>
            <w:tcBorders>
              <w:tl2br w:val="nil"/>
              <w:tr2bl w:val="nil"/>
            </w:tcBorders>
            <w:vAlign w:val="center"/>
          </w:tcPr>
          <w:p w14:paraId="45C9DA5E">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rPr>
            </w:pPr>
            <w:r>
              <w:rPr>
                <w:rFonts w:hint="eastAsia" w:ascii="Times New Roman" w:hAnsi="Times New Roman" w:eastAsia="宋体" w:cs="Times New Roman"/>
                <w:b w:val="0"/>
                <w:bCs/>
                <w:kern w:val="21"/>
                <w:sz w:val="21"/>
                <w:szCs w:val="21"/>
                <w:lang w:val="en-US" w:eastAsia="zh-CN"/>
              </w:rPr>
              <w:t>非甲烷总烃</w:t>
            </w:r>
          </w:p>
        </w:tc>
        <w:tc>
          <w:tcPr>
            <w:tcW w:w="2504" w:type="dxa"/>
            <w:tcBorders>
              <w:tl2br w:val="nil"/>
              <w:tr2bl w:val="nil"/>
            </w:tcBorders>
            <w:vAlign w:val="center"/>
          </w:tcPr>
          <w:p w14:paraId="3682C7C0">
            <w:pPr>
              <w:keepNext w:val="0"/>
              <w:keepLines w:val="0"/>
              <w:pageBreakBefore w:val="0"/>
              <w:widowControl/>
              <w:suppressLineNumbers w:val="0"/>
              <w:kinsoku/>
              <w:wordWrap/>
              <w:overflowPunct/>
              <w:topLinePunct w:val="0"/>
              <w:bidi w:val="0"/>
              <w:adjustRightInd/>
              <w:snapToGrid/>
              <w:spacing w:line="240" w:lineRule="auto"/>
              <w:ind w:firstLine="0" w:firstLineChars="0"/>
              <w:jc w:val="center"/>
              <w:textAlignment w:val="center"/>
              <w:rPr>
                <w:rFonts w:hint="default" w:ascii="Times New Roman" w:hAnsi="Times New Roman" w:eastAsia="宋体" w:cs="Times New Roman"/>
                <w:b w:val="0"/>
                <w:bCs/>
                <w:kern w:val="21"/>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0.809</w:t>
            </w:r>
          </w:p>
        </w:tc>
      </w:tr>
      <w:tr w14:paraId="13596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9" w:type="pct"/>
            <w:gridSpan w:val="2"/>
            <w:vMerge w:val="continue"/>
            <w:tcBorders>
              <w:tl2br w:val="nil"/>
              <w:tr2bl w:val="nil"/>
            </w:tcBorders>
            <w:vAlign w:val="center"/>
          </w:tcPr>
          <w:p w14:paraId="64BEA38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sz w:val="21"/>
              </w:rPr>
            </w:pPr>
          </w:p>
        </w:tc>
        <w:tc>
          <w:tcPr>
            <w:tcW w:w="1381" w:type="pct"/>
            <w:tcBorders>
              <w:tl2br w:val="nil"/>
              <w:tr2bl w:val="nil"/>
            </w:tcBorders>
            <w:vAlign w:val="center"/>
          </w:tcPr>
          <w:p w14:paraId="29C1655E">
            <w:pPr>
              <w:pStyle w:val="47"/>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val="0"/>
                <w:bCs/>
                <w:kern w:val="21"/>
                <w:sz w:val="21"/>
                <w:szCs w:val="21"/>
                <w:lang w:val="en-US" w:eastAsia="zh-CN"/>
              </w:rPr>
            </w:pPr>
            <w:r>
              <w:rPr>
                <w:rFonts w:hint="eastAsia" w:ascii="Times New Roman" w:hAnsi="Times New Roman" w:eastAsia="宋体" w:cs="Times New Roman"/>
                <w:b w:val="0"/>
                <w:bCs/>
                <w:kern w:val="21"/>
                <w:sz w:val="21"/>
                <w:szCs w:val="21"/>
                <w:lang w:val="en-US" w:eastAsia="zh-CN"/>
              </w:rPr>
              <w:t>甲醛</w:t>
            </w:r>
          </w:p>
        </w:tc>
        <w:tc>
          <w:tcPr>
            <w:tcW w:w="2504" w:type="dxa"/>
            <w:tcBorders>
              <w:tl2br w:val="nil"/>
              <w:tr2bl w:val="nil"/>
            </w:tcBorders>
            <w:vAlign w:val="center"/>
          </w:tcPr>
          <w:p w14:paraId="22B91309">
            <w:pPr>
              <w:keepNext w:val="0"/>
              <w:keepLines w:val="0"/>
              <w:pageBreakBefore w:val="0"/>
              <w:widowControl/>
              <w:suppressLineNumbers w:val="0"/>
              <w:kinsoku/>
              <w:wordWrap/>
              <w:overflowPunct/>
              <w:topLinePunct w:val="0"/>
              <w:bidi w:val="0"/>
              <w:adjustRightInd/>
              <w:snapToGrid/>
              <w:spacing w:line="240" w:lineRule="auto"/>
              <w:ind w:firstLine="0" w:firstLineChars="0"/>
              <w:jc w:val="center"/>
              <w:textAlignment w:val="center"/>
              <w:rPr>
                <w:rFonts w:hint="default" w:ascii="Times New Roman" w:hAnsi="Times New Roman" w:eastAsia="宋体" w:cs="Times New Roman"/>
                <w:b w:val="0"/>
                <w:bCs/>
                <w:kern w:val="21"/>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0.052</w:t>
            </w:r>
          </w:p>
        </w:tc>
      </w:tr>
    </w:tbl>
    <w:p w14:paraId="026BC1F7">
      <w:pPr>
        <w:pStyle w:val="3"/>
        <w:rPr>
          <w:color w:val="000000"/>
        </w:rPr>
      </w:pPr>
      <w:bookmarkStart w:id="278" w:name="_Toc161600347"/>
      <w:bookmarkEnd w:id="278"/>
      <w:bookmarkStart w:id="279" w:name="_Toc161600416"/>
      <w:bookmarkEnd w:id="279"/>
      <w:bookmarkStart w:id="280" w:name="_Toc161600345"/>
      <w:bookmarkEnd w:id="280"/>
      <w:bookmarkStart w:id="281" w:name="_Toc161600339"/>
      <w:bookmarkEnd w:id="281"/>
      <w:bookmarkStart w:id="282" w:name="_Toc161600362"/>
      <w:bookmarkEnd w:id="282"/>
      <w:bookmarkStart w:id="283" w:name="_Toc161600481"/>
      <w:bookmarkEnd w:id="283"/>
      <w:bookmarkStart w:id="284" w:name="_Toc161600341"/>
      <w:bookmarkEnd w:id="284"/>
      <w:bookmarkStart w:id="285" w:name="_Toc161600344"/>
      <w:bookmarkEnd w:id="285"/>
      <w:bookmarkStart w:id="286" w:name="_Toc161600483"/>
      <w:bookmarkEnd w:id="286"/>
      <w:bookmarkStart w:id="287" w:name="_Toc161600386"/>
      <w:bookmarkEnd w:id="287"/>
      <w:bookmarkStart w:id="288" w:name="_Toc161600340"/>
      <w:bookmarkEnd w:id="288"/>
      <w:bookmarkStart w:id="289" w:name="_Toc161600328"/>
      <w:bookmarkEnd w:id="289"/>
      <w:bookmarkStart w:id="290" w:name="_Toc161600358"/>
      <w:bookmarkEnd w:id="290"/>
      <w:bookmarkStart w:id="291" w:name="_Toc161600428"/>
      <w:bookmarkEnd w:id="291"/>
      <w:bookmarkStart w:id="292" w:name="_Toc161600482"/>
      <w:bookmarkEnd w:id="292"/>
      <w:bookmarkStart w:id="293" w:name="_Toc161600346"/>
      <w:bookmarkEnd w:id="293"/>
      <w:bookmarkStart w:id="294" w:name="_Toc161600440"/>
      <w:bookmarkEnd w:id="294"/>
      <w:bookmarkStart w:id="295" w:name="_Toc161600343"/>
      <w:bookmarkEnd w:id="295"/>
      <w:bookmarkStart w:id="296" w:name="_Toc161600398"/>
      <w:bookmarkEnd w:id="296"/>
      <w:bookmarkStart w:id="297" w:name="_Toc161600352"/>
      <w:bookmarkEnd w:id="297"/>
      <w:bookmarkStart w:id="298" w:name="_Toc161600451"/>
      <w:bookmarkEnd w:id="298"/>
      <w:bookmarkStart w:id="299" w:name="_Toc161600329"/>
      <w:bookmarkEnd w:id="299"/>
      <w:bookmarkStart w:id="300" w:name="_Toc161600452"/>
      <w:bookmarkEnd w:id="300"/>
      <w:bookmarkStart w:id="301" w:name="_Toc161600338"/>
      <w:bookmarkEnd w:id="301"/>
      <w:bookmarkStart w:id="302" w:name="_Toc161600342"/>
      <w:bookmarkEnd w:id="302"/>
      <w:bookmarkStart w:id="303" w:name="_Toc17713"/>
      <w:bookmarkStart w:id="304" w:name="_Toc20372"/>
      <w:bookmarkStart w:id="305" w:name="_Toc20114"/>
      <w:bookmarkStart w:id="306" w:name="_Toc10057"/>
      <w:bookmarkStart w:id="307" w:name="_Toc107498425"/>
      <w:bookmarkStart w:id="308" w:name="_Toc161600485"/>
      <w:bookmarkStart w:id="309" w:name="_Toc29993"/>
      <w:bookmarkStart w:id="310" w:name="_Toc10265"/>
      <w:bookmarkStart w:id="311" w:name="_Toc30949"/>
      <w:bookmarkStart w:id="312" w:name="_Toc9092"/>
      <w:bookmarkStart w:id="313" w:name="_Toc108012770"/>
      <w:bookmarkStart w:id="314" w:name="_Toc30042"/>
      <w:r>
        <w:rPr>
          <w:rFonts w:hint="eastAsia"/>
          <w:color w:val="000000"/>
        </w:rPr>
        <w:t>4</w:t>
      </w:r>
      <w:r>
        <w:rPr>
          <w:color w:val="000000"/>
        </w:rPr>
        <w:t>.</w:t>
      </w:r>
      <w:r>
        <w:rPr>
          <w:rFonts w:hint="eastAsia"/>
          <w:color w:val="000000"/>
          <w:lang w:val="en-US" w:eastAsia="zh-CN"/>
        </w:rPr>
        <w:t>6</w:t>
      </w:r>
      <w:r>
        <w:rPr>
          <w:color w:val="000000"/>
        </w:rPr>
        <w:t>.环境影响评价结论</w:t>
      </w:r>
      <w:bookmarkEnd w:id="303"/>
      <w:bookmarkEnd w:id="304"/>
      <w:bookmarkEnd w:id="305"/>
      <w:bookmarkEnd w:id="306"/>
      <w:bookmarkEnd w:id="307"/>
      <w:bookmarkEnd w:id="308"/>
      <w:bookmarkEnd w:id="309"/>
      <w:bookmarkEnd w:id="310"/>
      <w:bookmarkEnd w:id="311"/>
      <w:bookmarkEnd w:id="312"/>
      <w:bookmarkEnd w:id="313"/>
      <w:bookmarkEnd w:id="314"/>
    </w:p>
    <w:p w14:paraId="05F7D6A2">
      <w:pPr>
        <w:spacing w:line="360" w:lineRule="auto"/>
        <w:ind w:firstLine="480" w:firstLineChars="200"/>
        <w:rPr>
          <w:sz w:val="24"/>
        </w:rPr>
      </w:pPr>
      <w:bookmarkStart w:id="315" w:name="OLE_LINK200"/>
      <w:bookmarkStart w:id="316" w:name="OLE_LINK201"/>
      <w:r>
        <w:rPr>
          <w:sz w:val="24"/>
        </w:rPr>
        <w:t>运营期主要大气环境影响主要为颗粒物、</w:t>
      </w:r>
      <w:r>
        <w:rPr>
          <w:rFonts w:hint="eastAsia"/>
          <w:sz w:val="24"/>
        </w:rPr>
        <w:t>非甲烷总烃</w:t>
      </w:r>
      <w:r>
        <w:rPr>
          <w:sz w:val="24"/>
        </w:rPr>
        <w:t>、甲醛，下风向最大占标率7.835%，Pmax＜10%，根据《环境影响评价技术导则 大气环境》（HJ 2.2-2018），大气评价等级为二级。</w:t>
      </w:r>
      <w:r>
        <w:rPr>
          <w:rFonts w:hint="eastAsia"/>
          <w:sz w:val="24"/>
        </w:rPr>
        <w:t>项目正常排放条件下各污染物最大落地浓度点所在地的环境质量均可达到标准要求，项目建设对区域环境质量影响较小。有组织排放源下风向厂界浓度值均小于标准限值，可实现厂界达标排放。综上所述，项目建成后对周围大气环境影响较小。</w:t>
      </w:r>
    </w:p>
    <w:bookmarkEnd w:id="315"/>
    <w:bookmarkEnd w:id="316"/>
    <w:p w14:paraId="76E8FB01">
      <w:pPr>
        <w:spacing w:line="360" w:lineRule="auto"/>
        <w:ind w:firstLine="480" w:firstLineChars="200"/>
        <w:rPr>
          <w:rFonts w:hint="eastAsia"/>
          <w:sz w:val="24"/>
        </w:rPr>
        <w:sectPr>
          <w:pgSz w:w="11905" w:h="16838"/>
          <w:pgMar w:top="1440" w:right="1083" w:bottom="1440" w:left="1083" w:header="850" w:footer="992" w:gutter="0"/>
          <w:cols w:space="720" w:num="1"/>
          <w:titlePg/>
          <w:docGrid w:type="lines" w:linePitch="318" w:charSpace="0"/>
        </w:sectPr>
      </w:pPr>
    </w:p>
    <w:p w14:paraId="45813C91">
      <w:pPr>
        <w:pStyle w:val="2"/>
        <w:jc w:val="center"/>
      </w:pPr>
      <w:bookmarkStart w:id="317" w:name="_Toc22308"/>
      <w:bookmarkStart w:id="318" w:name="_Toc2044"/>
      <w:bookmarkStart w:id="319" w:name="_Toc6060"/>
      <w:bookmarkStart w:id="320" w:name="_Toc161600512"/>
      <w:bookmarkStart w:id="321" w:name="_Toc10993"/>
      <w:bookmarkStart w:id="322" w:name="_Toc10365"/>
      <w:r>
        <w:rPr>
          <w:rFonts w:hint="eastAsia"/>
        </w:rPr>
        <w:t xml:space="preserve">第5章 </w:t>
      </w:r>
      <w:r>
        <w:t>环境保护措施及可行性论证</w:t>
      </w:r>
      <w:bookmarkEnd w:id="317"/>
      <w:bookmarkEnd w:id="318"/>
      <w:bookmarkEnd w:id="319"/>
      <w:bookmarkEnd w:id="320"/>
      <w:bookmarkEnd w:id="321"/>
      <w:bookmarkEnd w:id="322"/>
    </w:p>
    <w:p w14:paraId="7AC0C959">
      <w:pPr>
        <w:pStyle w:val="3"/>
      </w:pPr>
      <w:bookmarkStart w:id="323" w:name="_Toc10958"/>
      <w:bookmarkStart w:id="324" w:name="_Toc161600513"/>
      <w:bookmarkStart w:id="325" w:name="_Toc22611"/>
      <w:bookmarkStart w:id="326" w:name="_Toc27347"/>
      <w:r>
        <w:rPr>
          <w:rFonts w:hint="eastAsia"/>
        </w:rPr>
        <w:t>5</w:t>
      </w:r>
      <w:r>
        <w:t>.1.废气防治措施概述</w:t>
      </w:r>
      <w:bookmarkEnd w:id="323"/>
      <w:bookmarkEnd w:id="324"/>
      <w:bookmarkEnd w:id="325"/>
      <w:bookmarkEnd w:id="326"/>
    </w:p>
    <w:p w14:paraId="1AFBB582">
      <w:pPr>
        <w:spacing w:line="440" w:lineRule="exact"/>
        <w:ind w:firstLine="480" w:firstLineChars="200"/>
        <w:rPr>
          <w:snapToGrid w:val="0"/>
          <w:color w:val="000000"/>
          <w:kern w:val="0"/>
          <w:sz w:val="24"/>
        </w:rPr>
      </w:pPr>
      <w:r>
        <w:rPr>
          <w:snapToGrid w:val="0"/>
          <w:color w:val="000000"/>
          <w:kern w:val="0"/>
          <w:sz w:val="24"/>
        </w:rPr>
        <w:t>项目废气主要为</w:t>
      </w:r>
      <w:r>
        <w:rPr>
          <w:rFonts w:hint="eastAsia"/>
          <w:color w:val="000000"/>
          <w:sz w:val="24"/>
          <w:lang w:val="en-US" w:eastAsia="zh-CN"/>
        </w:rPr>
        <w:t>中频炉熔炼工序</w:t>
      </w:r>
      <w:r>
        <w:rPr>
          <w:color w:val="000000"/>
          <w:sz w:val="24"/>
        </w:rPr>
        <w:t>产生的</w:t>
      </w:r>
      <w:r>
        <w:rPr>
          <w:color w:val="000000"/>
          <w:sz w:val="24"/>
          <w:lang w:val="en-GB"/>
        </w:rPr>
        <w:t>废气</w:t>
      </w:r>
      <w:r>
        <w:rPr>
          <w:rFonts w:hint="eastAsia"/>
          <w:color w:val="000000"/>
          <w:sz w:val="24"/>
          <w:lang w:val="en-GB" w:eastAsia="zh-CN"/>
        </w:rPr>
        <w:t>、混砂、造型/浇注、工件清理和不合格品回用切割工序</w:t>
      </w:r>
      <w:r>
        <w:rPr>
          <w:rFonts w:ascii="Times New Roman" w:hAnsi="Times New Roman"/>
          <w:color w:val="000000"/>
          <w:sz w:val="24"/>
          <w:szCs w:val="24"/>
        </w:rPr>
        <w:t>产生的</w:t>
      </w:r>
      <w:r>
        <w:rPr>
          <w:rFonts w:ascii="Times New Roman" w:hAnsi="Times New Roman"/>
          <w:color w:val="000000"/>
          <w:sz w:val="24"/>
          <w:szCs w:val="24"/>
          <w:lang w:val="en-GB"/>
        </w:rPr>
        <w:t>废气</w:t>
      </w:r>
      <w:r>
        <w:rPr>
          <w:rFonts w:hint="eastAsia" w:ascii="Times New Roman" w:hAnsi="Times New Roman"/>
          <w:color w:val="000000"/>
          <w:sz w:val="24"/>
          <w:szCs w:val="24"/>
          <w:lang w:val="en-GB" w:eastAsia="zh-CN"/>
        </w:rPr>
        <w:t>、</w:t>
      </w:r>
      <w:r>
        <w:rPr>
          <w:rFonts w:hint="eastAsia"/>
          <w:lang w:val="en-US" w:eastAsia="zh-CN"/>
        </w:rPr>
        <w:t>落砂及砂处理工序</w:t>
      </w:r>
      <w:r>
        <w:rPr>
          <w:rFonts w:hint="eastAsia"/>
          <w:bCs/>
          <w:color w:val="000000"/>
          <w:spacing w:val="-10"/>
          <w:sz w:val="24"/>
          <w:szCs w:val="24"/>
          <w:lang w:val="en-US" w:eastAsia="zh-CN"/>
        </w:rPr>
        <w:t>产生的废气</w:t>
      </w:r>
      <w:r>
        <w:rPr>
          <w:rFonts w:hint="eastAsia"/>
          <w:color w:val="000000"/>
          <w:sz w:val="24"/>
          <w:lang w:val="en-US" w:eastAsia="zh-CN"/>
        </w:rPr>
        <w:t>以及抛丸机</w:t>
      </w:r>
      <w:r>
        <w:rPr>
          <w:bCs/>
          <w:color w:val="000000"/>
          <w:spacing w:val="-10"/>
          <w:sz w:val="24"/>
        </w:rPr>
        <w:t>抛丸工序</w:t>
      </w:r>
      <w:r>
        <w:rPr>
          <w:rFonts w:hint="eastAsia"/>
          <w:bCs/>
          <w:color w:val="000000"/>
          <w:spacing w:val="-10"/>
          <w:sz w:val="24"/>
          <w:szCs w:val="24"/>
          <w:lang w:val="en-US" w:eastAsia="zh-CN"/>
        </w:rPr>
        <w:t>产生的废气</w:t>
      </w:r>
      <w:r>
        <w:rPr>
          <w:rFonts w:hint="eastAsia"/>
          <w:snapToGrid w:val="0"/>
          <w:color w:val="000000"/>
          <w:kern w:val="0"/>
          <w:sz w:val="24"/>
        </w:rPr>
        <w:t>；</w:t>
      </w:r>
      <w:r>
        <w:rPr>
          <w:snapToGrid w:val="0"/>
          <w:color w:val="000000"/>
          <w:kern w:val="0"/>
          <w:sz w:val="24"/>
        </w:rPr>
        <w:t>项目有组织废气收集及治理措施详见表5.1-1。</w:t>
      </w:r>
    </w:p>
    <w:p w14:paraId="406D25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表5.1-1  项目有组织废气收集及治理措施一览表</w:t>
      </w:r>
    </w:p>
    <w:tbl>
      <w:tblPr>
        <w:tblStyle w:val="28"/>
        <w:tblW w:w="497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2008"/>
        <w:gridCol w:w="1307"/>
        <w:gridCol w:w="2490"/>
        <w:gridCol w:w="2147"/>
        <w:gridCol w:w="1328"/>
      </w:tblGrid>
      <w:tr w14:paraId="2B743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29" w:type="pct"/>
            <w:gridSpan w:val="2"/>
            <w:noWrap w:val="0"/>
            <w:vAlign w:val="center"/>
          </w:tcPr>
          <w:p w14:paraId="04FCEC1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产生工序</w:t>
            </w:r>
          </w:p>
        </w:tc>
        <w:tc>
          <w:tcPr>
            <w:tcW w:w="659" w:type="pct"/>
            <w:noWrap w:val="0"/>
            <w:vAlign w:val="center"/>
          </w:tcPr>
          <w:p w14:paraId="067E108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污染物名称</w:t>
            </w:r>
          </w:p>
        </w:tc>
        <w:tc>
          <w:tcPr>
            <w:tcW w:w="1256" w:type="pct"/>
            <w:noWrap w:val="0"/>
            <w:vAlign w:val="center"/>
          </w:tcPr>
          <w:p w14:paraId="0D7D54D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收集方式</w:t>
            </w:r>
          </w:p>
        </w:tc>
        <w:tc>
          <w:tcPr>
            <w:tcW w:w="1083" w:type="pct"/>
            <w:noWrap w:val="0"/>
            <w:vAlign w:val="center"/>
          </w:tcPr>
          <w:p w14:paraId="390440E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处理措施</w:t>
            </w:r>
          </w:p>
        </w:tc>
        <w:tc>
          <w:tcPr>
            <w:tcW w:w="670" w:type="pct"/>
            <w:noWrap w:val="0"/>
            <w:vAlign w:val="center"/>
          </w:tcPr>
          <w:p w14:paraId="3CD88B7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排气筒编号</w:t>
            </w:r>
          </w:p>
        </w:tc>
      </w:tr>
      <w:tr w14:paraId="200EA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restart"/>
            <w:noWrap w:val="0"/>
            <w:vAlign w:val="center"/>
          </w:tcPr>
          <w:p w14:paraId="7C77CD2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color w:val="000000"/>
              </w:rPr>
              <w:t>生产车间</w:t>
            </w:r>
          </w:p>
        </w:tc>
        <w:tc>
          <w:tcPr>
            <w:tcW w:w="1012" w:type="pct"/>
            <w:noWrap w:val="0"/>
            <w:vAlign w:val="center"/>
          </w:tcPr>
          <w:p w14:paraId="71150F4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熔炼</w:t>
            </w:r>
            <w:r>
              <w:rPr>
                <w:rFonts w:hint="eastAsia"/>
                <w:color w:val="000000"/>
              </w:rPr>
              <w:t>工序</w:t>
            </w:r>
          </w:p>
        </w:tc>
        <w:tc>
          <w:tcPr>
            <w:tcW w:w="659" w:type="pct"/>
            <w:noWrap w:val="0"/>
            <w:vAlign w:val="center"/>
          </w:tcPr>
          <w:p w14:paraId="6A0564D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256" w:type="pct"/>
            <w:noWrap w:val="0"/>
            <w:vAlign w:val="center"/>
          </w:tcPr>
          <w:p w14:paraId="4D6E07E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default" w:eastAsia="宋体"/>
                <w:color w:val="000000"/>
                <w:lang w:val="en-US" w:eastAsia="zh-CN"/>
              </w:rPr>
            </w:pPr>
            <w:r>
              <w:rPr>
                <w:rFonts w:hint="eastAsia"/>
                <w:color w:val="000000"/>
                <w:lang w:val="en-US" w:eastAsia="zh-CN"/>
              </w:rPr>
              <w:t>集气罩</w:t>
            </w:r>
          </w:p>
        </w:tc>
        <w:tc>
          <w:tcPr>
            <w:tcW w:w="1083" w:type="pct"/>
            <w:noWrap w:val="0"/>
            <w:vAlign w:val="center"/>
          </w:tcPr>
          <w:p w14:paraId="4094CC1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default" w:ascii="Times New Roman" w:hAnsi="Times New Roman" w:cs="Times New Roman"/>
                <w:bCs/>
                <w:color w:val="000000"/>
                <w:spacing w:val="-10"/>
                <w:sz w:val="21"/>
                <w:szCs w:val="21"/>
              </w:rPr>
              <w:t>1套耐高温袋式除尘</w:t>
            </w:r>
            <w:r>
              <w:rPr>
                <w:color w:val="000000"/>
              </w:rPr>
              <w:t>+15m高排气筒</w:t>
            </w:r>
          </w:p>
        </w:tc>
        <w:tc>
          <w:tcPr>
            <w:tcW w:w="670" w:type="pct"/>
            <w:noWrap w:val="0"/>
            <w:vAlign w:val="center"/>
          </w:tcPr>
          <w:p w14:paraId="2BDA752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DA001</w:t>
            </w:r>
          </w:p>
        </w:tc>
      </w:tr>
      <w:tr w14:paraId="421B2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continue"/>
            <w:noWrap w:val="0"/>
            <w:vAlign w:val="center"/>
          </w:tcPr>
          <w:p w14:paraId="3F0B126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12" w:type="pct"/>
            <w:vMerge w:val="restart"/>
            <w:noWrap w:val="0"/>
            <w:vAlign w:val="center"/>
          </w:tcPr>
          <w:p w14:paraId="50EF9AE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color w:val="000000"/>
                <w:lang w:val="en-US" w:eastAsia="zh-CN"/>
              </w:rPr>
              <w:t>混砂、造型/浇注、工件清理和不合格品回用切割工序</w:t>
            </w:r>
          </w:p>
        </w:tc>
        <w:tc>
          <w:tcPr>
            <w:tcW w:w="659" w:type="pct"/>
            <w:noWrap w:val="0"/>
            <w:vAlign w:val="center"/>
          </w:tcPr>
          <w:p w14:paraId="793A946E">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color w:val="000000"/>
              </w:rPr>
              <w:t>颗粒物</w:t>
            </w:r>
          </w:p>
        </w:tc>
        <w:tc>
          <w:tcPr>
            <w:tcW w:w="1256" w:type="pct"/>
            <w:vMerge w:val="restart"/>
            <w:noWrap w:val="0"/>
            <w:vAlign w:val="center"/>
          </w:tcPr>
          <w:p w14:paraId="6A827A1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color w:val="000000"/>
                <w:lang w:val="en-US" w:eastAsia="zh-CN"/>
              </w:rPr>
              <w:t>混砂机</w:t>
            </w:r>
            <w:r>
              <w:rPr>
                <w:rFonts w:hint="default"/>
                <w:color w:val="000000"/>
                <w:lang w:val="en-US" w:eastAsia="zh-CN"/>
              </w:rPr>
              <w:t>为全封闭设备，</w:t>
            </w:r>
            <w:r>
              <w:rPr>
                <w:rFonts w:hint="eastAsia"/>
                <w:color w:val="000000"/>
                <w:lang w:val="en-US" w:eastAsia="zh-CN"/>
              </w:rPr>
              <w:t>造型/浇注区、打磨区和切割区设置集气罩</w:t>
            </w:r>
          </w:p>
        </w:tc>
        <w:tc>
          <w:tcPr>
            <w:tcW w:w="1083" w:type="pct"/>
            <w:vMerge w:val="restart"/>
            <w:noWrap w:val="0"/>
            <w:vAlign w:val="center"/>
          </w:tcPr>
          <w:p w14:paraId="47D2480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ascii="Times New Roman" w:hAnsi="Times New Roman" w:cs="Times New Roman"/>
                <w:bCs/>
                <w:color w:val="000000"/>
                <w:spacing w:val="-10"/>
                <w:sz w:val="21"/>
                <w:szCs w:val="21"/>
                <w:lang w:val="en-US" w:eastAsia="zh-CN"/>
              </w:rPr>
              <w:t>1</w:t>
            </w:r>
            <w:r>
              <w:rPr>
                <w:rFonts w:hint="default" w:ascii="Times New Roman" w:hAnsi="Times New Roman" w:cs="Times New Roman"/>
                <w:bCs/>
                <w:color w:val="000000"/>
                <w:spacing w:val="-10"/>
                <w:sz w:val="21"/>
                <w:szCs w:val="21"/>
              </w:rPr>
              <w:t>套</w:t>
            </w:r>
            <w:r>
              <w:rPr>
                <w:rFonts w:hint="default" w:ascii="Times New Roman" w:hAnsi="Times New Roman" w:cs="Times New Roman"/>
                <w:bCs/>
                <w:color w:val="000000"/>
                <w:spacing w:val="-10"/>
                <w:sz w:val="21"/>
                <w:szCs w:val="21"/>
                <w:lang w:val="en-US" w:eastAsia="zh-CN"/>
              </w:rPr>
              <w:t>袋式除尘器+催化燃烧（RCO）</w:t>
            </w:r>
            <w:r>
              <w:rPr>
                <w:color w:val="000000"/>
              </w:rPr>
              <w:t>+15m高排气筒</w:t>
            </w:r>
          </w:p>
        </w:tc>
        <w:tc>
          <w:tcPr>
            <w:tcW w:w="670" w:type="pct"/>
            <w:vMerge w:val="restart"/>
            <w:noWrap w:val="0"/>
            <w:vAlign w:val="center"/>
          </w:tcPr>
          <w:p w14:paraId="15DFE85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DA002</w:t>
            </w:r>
          </w:p>
        </w:tc>
      </w:tr>
      <w:tr w14:paraId="309B9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continue"/>
            <w:noWrap w:val="0"/>
            <w:vAlign w:val="center"/>
          </w:tcPr>
          <w:p w14:paraId="0A58CC8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12" w:type="pct"/>
            <w:vMerge w:val="continue"/>
            <w:noWrap w:val="0"/>
            <w:vAlign w:val="center"/>
          </w:tcPr>
          <w:p w14:paraId="05F68E9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59" w:type="pct"/>
            <w:noWrap w:val="0"/>
            <w:vAlign w:val="center"/>
          </w:tcPr>
          <w:p w14:paraId="32DF82F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color w:val="000000"/>
              </w:rPr>
              <w:t>NMHC</w:t>
            </w:r>
          </w:p>
        </w:tc>
        <w:tc>
          <w:tcPr>
            <w:tcW w:w="1256" w:type="pct"/>
            <w:vMerge w:val="continue"/>
            <w:noWrap w:val="0"/>
            <w:vAlign w:val="center"/>
          </w:tcPr>
          <w:p w14:paraId="04D8B15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83" w:type="pct"/>
            <w:vMerge w:val="continue"/>
            <w:noWrap w:val="0"/>
            <w:vAlign w:val="center"/>
          </w:tcPr>
          <w:p w14:paraId="08EB54C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0" w:type="pct"/>
            <w:vMerge w:val="continue"/>
            <w:noWrap w:val="0"/>
            <w:vAlign w:val="center"/>
          </w:tcPr>
          <w:p w14:paraId="2540F2C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r>
      <w:tr w14:paraId="1D1F5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continue"/>
            <w:noWrap w:val="0"/>
            <w:vAlign w:val="center"/>
          </w:tcPr>
          <w:p w14:paraId="43A8313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12" w:type="pct"/>
            <w:vMerge w:val="continue"/>
            <w:noWrap w:val="0"/>
            <w:vAlign w:val="center"/>
          </w:tcPr>
          <w:p w14:paraId="5E8CBE6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59" w:type="pct"/>
            <w:noWrap w:val="0"/>
            <w:vAlign w:val="center"/>
          </w:tcPr>
          <w:p w14:paraId="7FD70B70">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rFonts w:hint="eastAsia"/>
                <w:color w:val="000000"/>
              </w:rPr>
              <w:t>甲醛</w:t>
            </w:r>
          </w:p>
        </w:tc>
        <w:tc>
          <w:tcPr>
            <w:tcW w:w="1256" w:type="pct"/>
            <w:vMerge w:val="continue"/>
            <w:noWrap w:val="0"/>
            <w:vAlign w:val="center"/>
          </w:tcPr>
          <w:p w14:paraId="35819C5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83" w:type="pct"/>
            <w:vMerge w:val="continue"/>
            <w:noWrap w:val="0"/>
            <w:vAlign w:val="center"/>
          </w:tcPr>
          <w:p w14:paraId="282D3FD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0" w:type="pct"/>
            <w:vMerge w:val="continue"/>
            <w:noWrap w:val="0"/>
            <w:vAlign w:val="center"/>
          </w:tcPr>
          <w:p w14:paraId="7BC212E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r>
      <w:tr w14:paraId="5B535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continue"/>
            <w:noWrap w:val="0"/>
            <w:vAlign w:val="center"/>
          </w:tcPr>
          <w:p w14:paraId="296899A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12" w:type="pct"/>
            <w:noWrap w:val="0"/>
            <w:vAlign w:val="center"/>
          </w:tcPr>
          <w:p w14:paraId="6EA9CC8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color w:val="000000"/>
              </w:rPr>
            </w:pPr>
            <w:r>
              <w:rPr>
                <w:rFonts w:hint="eastAsia"/>
                <w:color w:val="000000"/>
                <w:lang w:val="en-US" w:eastAsia="zh-CN"/>
              </w:rPr>
              <w:t>落砂及砂处理工序</w:t>
            </w:r>
          </w:p>
        </w:tc>
        <w:tc>
          <w:tcPr>
            <w:tcW w:w="659" w:type="pct"/>
            <w:noWrap w:val="0"/>
            <w:vAlign w:val="center"/>
          </w:tcPr>
          <w:p w14:paraId="18EF79C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256" w:type="pct"/>
            <w:noWrap w:val="0"/>
            <w:vAlign w:val="center"/>
          </w:tcPr>
          <w:p w14:paraId="28DA2C4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color w:val="000000"/>
                <w:lang w:val="en-US" w:eastAsia="zh-CN"/>
              </w:rPr>
              <w:t>落砂机设置集气罩，砂处理系统为全封闭设备</w:t>
            </w:r>
          </w:p>
        </w:tc>
        <w:tc>
          <w:tcPr>
            <w:tcW w:w="1083" w:type="pct"/>
            <w:noWrap w:val="0"/>
            <w:vAlign w:val="center"/>
          </w:tcPr>
          <w:p w14:paraId="5A54EA7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ascii="Times New Roman" w:hAnsi="Times New Roman" w:cs="Times New Roman"/>
                <w:bCs/>
                <w:color w:val="000000"/>
                <w:spacing w:val="-10"/>
                <w:sz w:val="21"/>
                <w:szCs w:val="21"/>
                <w:lang w:val="en-US" w:eastAsia="zh-CN"/>
              </w:rPr>
              <w:t>落砂及砂处理工序分别1</w:t>
            </w:r>
            <w:r>
              <w:rPr>
                <w:rFonts w:hint="default" w:ascii="Times New Roman" w:hAnsi="Times New Roman" w:cs="Times New Roman"/>
                <w:bCs/>
                <w:color w:val="000000"/>
                <w:spacing w:val="-10"/>
                <w:sz w:val="21"/>
                <w:szCs w:val="21"/>
              </w:rPr>
              <w:t>套</w:t>
            </w:r>
            <w:r>
              <w:rPr>
                <w:color w:val="000000"/>
              </w:rPr>
              <w:t>袋式除尘器</w:t>
            </w:r>
            <w:r>
              <w:rPr>
                <w:rFonts w:hint="eastAsia"/>
                <w:color w:val="000000"/>
                <w:lang w:val="en-US" w:eastAsia="zh-CN"/>
              </w:rPr>
              <w:t>处理后经1根</w:t>
            </w:r>
            <w:r>
              <w:rPr>
                <w:color w:val="000000"/>
              </w:rPr>
              <w:t>15m高排气筒</w:t>
            </w:r>
          </w:p>
        </w:tc>
        <w:tc>
          <w:tcPr>
            <w:tcW w:w="670" w:type="pct"/>
            <w:noWrap w:val="0"/>
            <w:vAlign w:val="center"/>
          </w:tcPr>
          <w:p w14:paraId="7CE2A45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color w:val="000000"/>
              </w:rPr>
            </w:pPr>
            <w:r>
              <w:rPr>
                <w:color w:val="000000"/>
              </w:rPr>
              <w:t>DA00</w:t>
            </w:r>
            <w:r>
              <w:rPr>
                <w:rFonts w:hint="eastAsia"/>
                <w:color w:val="000000"/>
              </w:rPr>
              <w:t>3</w:t>
            </w:r>
          </w:p>
        </w:tc>
      </w:tr>
      <w:tr w14:paraId="57BD6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vMerge w:val="continue"/>
            <w:noWrap w:val="0"/>
            <w:vAlign w:val="center"/>
          </w:tcPr>
          <w:p w14:paraId="33C4789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12" w:type="pct"/>
            <w:noWrap w:val="0"/>
            <w:vAlign w:val="center"/>
          </w:tcPr>
          <w:p w14:paraId="5E8E7FF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color w:val="000000"/>
              </w:rPr>
            </w:pPr>
            <w:r>
              <w:rPr>
                <w:rFonts w:hint="eastAsia"/>
                <w:color w:val="000000"/>
              </w:rPr>
              <w:t>抛丸工序</w:t>
            </w:r>
          </w:p>
        </w:tc>
        <w:tc>
          <w:tcPr>
            <w:tcW w:w="659" w:type="pct"/>
            <w:noWrap w:val="0"/>
            <w:vAlign w:val="center"/>
          </w:tcPr>
          <w:p w14:paraId="7FFD715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256" w:type="pct"/>
            <w:noWrap w:val="0"/>
            <w:vAlign w:val="center"/>
          </w:tcPr>
          <w:p w14:paraId="25ECFC8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设备自带密闭集尘器</w:t>
            </w:r>
          </w:p>
        </w:tc>
        <w:tc>
          <w:tcPr>
            <w:tcW w:w="1083" w:type="pct"/>
            <w:noWrap w:val="0"/>
            <w:vAlign w:val="center"/>
          </w:tcPr>
          <w:p w14:paraId="3C61477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ascii="Times New Roman" w:hAnsi="Times New Roman" w:cs="Times New Roman"/>
                <w:bCs/>
                <w:color w:val="000000"/>
                <w:spacing w:val="-10"/>
                <w:sz w:val="21"/>
                <w:szCs w:val="21"/>
                <w:lang w:val="en-US" w:eastAsia="zh-CN"/>
              </w:rPr>
              <w:t>经设备自带1</w:t>
            </w:r>
            <w:r>
              <w:rPr>
                <w:rFonts w:hint="default" w:ascii="Times New Roman" w:hAnsi="Times New Roman" w:cs="Times New Roman"/>
                <w:bCs/>
                <w:color w:val="000000"/>
                <w:spacing w:val="-10"/>
                <w:sz w:val="21"/>
                <w:szCs w:val="21"/>
              </w:rPr>
              <w:t>套</w:t>
            </w:r>
            <w:r>
              <w:rPr>
                <w:color w:val="000000"/>
              </w:rPr>
              <w:t>袋式除尘器+15m高排气筒</w:t>
            </w:r>
          </w:p>
        </w:tc>
        <w:tc>
          <w:tcPr>
            <w:tcW w:w="670" w:type="pct"/>
            <w:noWrap w:val="0"/>
            <w:vAlign w:val="center"/>
          </w:tcPr>
          <w:p w14:paraId="67FC8F1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color w:val="000000"/>
              </w:rPr>
            </w:pPr>
            <w:r>
              <w:rPr>
                <w:color w:val="000000"/>
              </w:rPr>
              <w:t>DA00</w:t>
            </w:r>
            <w:r>
              <w:rPr>
                <w:rFonts w:hint="eastAsia"/>
                <w:color w:val="000000"/>
              </w:rPr>
              <w:t>4</w:t>
            </w:r>
          </w:p>
        </w:tc>
      </w:tr>
    </w:tbl>
    <w:p w14:paraId="797AC7C0">
      <w:pPr>
        <w:pStyle w:val="3"/>
        <w:rPr>
          <w:color w:val="000000"/>
        </w:rPr>
      </w:pPr>
      <w:bookmarkStart w:id="327" w:name="_Toc161600515"/>
      <w:bookmarkEnd w:id="327"/>
      <w:bookmarkStart w:id="328" w:name="_Toc161600555"/>
      <w:bookmarkEnd w:id="328"/>
      <w:bookmarkStart w:id="329" w:name="_Toc161600556"/>
      <w:bookmarkEnd w:id="329"/>
      <w:bookmarkStart w:id="330" w:name="_Toc161600514"/>
      <w:bookmarkEnd w:id="330"/>
      <w:bookmarkStart w:id="331" w:name="_Toc161600516"/>
      <w:bookmarkEnd w:id="331"/>
      <w:bookmarkStart w:id="332" w:name="_Toc161600554"/>
      <w:bookmarkEnd w:id="332"/>
      <w:bookmarkStart w:id="333" w:name="_Toc161600553"/>
      <w:bookmarkEnd w:id="333"/>
      <w:bookmarkStart w:id="334" w:name="_Toc4016"/>
      <w:bookmarkStart w:id="335" w:name="_Toc18784"/>
      <w:bookmarkStart w:id="336" w:name="_Toc161600557"/>
      <w:bookmarkStart w:id="337" w:name="_Toc19067"/>
      <w:r>
        <w:rPr>
          <w:rFonts w:hint="eastAsia"/>
          <w:color w:val="000000"/>
        </w:rPr>
        <w:t>5</w:t>
      </w:r>
      <w:r>
        <w:rPr>
          <w:color w:val="000000"/>
        </w:rPr>
        <w:t>.2.有组织废气防治措施可行性及达标分析</w:t>
      </w:r>
      <w:bookmarkEnd w:id="334"/>
      <w:bookmarkEnd w:id="335"/>
      <w:bookmarkEnd w:id="336"/>
      <w:bookmarkEnd w:id="337"/>
    </w:p>
    <w:p w14:paraId="79940CE1">
      <w:pPr>
        <w:spacing w:line="440" w:lineRule="exact"/>
        <w:ind w:firstLine="480" w:firstLineChars="200"/>
        <w:rPr>
          <w:snapToGrid w:val="0"/>
          <w:color w:val="000000"/>
          <w:kern w:val="0"/>
          <w:sz w:val="24"/>
        </w:rPr>
      </w:pPr>
      <w:r>
        <w:rPr>
          <w:snapToGrid w:val="0"/>
          <w:color w:val="000000"/>
          <w:kern w:val="0"/>
          <w:sz w:val="24"/>
        </w:rPr>
        <w:t>据《排污许可证申请与核发技术规范 金属铸造工业》（HJ1115-2020）以及</w:t>
      </w:r>
      <w:bookmarkStart w:id="338" w:name="OLE_LINK107"/>
      <w:bookmarkStart w:id="339" w:name="OLE_LINK110"/>
      <w:r>
        <w:rPr>
          <w:snapToGrid w:val="0"/>
          <w:color w:val="000000"/>
          <w:kern w:val="0"/>
          <w:sz w:val="24"/>
        </w:rPr>
        <w:t>《</w:t>
      </w:r>
      <w:bookmarkStart w:id="340" w:name="OLE_LINK104"/>
      <w:bookmarkStart w:id="341" w:name="OLE_LINK106"/>
      <w:bookmarkStart w:id="342" w:name="OLE_LINK105"/>
      <w:r>
        <w:rPr>
          <w:snapToGrid w:val="0"/>
          <w:color w:val="000000"/>
          <w:kern w:val="0"/>
          <w:sz w:val="24"/>
        </w:rPr>
        <w:t>铸造工业大气污染防治可行技术指南</w:t>
      </w:r>
      <w:bookmarkEnd w:id="340"/>
      <w:r>
        <w:rPr>
          <w:snapToGrid w:val="0"/>
          <w:color w:val="000000"/>
          <w:kern w:val="0"/>
          <w:sz w:val="24"/>
        </w:rPr>
        <w:t>》（HJ1292-2023）</w:t>
      </w:r>
      <w:bookmarkEnd w:id="341"/>
      <w:bookmarkEnd w:id="342"/>
      <w:r>
        <w:rPr>
          <w:snapToGrid w:val="0"/>
          <w:color w:val="000000"/>
          <w:kern w:val="0"/>
          <w:sz w:val="24"/>
        </w:rPr>
        <w:t>、</w:t>
      </w:r>
      <w:bookmarkEnd w:id="338"/>
      <w:bookmarkEnd w:id="339"/>
      <w:r>
        <w:rPr>
          <w:rFonts w:hint="eastAsia"/>
          <w:snapToGrid w:val="0"/>
          <w:color w:val="000000"/>
          <w:kern w:val="0"/>
          <w:sz w:val="24"/>
        </w:rPr>
        <w:t>《铸造工业大气污染防治技术规范》（DB41/T2388-2023）</w:t>
      </w:r>
      <w:r>
        <w:rPr>
          <w:snapToGrid w:val="0"/>
          <w:color w:val="000000"/>
          <w:kern w:val="0"/>
          <w:sz w:val="24"/>
        </w:rPr>
        <w:t>要求，项目大气污染防治措施为可行技术。</w:t>
      </w:r>
    </w:p>
    <w:p w14:paraId="46FB600D">
      <w:pPr>
        <w:pStyle w:val="32"/>
        <w:spacing w:line="440" w:lineRule="exact"/>
        <w:rPr>
          <w:color w:val="000000"/>
          <w:spacing w:val="0"/>
          <w:szCs w:val="24"/>
        </w:rPr>
      </w:pPr>
      <w:r>
        <w:rPr>
          <w:color w:val="000000"/>
          <w:spacing w:val="0"/>
          <w:szCs w:val="24"/>
        </w:rPr>
        <w:t>表5.2-1  大气污染防治措施可行性分析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3"/>
        <w:gridCol w:w="1239"/>
        <w:gridCol w:w="1060"/>
        <w:gridCol w:w="3079"/>
        <w:gridCol w:w="2113"/>
        <w:gridCol w:w="1261"/>
      </w:tblGrid>
      <w:tr w14:paraId="087EE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32" w:type="pct"/>
            <w:noWrap w:val="0"/>
            <w:tcMar>
              <w:top w:w="28" w:type="dxa"/>
              <w:left w:w="28" w:type="dxa"/>
              <w:bottom w:w="28" w:type="dxa"/>
              <w:right w:w="28" w:type="dxa"/>
            </w:tcMar>
            <w:vAlign w:val="center"/>
          </w:tcPr>
          <w:p w14:paraId="17C9DB5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排放口</w:t>
            </w:r>
          </w:p>
        </w:tc>
        <w:tc>
          <w:tcPr>
            <w:tcW w:w="632" w:type="pct"/>
            <w:noWrap w:val="0"/>
            <w:tcMar>
              <w:top w:w="28" w:type="dxa"/>
              <w:left w:w="28" w:type="dxa"/>
              <w:bottom w:w="28" w:type="dxa"/>
              <w:right w:w="28" w:type="dxa"/>
            </w:tcMar>
            <w:vAlign w:val="center"/>
          </w:tcPr>
          <w:p w14:paraId="15934BF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污染源工段</w:t>
            </w:r>
          </w:p>
        </w:tc>
        <w:tc>
          <w:tcPr>
            <w:tcW w:w="541" w:type="pct"/>
            <w:noWrap w:val="0"/>
            <w:tcMar>
              <w:top w:w="28" w:type="dxa"/>
              <w:left w:w="28" w:type="dxa"/>
              <w:bottom w:w="28" w:type="dxa"/>
              <w:right w:w="28" w:type="dxa"/>
            </w:tcMar>
            <w:vAlign w:val="center"/>
          </w:tcPr>
          <w:p w14:paraId="562F3A5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主要污染物</w:t>
            </w:r>
          </w:p>
        </w:tc>
        <w:tc>
          <w:tcPr>
            <w:tcW w:w="1571" w:type="pct"/>
            <w:noWrap w:val="0"/>
            <w:tcMar>
              <w:top w:w="28" w:type="dxa"/>
              <w:left w:w="28" w:type="dxa"/>
              <w:bottom w:w="28" w:type="dxa"/>
              <w:right w:w="28" w:type="dxa"/>
            </w:tcMar>
            <w:vAlign w:val="center"/>
          </w:tcPr>
          <w:p w14:paraId="01B1B23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可行技术</w:t>
            </w:r>
          </w:p>
        </w:tc>
        <w:tc>
          <w:tcPr>
            <w:tcW w:w="1078" w:type="pct"/>
            <w:noWrap w:val="0"/>
            <w:tcMar>
              <w:top w:w="28" w:type="dxa"/>
              <w:left w:w="28" w:type="dxa"/>
              <w:bottom w:w="28" w:type="dxa"/>
              <w:right w:w="28" w:type="dxa"/>
            </w:tcMar>
            <w:vAlign w:val="center"/>
          </w:tcPr>
          <w:p w14:paraId="768B923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项目采用技术</w:t>
            </w:r>
          </w:p>
        </w:tc>
        <w:tc>
          <w:tcPr>
            <w:tcW w:w="643" w:type="pct"/>
            <w:noWrap w:val="0"/>
            <w:tcMar>
              <w:top w:w="28" w:type="dxa"/>
              <w:left w:w="28" w:type="dxa"/>
              <w:bottom w:w="28" w:type="dxa"/>
              <w:right w:w="28" w:type="dxa"/>
            </w:tcMar>
            <w:vAlign w:val="center"/>
          </w:tcPr>
          <w:p w14:paraId="54DDC4D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可行性分析</w:t>
            </w:r>
          </w:p>
        </w:tc>
      </w:tr>
      <w:tr w14:paraId="3F12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noWrap w:val="0"/>
            <w:tcMar>
              <w:top w:w="28" w:type="dxa"/>
              <w:left w:w="28" w:type="dxa"/>
              <w:bottom w:w="28" w:type="dxa"/>
              <w:right w:w="28" w:type="dxa"/>
            </w:tcMar>
            <w:vAlign w:val="center"/>
          </w:tcPr>
          <w:p w14:paraId="138DF0F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DA001</w:t>
            </w:r>
          </w:p>
        </w:tc>
        <w:tc>
          <w:tcPr>
            <w:tcW w:w="632" w:type="pct"/>
            <w:noWrap w:val="0"/>
            <w:tcMar>
              <w:top w:w="28" w:type="dxa"/>
              <w:left w:w="28" w:type="dxa"/>
              <w:bottom w:w="28" w:type="dxa"/>
              <w:right w:w="28" w:type="dxa"/>
            </w:tcMar>
            <w:vAlign w:val="center"/>
          </w:tcPr>
          <w:p w14:paraId="2F48BC3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熔炼</w:t>
            </w:r>
            <w:r>
              <w:rPr>
                <w:rFonts w:hint="eastAsia"/>
                <w:color w:val="000000"/>
              </w:rPr>
              <w:t>工序</w:t>
            </w:r>
          </w:p>
        </w:tc>
        <w:tc>
          <w:tcPr>
            <w:tcW w:w="541" w:type="pct"/>
            <w:noWrap w:val="0"/>
            <w:tcMar>
              <w:top w:w="28" w:type="dxa"/>
              <w:left w:w="28" w:type="dxa"/>
              <w:bottom w:w="28" w:type="dxa"/>
              <w:right w:w="28" w:type="dxa"/>
            </w:tcMar>
            <w:vAlign w:val="center"/>
          </w:tcPr>
          <w:p w14:paraId="071A0F8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571" w:type="pct"/>
            <w:noWrap w:val="0"/>
            <w:tcMar>
              <w:top w:w="28" w:type="dxa"/>
              <w:left w:w="28" w:type="dxa"/>
              <w:bottom w:w="28" w:type="dxa"/>
              <w:right w:w="28" w:type="dxa"/>
            </w:tcMar>
            <w:vAlign w:val="center"/>
          </w:tcPr>
          <w:p w14:paraId="6239414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旋风除尘技术、袋式除尘技术、滤筒除尘技术、湿式除尘技术</w:t>
            </w:r>
          </w:p>
        </w:tc>
        <w:tc>
          <w:tcPr>
            <w:tcW w:w="1078" w:type="pct"/>
            <w:noWrap w:val="0"/>
            <w:tcMar>
              <w:top w:w="28" w:type="dxa"/>
              <w:left w:w="28" w:type="dxa"/>
              <w:bottom w:w="28" w:type="dxa"/>
              <w:right w:w="28" w:type="dxa"/>
            </w:tcMar>
            <w:vAlign w:val="center"/>
          </w:tcPr>
          <w:p w14:paraId="5CC879A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color w:val="000000"/>
                <w:lang w:eastAsia="zh-CN"/>
              </w:rPr>
            </w:pPr>
            <w:r>
              <w:rPr>
                <w:rFonts w:hint="default" w:ascii="Times New Roman" w:hAnsi="Times New Roman" w:cs="Times New Roman"/>
                <w:bCs/>
                <w:color w:val="000000"/>
                <w:spacing w:val="-10"/>
                <w:sz w:val="21"/>
                <w:szCs w:val="21"/>
              </w:rPr>
              <w:t>耐高温袋式除尘</w:t>
            </w:r>
            <w:r>
              <w:rPr>
                <w:rFonts w:hint="eastAsia"/>
                <w:color w:val="000000"/>
                <w:lang w:val="en-US" w:eastAsia="zh-CN"/>
              </w:rPr>
              <w:t>器</w:t>
            </w:r>
          </w:p>
        </w:tc>
        <w:tc>
          <w:tcPr>
            <w:tcW w:w="643" w:type="pct"/>
            <w:noWrap w:val="0"/>
            <w:tcMar>
              <w:top w:w="28" w:type="dxa"/>
              <w:left w:w="28" w:type="dxa"/>
              <w:bottom w:w="28" w:type="dxa"/>
              <w:right w:w="28" w:type="dxa"/>
            </w:tcMar>
            <w:vAlign w:val="center"/>
          </w:tcPr>
          <w:p w14:paraId="5906800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废气治理工艺可行</w:t>
            </w:r>
          </w:p>
        </w:tc>
      </w:tr>
      <w:tr w14:paraId="1C5DE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vMerge w:val="restart"/>
            <w:noWrap w:val="0"/>
            <w:tcMar>
              <w:top w:w="28" w:type="dxa"/>
              <w:left w:w="28" w:type="dxa"/>
              <w:bottom w:w="28" w:type="dxa"/>
              <w:right w:w="28" w:type="dxa"/>
            </w:tcMar>
            <w:vAlign w:val="center"/>
          </w:tcPr>
          <w:p w14:paraId="3F346A0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DA002</w:t>
            </w:r>
          </w:p>
        </w:tc>
        <w:tc>
          <w:tcPr>
            <w:tcW w:w="632" w:type="pct"/>
            <w:vMerge w:val="restart"/>
            <w:noWrap w:val="0"/>
            <w:tcMar>
              <w:top w:w="28" w:type="dxa"/>
              <w:left w:w="28" w:type="dxa"/>
              <w:bottom w:w="28" w:type="dxa"/>
              <w:right w:w="28" w:type="dxa"/>
            </w:tcMar>
            <w:vAlign w:val="center"/>
          </w:tcPr>
          <w:p w14:paraId="67147E2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eastAsia"/>
                <w:color w:val="000000"/>
                <w:lang w:val="en-US" w:eastAsia="zh-CN"/>
              </w:rPr>
              <w:t>混砂、造型/浇注、工件清理和不合格品回用切割工序</w:t>
            </w:r>
          </w:p>
        </w:tc>
        <w:tc>
          <w:tcPr>
            <w:tcW w:w="541" w:type="pct"/>
            <w:noWrap w:val="0"/>
            <w:tcMar>
              <w:top w:w="28" w:type="dxa"/>
              <w:left w:w="28" w:type="dxa"/>
              <w:bottom w:w="28" w:type="dxa"/>
              <w:right w:w="28" w:type="dxa"/>
            </w:tcMar>
            <w:vAlign w:val="center"/>
          </w:tcPr>
          <w:p w14:paraId="357FADDF">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color w:val="000000"/>
              </w:rPr>
              <w:t>颗粒物</w:t>
            </w:r>
          </w:p>
        </w:tc>
        <w:tc>
          <w:tcPr>
            <w:tcW w:w="1571" w:type="pct"/>
            <w:noWrap w:val="0"/>
            <w:tcMar>
              <w:top w:w="28" w:type="dxa"/>
              <w:left w:w="28" w:type="dxa"/>
              <w:bottom w:w="28" w:type="dxa"/>
              <w:right w:w="28" w:type="dxa"/>
            </w:tcMar>
            <w:vAlign w:val="center"/>
          </w:tcPr>
          <w:p w14:paraId="7D88D2A3">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color w:val="000000"/>
              </w:rPr>
              <w:t>旋风除尘技术、袋式除尘技术、滤筒除尘技术、湿式除尘技术</w:t>
            </w:r>
          </w:p>
        </w:tc>
        <w:tc>
          <w:tcPr>
            <w:tcW w:w="1078" w:type="pct"/>
            <w:vMerge w:val="restart"/>
            <w:noWrap w:val="0"/>
            <w:tcMar>
              <w:top w:w="28" w:type="dxa"/>
              <w:left w:w="28" w:type="dxa"/>
              <w:bottom w:w="28" w:type="dxa"/>
              <w:right w:w="28" w:type="dxa"/>
            </w:tcMar>
            <w:vAlign w:val="center"/>
          </w:tcPr>
          <w:p w14:paraId="771B146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rFonts w:hint="default" w:ascii="Times New Roman" w:hAnsi="Times New Roman" w:cs="Times New Roman"/>
                <w:bCs/>
                <w:color w:val="000000"/>
                <w:spacing w:val="-10"/>
                <w:sz w:val="21"/>
                <w:szCs w:val="21"/>
                <w:lang w:val="en-US" w:eastAsia="zh-CN"/>
              </w:rPr>
              <w:t>袋式除尘器+催化燃烧（RCO）</w:t>
            </w:r>
            <w:r>
              <w:rPr>
                <w:color w:val="000000"/>
                <w:lang w:val="en-GB"/>
              </w:rPr>
              <w:t>装置</w:t>
            </w:r>
          </w:p>
        </w:tc>
        <w:tc>
          <w:tcPr>
            <w:tcW w:w="643" w:type="pct"/>
            <w:vMerge w:val="restart"/>
            <w:noWrap w:val="0"/>
            <w:tcMar>
              <w:top w:w="28" w:type="dxa"/>
              <w:left w:w="28" w:type="dxa"/>
              <w:bottom w:w="28" w:type="dxa"/>
              <w:right w:w="28" w:type="dxa"/>
            </w:tcMar>
            <w:vAlign w:val="center"/>
          </w:tcPr>
          <w:p w14:paraId="3C55751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废气治理工艺可行</w:t>
            </w:r>
          </w:p>
        </w:tc>
      </w:tr>
      <w:tr w14:paraId="1CFC0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vMerge w:val="continue"/>
            <w:noWrap w:val="0"/>
            <w:tcMar>
              <w:top w:w="28" w:type="dxa"/>
              <w:left w:w="28" w:type="dxa"/>
              <w:bottom w:w="28" w:type="dxa"/>
              <w:right w:w="28" w:type="dxa"/>
            </w:tcMar>
            <w:vAlign w:val="center"/>
          </w:tcPr>
          <w:p w14:paraId="719EDC8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32" w:type="pct"/>
            <w:vMerge w:val="continue"/>
            <w:noWrap w:val="0"/>
            <w:tcMar>
              <w:top w:w="28" w:type="dxa"/>
              <w:left w:w="28" w:type="dxa"/>
              <w:bottom w:w="28" w:type="dxa"/>
              <w:right w:w="28" w:type="dxa"/>
            </w:tcMar>
            <w:vAlign w:val="center"/>
          </w:tcPr>
          <w:p w14:paraId="2DB1094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541" w:type="pct"/>
            <w:noWrap w:val="0"/>
            <w:tcMar>
              <w:top w:w="28" w:type="dxa"/>
              <w:left w:w="28" w:type="dxa"/>
              <w:bottom w:w="28" w:type="dxa"/>
              <w:right w:w="28" w:type="dxa"/>
            </w:tcMar>
            <w:vAlign w:val="center"/>
          </w:tcPr>
          <w:p w14:paraId="05E1971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color w:val="000000"/>
              </w:rPr>
              <w:t>NMHC</w:t>
            </w:r>
          </w:p>
        </w:tc>
        <w:tc>
          <w:tcPr>
            <w:tcW w:w="1571" w:type="pct"/>
            <w:vMerge w:val="restart"/>
            <w:noWrap w:val="0"/>
            <w:tcMar>
              <w:top w:w="28" w:type="dxa"/>
              <w:left w:w="28" w:type="dxa"/>
              <w:bottom w:w="28" w:type="dxa"/>
              <w:right w:w="28" w:type="dxa"/>
            </w:tcMar>
            <w:vAlign w:val="center"/>
          </w:tcPr>
          <w:p w14:paraId="7189F2B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吸附（活性炭、分子筛等）技术、燃烧技术、吸收技术</w:t>
            </w:r>
          </w:p>
        </w:tc>
        <w:tc>
          <w:tcPr>
            <w:tcW w:w="1078" w:type="pct"/>
            <w:vMerge w:val="continue"/>
            <w:noWrap w:val="0"/>
            <w:tcMar>
              <w:top w:w="28" w:type="dxa"/>
              <w:left w:w="28" w:type="dxa"/>
              <w:bottom w:w="28" w:type="dxa"/>
              <w:right w:w="28" w:type="dxa"/>
            </w:tcMar>
            <w:vAlign w:val="center"/>
          </w:tcPr>
          <w:p w14:paraId="5E77572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43" w:type="pct"/>
            <w:vMerge w:val="continue"/>
            <w:noWrap w:val="0"/>
            <w:tcMar>
              <w:top w:w="28" w:type="dxa"/>
              <w:left w:w="28" w:type="dxa"/>
              <w:bottom w:w="28" w:type="dxa"/>
              <w:right w:w="28" w:type="dxa"/>
            </w:tcMar>
            <w:vAlign w:val="center"/>
          </w:tcPr>
          <w:p w14:paraId="33C6826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r>
      <w:tr w14:paraId="201F4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vMerge w:val="continue"/>
            <w:noWrap w:val="0"/>
            <w:tcMar>
              <w:top w:w="28" w:type="dxa"/>
              <w:left w:w="28" w:type="dxa"/>
              <w:bottom w:w="28" w:type="dxa"/>
              <w:right w:w="28" w:type="dxa"/>
            </w:tcMar>
            <w:vAlign w:val="center"/>
          </w:tcPr>
          <w:p w14:paraId="1B3F875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32" w:type="pct"/>
            <w:vMerge w:val="continue"/>
            <w:noWrap w:val="0"/>
            <w:tcMar>
              <w:top w:w="28" w:type="dxa"/>
              <w:left w:w="28" w:type="dxa"/>
              <w:bottom w:w="28" w:type="dxa"/>
              <w:right w:w="28" w:type="dxa"/>
            </w:tcMar>
            <w:vAlign w:val="center"/>
          </w:tcPr>
          <w:p w14:paraId="6B0DFFA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541" w:type="pct"/>
            <w:noWrap w:val="0"/>
            <w:tcMar>
              <w:top w:w="28" w:type="dxa"/>
              <w:left w:w="28" w:type="dxa"/>
              <w:bottom w:w="28" w:type="dxa"/>
              <w:right w:w="28" w:type="dxa"/>
            </w:tcMar>
            <w:vAlign w:val="center"/>
          </w:tcPr>
          <w:p w14:paraId="1742A617">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rFonts w:hint="eastAsia"/>
                <w:color w:val="000000"/>
              </w:rPr>
              <w:t>甲醛</w:t>
            </w:r>
          </w:p>
        </w:tc>
        <w:tc>
          <w:tcPr>
            <w:tcW w:w="1571" w:type="pct"/>
            <w:vMerge w:val="continue"/>
            <w:noWrap w:val="0"/>
            <w:tcMar>
              <w:top w:w="28" w:type="dxa"/>
              <w:left w:w="28" w:type="dxa"/>
              <w:bottom w:w="28" w:type="dxa"/>
              <w:right w:w="28" w:type="dxa"/>
            </w:tcMar>
            <w:vAlign w:val="center"/>
          </w:tcPr>
          <w:p w14:paraId="2A1E955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1078" w:type="pct"/>
            <w:vMerge w:val="continue"/>
            <w:noWrap w:val="0"/>
            <w:tcMar>
              <w:top w:w="28" w:type="dxa"/>
              <w:left w:w="28" w:type="dxa"/>
              <w:bottom w:w="28" w:type="dxa"/>
              <w:right w:w="28" w:type="dxa"/>
            </w:tcMar>
            <w:vAlign w:val="center"/>
          </w:tcPr>
          <w:p w14:paraId="4F23DB4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43" w:type="pct"/>
            <w:vMerge w:val="continue"/>
            <w:noWrap w:val="0"/>
            <w:tcMar>
              <w:top w:w="28" w:type="dxa"/>
              <w:left w:w="28" w:type="dxa"/>
              <w:bottom w:w="28" w:type="dxa"/>
              <w:right w:w="28" w:type="dxa"/>
            </w:tcMar>
            <w:vAlign w:val="center"/>
          </w:tcPr>
          <w:p w14:paraId="27763E6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r>
      <w:tr w14:paraId="34FCC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noWrap w:val="0"/>
            <w:vAlign w:val="center"/>
          </w:tcPr>
          <w:p w14:paraId="337C269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bookmarkStart w:id="343" w:name="_Toc161600558"/>
            <w:bookmarkEnd w:id="343"/>
            <w:bookmarkStart w:id="344" w:name="_Toc161600559"/>
            <w:r>
              <w:rPr>
                <w:color w:val="000000"/>
              </w:rPr>
              <w:t>DA00</w:t>
            </w:r>
            <w:r>
              <w:rPr>
                <w:rFonts w:hint="eastAsia"/>
                <w:color w:val="000000"/>
              </w:rPr>
              <w:t>3</w:t>
            </w:r>
          </w:p>
        </w:tc>
        <w:tc>
          <w:tcPr>
            <w:tcW w:w="1239" w:type="dxa"/>
            <w:noWrap w:val="0"/>
            <w:vAlign w:val="center"/>
          </w:tcPr>
          <w:p w14:paraId="5825F8F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000000"/>
              </w:rPr>
            </w:pPr>
            <w:r>
              <w:rPr>
                <w:rFonts w:hint="eastAsia"/>
                <w:color w:val="000000"/>
                <w:lang w:val="en-US" w:eastAsia="zh-CN"/>
              </w:rPr>
              <w:t>落砂及砂处理工序</w:t>
            </w:r>
          </w:p>
        </w:tc>
        <w:tc>
          <w:tcPr>
            <w:tcW w:w="541" w:type="pct"/>
            <w:noWrap w:val="0"/>
            <w:vAlign w:val="center"/>
          </w:tcPr>
          <w:p w14:paraId="0871E3E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571" w:type="pct"/>
            <w:noWrap w:val="0"/>
            <w:vAlign w:val="center"/>
          </w:tcPr>
          <w:p w14:paraId="131E1F4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旋风除尘技术、袋式除尘技术、滤筒除尘技术、湿式除尘技术</w:t>
            </w:r>
          </w:p>
        </w:tc>
        <w:tc>
          <w:tcPr>
            <w:tcW w:w="1078" w:type="pct"/>
            <w:noWrap w:val="0"/>
            <w:vAlign w:val="center"/>
          </w:tcPr>
          <w:p w14:paraId="24A1674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袋式除尘器</w:t>
            </w:r>
          </w:p>
        </w:tc>
        <w:tc>
          <w:tcPr>
            <w:tcW w:w="643" w:type="pct"/>
            <w:noWrap w:val="0"/>
            <w:vAlign w:val="center"/>
          </w:tcPr>
          <w:p w14:paraId="432AF93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废气治理工艺可行</w:t>
            </w:r>
          </w:p>
        </w:tc>
      </w:tr>
      <w:tr w14:paraId="14862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2" w:type="pct"/>
            <w:noWrap w:val="0"/>
            <w:vAlign w:val="center"/>
          </w:tcPr>
          <w:p w14:paraId="339425C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DA00</w:t>
            </w:r>
            <w:r>
              <w:rPr>
                <w:rFonts w:hint="eastAsia"/>
                <w:color w:val="000000"/>
              </w:rPr>
              <w:t>4</w:t>
            </w:r>
          </w:p>
        </w:tc>
        <w:tc>
          <w:tcPr>
            <w:tcW w:w="1239" w:type="dxa"/>
            <w:noWrap w:val="0"/>
            <w:vAlign w:val="center"/>
          </w:tcPr>
          <w:p w14:paraId="728D25B4">
            <w:pPr>
              <w:pStyle w:val="3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olor w:val="000000"/>
              </w:rPr>
            </w:pPr>
            <w:r>
              <w:rPr>
                <w:rFonts w:hint="eastAsia"/>
                <w:color w:val="000000"/>
              </w:rPr>
              <w:t>抛丸工序</w:t>
            </w:r>
          </w:p>
        </w:tc>
        <w:tc>
          <w:tcPr>
            <w:tcW w:w="541" w:type="pct"/>
            <w:noWrap w:val="0"/>
            <w:vAlign w:val="center"/>
          </w:tcPr>
          <w:p w14:paraId="20FD8AF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颗粒物</w:t>
            </w:r>
          </w:p>
        </w:tc>
        <w:tc>
          <w:tcPr>
            <w:tcW w:w="1571" w:type="pct"/>
            <w:noWrap w:val="0"/>
            <w:vAlign w:val="center"/>
          </w:tcPr>
          <w:p w14:paraId="53DD06E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旋风除尘技术、袋式除尘技术、滤筒除尘技术、湿式除尘技术</w:t>
            </w:r>
          </w:p>
        </w:tc>
        <w:tc>
          <w:tcPr>
            <w:tcW w:w="1078" w:type="pct"/>
            <w:noWrap w:val="0"/>
            <w:vAlign w:val="center"/>
          </w:tcPr>
          <w:p w14:paraId="2C1F55A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袋式除尘器</w:t>
            </w:r>
          </w:p>
        </w:tc>
        <w:tc>
          <w:tcPr>
            <w:tcW w:w="643" w:type="pct"/>
            <w:noWrap w:val="0"/>
            <w:vAlign w:val="center"/>
          </w:tcPr>
          <w:p w14:paraId="1834B1A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废气治理工艺可行</w:t>
            </w:r>
          </w:p>
        </w:tc>
      </w:tr>
    </w:tbl>
    <w:p w14:paraId="04B97506">
      <w:pPr>
        <w:pStyle w:val="4"/>
        <w:rPr>
          <w:color w:val="000000"/>
        </w:rPr>
      </w:pPr>
      <w:bookmarkStart w:id="345" w:name="_Toc9371"/>
      <w:bookmarkStart w:id="346" w:name="_Toc31186"/>
      <w:bookmarkStart w:id="347" w:name="_Toc17561"/>
      <w:r>
        <w:rPr>
          <w:rFonts w:hint="eastAsia"/>
          <w:color w:val="000000"/>
        </w:rPr>
        <w:t>5</w:t>
      </w:r>
      <w:r>
        <w:rPr>
          <w:color w:val="000000"/>
        </w:rPr>
        <w:t>.2.1.废气治理措施可行性及达标分析</w:t>
      </w:r>
      <w:bookmarkEnd w:id="344"/>
      <w:bookmarkEnd w:id="345"/>
      <w:bookmarkEnd w:id="346"/>
      <w:bookmarkEnd w:id="347"/>
    </w:p>
    <w:p w14:paraId="617686F5">
      <w:pPr>
        <w:spacing w:line="360" w:lineRule="auto"/>
        <w:ind w:firstLine="480" w:firstLineChars="200"/>
        <w:rPr>
          <w:rFonts w:hint="default" w:ascii="Times New Roman" w:hAnsi="Times New Roman" w:cs="Times New Roman"/>
          <w:color w:val="000000"/>
          <w:sz w:val="24"/>
        </w:rPr>
      </w:pPr>
      <w:bookmarkStart w:id="348" w:name="_Toc161600563"/>
      <w:r>
        <w:rPr>
          <w:rFonts w:hint="default" w:ascii="Times New Roman" w:hAnsi="Times New Roman" w:cs="Times New Roman"/>
          <w:color w:val="000000"/>
          <w:sz w:val="24"/>
        </w:rPr>
        <w:t>（1）项目</w:t>
      </w:r>
      <w:r>
        <w:rPr>
          <w:rFonts w:hint="eastAsia"/>
          <w:color w:val="000000"/>
          <w:sz w:val="24"/>
          <w:lang w:val="en-US" w:eastAsia="zh-CN"/>
        </w:rPr>
        <w:t>中频炉熔炼工序</w:t>
      </w:r>
      <w:r>
        <w:rPr>
          <w:rFonts w:hint="default" w:ascii="Times New Roman" w:hAnsi="Times New Roman" w:cs="Times New Roman"/>
          <w:color w:val="000000"/>
          <w:sz w:val="24"/>
        </w:rPr>
        <w:t>产生的</w:t>
      </w:r>
      <w:r>
        <w:rPr>
          <w:rFonts w:hint="default" w:ascii="Times New Roman" w:hAnsi="Times New Roman" w:cs="Times New Roman"/>
          <w:color w:val="000000"/>
          <w:sz w:val="24"/>
          <w:lang w:val="en-GB"/>
        </w:rPr>
        <w:t>废气</w:t>
      </w:r>
      <w:r>
        <w:rPr>
          <w:rFonts w:hint="default" w:ascii="Times New Roman" w:hAnsi="Times New Roman" w:cs="Times New Roman"/>
          <w:color w:val="000000"/>
          <w:sz w:val="24"/>
        </w:rPr>
        <w:t>经集气</w:t>
      </w:r>
      <w:r>
        <w:rPr>
          <w:rFonts w:hint="eastAsia" w:ascii="Times New Roman" w:hAnsi="Times New Roman" w:cs="Times New Roman"/>
          <w:color w:val="000000"/>
          <w:sz w:val="24"/>
          <w:lang w:val="en-US" w:eastAsia="zh-CN"/>
        </w:rPr>
        <w:t>罩</w:t>
      </w:r>
      <w:r>
        <w:rPr>
          <w:rFonts w:hint="default" w:ascii="Times New Roman" w:hAnsi="Times New Roman" w:cs="Times New Roman"/>
          <w:color w:val="000000"/>
          <w:sz w:val="24"/>
        </w:rPr>
        <w:t>收集</w:t>
      </w:r>
      <w:r>
        <w:rPr>
          <w:rFonts w:hint="default" w:ascii="Times New Roman" w:hAnsi="Times New Roman" w:cs="Times New Roman"/>
          <w:bCs/>
          <w:color w:val="000000"/>
          <w:spacing w:val="-10"/>
          <w:sz w:val="24"/>
        </w:rPr>
        <w:t>后引入1套耐高温袋式除尘</w:t>
      </w:r>
      <w:r>
        <w:rPr>
          <w:rFonts w:hint="eastAsia" w:ascii="Times New Roman" w:hAnsi="Times New Roman" w:cs="Times New Roman"/>
          <w:bCs/>
          <w:color w:val="000000"/>
          <w:spacing w:val="-10"/>
          <w:sz w:val="24"/>
          <w:lang w:val="en-US" w:eastAsia="zh-CN"/>
        </w:rPr>
        <w:t>器</w:t>
      </w:r>
      <w:r>
        <w:rPr>
          <w:rFonts w:hint="default" w:ascii="Times New Roman" w:hAnsi="Times New Roman" w:cs="Times New Roman"/>
          <w:bCs/>
          <w:color w:val="000000"/>
          <w:spacing w:val="-10"/>
          <w:sz w:val="24"/>
        </w:rPr>
        <w:t>（TA001）处理后经1根15m高排气筒（DA001）引至高空排放</w:t>
      </w:r>
      <w:r>
        <w:rPr>
          <w:rFonts w:hint="default" w:ascii="Times New Roman" w:hAnsi="Times New Roman" w:cs="Times New Roman"/>
          <w:color w:val="000000"/>
          <w:sz w:val="24"/>
          <w:lang w:val="en-GB"/>
        </w:rPr>
        <w:t>，</w:t>
      </w:r>
      <w:r>
        <w:rPr>
          <w:rFonts w:hint="default" w:ascii="Times New Roman" w:hAnsi="Times New Roman" w:cs="Times New Roman"/>
          <w:color w:val="000000"/>
          <w:sz w:val="24"/>
        </w:rPr>
        <w:t>排放浓度为</w:t>
      </w:r>
      <w:r>
        <w:rPr>
          <w:rFonts w:hint="default" w:ascii="Times New Roman" w:hAnsi="Times New Roman" w:cs="Times New Roman"/>
          <w:bCs/>
          <w:color w:val="000000"/>
          <w:spacing w:val="-10"/>
          <w:sz w:val="24"/>
        </w:rPr>
        <w:t>颗粒物</w:t>
      </w:r>
      <w:r>
        <w:rPr>
          <w:rFonts w:hint="default" w:ascii="Times New Roman" w:hAnsi="Times New Roman" w:cs="Times New Roman"/>
          <w:bCs/>
          <w:color w:val="000000"/>
          <w:spacing w:val="-10"/>
          <w:sz w:val="24"/>
          <w:lang w:val="en-US" w:eastAsia="zh-CN"/>
        </w:rPr>
        <w:t>2.449</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ascii="Times New Roman" w:hAnsi="Times New Roman" w:cs="Times New Roman"/>
          <w:bCs/>
          <w:color w:val="000000"/>
          <w:spacing w:val="-10"/>
          <w:sz w:val="24"/>
        </w:rPr>
        <w:t>，</w:t>
      </w:r>
      <w:r>
        <w:rPr>
          <w:rFonts w:hint="default" w:ascii="Times New Roman" w:hAnsi="Times New Roman" w:cs="Times New Roman"/>
          <w:color w:val="000000"/>
          <w:sz w:val="24"/>
        </w:rPr>
        <w:t>满足</w:t>
      </w:r>
      <w:r>
        <w:rPr>
          <w:color w:val="000000"/>
          <w:sz w:val="24"/>
        </w:rPr>
        <w:t>《工业炉窑大气污染物排放标准</w:t>
      </w:r>
      <w:r>
        <w:rPr>
          <w:rFonts w:hint="eastAsia"/>
          <w:color w:val="000000"/>
          <w:sz w:val="24"/>
        </w:rPr>
        <w:t>》</w:t>
      </w:r>
      <w:r>
        <w:rPr>
          <w:color w:val="000000"/>
          <w:sz w:val="24"/>
        </w:rPr>
        <w:t>（</w:t>
      </w:r>
      <w:r>
        <w:rPr>
          <w:rFonts w:hint="eastAsia"/>
          <w:color w:val="000000"/>
          <w:sz w:val="24"/>
          <w:lang w:eastAsia="zh-CN"/>
        </w:rPr>
        <w:t>DB41/1066-2020</w:t>
      </w:r>
      <w:r>
        <w:rPr>
          <w:color w:val="000000"/>
          <w:sz w:val="24"/>
        </w:rPr>
        <w:t>）</w:t>
      </w:r>
      <w:r>
        <w:rPr>
          <w:rFonts w:hint="eastAsia"/>
          <w:color w:val="000000"/>
          <w:sz w:val="24"/>
        </w:rPr>
        <w:t>、《河南省2019年铸造行业污染治理方案》</w:t>
      </w:r>
      <w:r>
        <w:rPr>
          <w:rFonts w:hint="eastAsia"/>
          <w:color w:val="000000"/>
          <w:sz w:val="24"/>
          <w:lang w:val="en-US" w:eastAsia="zh-CN"/>
        </w:rPr>
        <w:t>以及《重污染天气重点行业应急减排措施制定技术指南》（2020年修订版）中铸造企业绩效分级指标A级企业排放限值要求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ascii="Times New Roman" w:hAnsi="Times New Roman" w:cs="Times New Roman"/>
          <w:color w:val="000000"/>
          <w:sz w:val="24"/>
          <w:lang w:val="en-US" w:eastAsia="zh-CN"/>
        </w:rPr>
        <w:t>熔炼工序</w:t>
      </w:r>
      <w:r>
        <w:rPr>
          <w:rFonts w:hint="default" w:ascii="Times New Roman" w:hAnsi="Times New Roman" w:cs="Times New Roman"/>
          <w:color w:val="000000"/>
          <w:sz w:val="24"/>
        </w:rPr>
        <w:t>废气处理工艺为可行性技术。</w:t>
      </w:r>
    </w:p>
    <w:p w14:paraId="34B127E5">
      <w:pPr>
        <w:bidi w:val="0"/>
        <w:rPr>
          <w:rFonts w:hint="default"/>
        </w:rPr>
      </w:pPr>
      <w:r>
        <w:rPr>
          <w:rFonts w:hint="default"/>
        </w:rPr>
        <w:t>（2）项目</w:t>
      </w:r>
      <w:r>
        <w:rPr>
          <w:rFonts w:hint="default"/>
          <w:lang w:val="en-US" w:eastAsia="zh-CN"/>
        </w:rPr>
        <w:t>混砂、造型/浇注、工件清理和不合格品回用切割工序</w:t>
      </w:r>
      <w:r>
        <w:rPr>
          <w:rFonts w:hint="default"/>
        </w:rPr>
        <w:t>产生的</w:t>
      </w:r>
      <w:r>
        <w:rPr>
          <w:rFonts w:hint="default"/>
          <w:lang w:val="en-GB"/>
        </w:rPr>
        <w:t>废气</w:t>
      </w:r>
      <w:r>
        <w:rPr>
          <w:rFonts w:hint="eastAsia"/>
          <w:lang w:val="en-US" w:eastAsia="zh-CN"/>
        </w:rPr>
        <w:t>经</w:t>
      </w:r>
      <w:r>
        <w:rPr>
          <w:rFonts w:hint="default"/>
        </w:rPr>
        <w:t>收集后引入1套</w:t>
      </w:r>
      <w:r>
        <w:rPr>
          <w:rFonts w:hint="default"/>
          <w:lang w:val="en-US" w:eastAsia="zh-CN"/>
        </w:rPr>
        <w:t>袋式除尘器+催化燃烧</w:t>
      </w:r>
      <w:r>
        <w:rPr>
          <w:rFonts w:hint="default"/>
        </w:rPr>
        <w:t>装置</w:t>
      </w:r>
      <w:r>
        <w:rPr>
          <w:rFonts w:hint="default"/>
          <w:lang w:val="en-US" w:eastAsia="zh-CN"/>
        </w:rPr>
        <w:t>（RCO）</w:t>
      </w:r>
      <w:r>
        <w:rPr>
          <w:rFonts w:hint="default"/>
        </w:rPr>
        <w:t>（TA002）处理后经1根15m高排气筒（DA002）引至高空排放，排放浓度为颗粒物</w:t>
      </w:r>
      <w:r>
        <w:rPr>
          <w:rFonts w:hint="default"/>
          <w:lang w:val="en-US" w:eastAsia="zh-CN"/>
        </w:rPr>
        <w:t>1.979</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，非甲烷总烃</w:t>
      </w:r>
      <w:r>
        <w:rPr>
          <w:rFonts w:hint="default"/>
          <w:lang w:val="en-US" w:eastAsia="zh-CN"/>
        </w:rPr>
        <w:t>2.377</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，甲醛</w:t>
      </w:r>
      <w:r>
        <w:rPr>
          <w:rFonts w:hint="default"/>
          <w:lang w:val="en-US" w:eastAsia="zh-CN"/>
        </w:rPr>
        <w:t>0.152</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，满足《铸造工业大气污染物排放标准》(GB39726-2020)、《大气污染物综合排放标准》（GB16297-1996）表2标准</w:t>
      </w:r>
      <w:r>
        <w:rPr>
          <w:rFonts w:hint="eastAsia"/>
          <w:color w:val="000000"/>
          <w:sz w:val="24"/>
        </w:rPr>
        <w:t>、《河南省2019年铸造行业污染治理方案》</w:t>
      </w:r>
      <w:r>
        <w:rPr>
          <w:rFonts w:hint="default"/>
        </w:rPr>
        <w:t>、《关于全省开展工业企业挥发性有机物专项治理工作中排放建议值的通知》（豫环攻坚办[2017]162号）中附件1中其他工业</w:t>
      </w:r>
      <w:r>
        <w:rPr>
          <w:rFonts w:hint="default"/>
          <w:lang w:val="en-US" w:eastAsia="zh-CN"/>
        </w:rPr>
        <w:t>以及《重污染天气重点行业应急减排措施制定技术指南》（2020年修订版）中铸造企业绩效分级指标A级企业排放限值要求</w:t>
      </w:r>
      <w:r>
        <w:rPr>
          <w:rFonts w:hint="default"/>
          <w:lang w:eastAsia="zh-CN"/>
        </w:rPr>
        <w:t>，</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lang w:val="en-US" w:eastAsia="zh-CN"/>
        </w:rPr>
        <w:t>混砂、造型/浇注、工件清理和不合格品回用切割工序</w:t>
      </w:r>
      <w:r>
        <w:rPr>
          <w:rFonts w:hint="default" w:ascii="Times New Roman" w:hAnsi="Times New Roman" w:cs="Times New Roman"/>
          <w:color w:val="000000"/>
          <w:sz w:val="24"/>
        </w:rPr>
        <w:t>废气处理工艺为可行性技术。</w:t>
      </w:r>
    </w:p>
    <w:p w14:paraId="51996A58">
      <w:pPr>
        <w:bidi w:val="0"/>
        <w:rPr>
          <w:rFonts w:hint="default"/>
        </w:rPr>
      </w:pPr>
      <w:r>
        <w:rPr>
          <w:rFonts w:hint="default"/>
        </w:rPr>
        <w:t>（3）项目</w:t>
      </w:r>
      <w:r>
        <w:rPr>
          <w:rFonts w:hint="default"/>
          <w:lang w:val="en-US" w:eastAsia="zh-CN"/>
        </w:rPr>
        <w:t>落砂机设置集气罩，砂处理系统为全封闭设备</w:t>
      </w:r>
      <w:r>
        <w:rPr>
          <w:rFonts w:hint="eastAsia"/>
          <w:lang w:val="en-US" w:eastAsia="zh-CN"/>
        </w:rPr>
        <w:t>，</w:t>
      </w:r>
      <w:r>
        <w:rPr>
          <w:rFonts w:hint="eastAsia"/>
          <w:u w:val="none"/>
          <w:lang w:val="en-US" w:eastAsia="zh-CN"/>
        </w:rPr>
        <w:t>落砂及砂处理工序产生的废气</w:t>
      </w:r>
      <w:r>
        <w:rPr>
          <w:rFonts w:hint="default"/>
        </w:rPr>
        <w:t>收集后引至</w:t>
      </w:r>
      <w:r>
        <w:rPr>
          <w:rFonts w:hint="eastAsia"/>
          <w:u w:val="none"/>
          <w:lang w:val="en-US" w:eastAsia="zh-CN"/>
        </w:rPr>
        <w:t>分别</w:t>
      </w:r>
      <w:r>
        <w:rPr>
          <w:rFonts w:hint="default"/>
        </w:rPr>
        <w:t>1套袋式除尘器（TA003</w:t>
      </w:r>
      <w:r>
        <w:rPr>
          <w:rFonts w:hint="eastAsia"/>
          <w:lang w:val="en-US" w:eastAsia="zh-CN"/>
        </w:rPr>
        <w:t>-TA004</w:t>
      </w:r>
      <w:r>
        <w:rPr>
          <w:rFonts w:hint="default"/>
        </w:rPr>
        <w:t>）处理后通过1根15m高排气筒（DA003）引至高空排放，颗粒物排放浓度为</w:t>
      </w:r>
      <w:r>
        <w:rPr>
          <w:rFonts w:hint="default"/>
          <w:lang w:val="en-US" w:eastAsia="zh-CN"/>
        </w:rPr>
        <w:t>2.282</w:t>
      </w:r>
      <w:r>
        <w:rPr>
          <w:rFonts w:hint="default" w:ascii="Times New Roman" w:hAnsi="Times New Roman" w:cs="Times New Roman"/>
          <w:bCs/>
          <w:color w:val="000000"/>
          <w:spacing w:val="-10"/>
          <w:sz w:val="24"/>
        </w:rPr>
        <w:t>mg/m</w:t>
      </w:r>
      <w:r>
        <w:rPr>
          <w:rFonts w:hint="default" w:ascii="Times New Roman" w:hAnsi="Times New Roman" w:cs="Times New Roman"/>
          <w:bCs/>
          <w:color w:val="000000"/>
          <w:spacing w:val="-10"/>
          <w:sz w:val="24"/>
          <w:vertAlign w:val="superscript"/>
        </w:rPr>
        <w:t>3</w:t>
      </w:r>
      <w:r>
        <w:rPr>
          <w:rFonts w:hint="default"/>
        </w:rPr>
        <w:t>，满足《铸造工业大气污染物排放标准》(GB39726-2020)表1和《河南省2019年铸造行业污染治理方案》</w:t>
      </w:r>
      <w:r>
        <w:rPr>
          <w:rFonts w:hint="default"/>
          <w:lang w:val="en-US" w:eastAsia="zh-CN"/>
        </w:rPr>
        <w:t>中的</w:t>
      </w:r>
      <w:r>
        <w:rPr>
          <w:rFonts w:hint="default"/>
        </w:rPr>
        <w:t>标准</w:t>
      </w:r>
      <w:r>
        <w:rPr>
          <w:rFonts w:hint="eastAsia"/>
          <w:lang w:val="en-US" w:eastAsia="zh-CN"/>
        </w:rPr>
        <w:t>限值</w:t>
      </w:r>
      <w:r>
        <w:rPr>
          <w:rFonts w:hint="default"/>
          <w:lang w:val="en-US" w:eastAsia="zh-CN"/>
        </w:rPr>
        <w:t>要</w:t>
      </w:r>
      <w:r>
        <w:rPr>
          <w:rFonts w:hint="default"/>
        </w:rPr>
        <w:t>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eastAsia"/>
          <w:u w:val="none"/>
          <w:lang w:val="en-US" w:eastAsia="zh-CN"/>
        </w:rPr>
        <w:t>落砂及砂处理工序</w:t>
      </w:r>
      <w:r>
        <w:rPr>
          <w:rFonts w:hint="default" w:ascii="Times New Roman" w:hAnsi="Times New Roman" w:cs="Times New Roman"/>
          <w:color w:val="000000"/>
          <w:sz w:val="24"/>
        </w:rPr>
        <w:t>废气处理工艺为可行性技术。</w:t>
      </w:r>
    </w:p>
    <w:p w14:paraId="27605566">
      <w:pPr>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w:t>
      </w:r>
      <w:r>
        <w:rPr>
          <w:rFonts w:hint="default" w:ascii="Times New Roman" w:hAnsi="Times New Roman" w:cs="Times New Roman"/>
          <w:bCs/>
          <w:color w:val="000000"/>
          <w:kern w:val="0"/>
          <w:sz w:val="24"/>
          <w:szCs w:val="24"/>
        </w:rPr>
        <w:t>项目</w:t>
      </w:r>
      <w:r>
        <w:rPr>
          <w:rFonts w:hint="default" w:ascii="Times New Roman" w:hAnsi="Times New Roman" w:cs="Times New Roman"/>
          <w:bCs/>
          <w:color w:val="000000"/>
          <w:kern w:val="0"/>
          <w:sz w:val="24"/>
          <w:szCs w:val="24"/>
          <w:lang w:val="en-US" w:eastAsia="zh-CN"/>
        </w:rPr>
        <w:t>抛丸工序</w:t>
      </w:r>
      <w:r>
        <w:rPr>
          <w:rFonts w:hint="default" w:ascii="Times New Roman" w:hAnsi="Times New Roman" w:cs="Times New Roman"/>
          <w:bCs/>
          <w:color w:val="000000"/>
          <w:kern w:val="0"/>
          <w:sz w:val="24"/>
          <w:szCs w:val="24"/>
        </w:rPr>
        <w:t>产生的颗粒物</w:t>
      </w:r>
      <w:r>
        <w:rPr>
          <w:rFonts w:hint="default" w:ascii="Times New Roman" w:hAnsi="Times New Roman" w:cs="Times New Roman"/>
          <w:bCs/>
          <w:color w:val="000000"/>
          <w:spacing w:val="-10"/>
          <w:sz w:val="24"/>
          <w:szCs w:val="24"/>
        </w:rPr>
        <w:t>经密闭管道收集后引至1套袋式除尘器（TA00</w:t>
      </w:r>
      <w:r>
        <w:rPr>
          <w:rFonts w:hint="eastAsia" w:ascii="Times New Roman" w:hAnsi="Times New Roman" w:cs="Times New Roman"/>
          <w:bCs/>
          <w:color w:val="000000"/>
          <w:spacing w:val="-10"/>
          <w:sz w:val="24"/>
          <w:szCs w:val="24"/>
          <w:lang w:val="en-US" w:eastAsia="zh-CN"/>
        </w:rPr>
        <w:t>5</w:t>
      </w:r>
      <w:r>
        <w:rPr>
          <w:rFonts w:hint="default" w:ascii="Times New Roman" w:hAnsi="Times New Roman" w:cs="Times New Roman"/>
          <w:bCs/>
          <w:color w:val="000000"/>
          <w:spacing w:val="-10"/>
          <w:sz w:val="24"/>
          <w:szCs w:val="24"/>
        </w:rPr>
        <w:t>）处理后通过1根15m高排气筒（DA004）引至高空排放</w:t>
      </w:r>
      <w:r>
        <w:rPr>
          <w:rFonts w:hint="default" w:ascii="Times New Roman" w:hAnsi="Times New Roman" w:cs="Times New Roman"/>
          <w:bCs/>
          <w:color w:val="000000"/>
          <w:kern w:val="0"/>
          <w:sz w:val="24"/>
          <w:szCs w:val="24"/>
        </w:rPr>
        <w:t>，颗粒物排放浓度为</w:t>
      </w:r>
      <w:r>
        <w:rPr>
          <w:rFonts w:hint="default" w:ascii="Times New Roman" w:hAnsi="Times New Roman" w:cs="Times New Roman"/>
          <w:bCs/>
          <w:color w:val="000000"/>
          <w:kern w:val="0"/>
          <w:sz w:val="24"/>
          <w:szCs w:val="24"/>
          <w:lang w:val="en-US" w:eastAsia="zh-CN"/>
        </w:rPr>
        <w:t>2.095</w:t>
      </w:r>
      <w:r>
        <w:rPr>
          <w:rFonts w:hint="default" w:ascii="Times New Roman" w:hAnsi="Times New Roman" w:cs="Times New Roman"/>
          <w:bCs/>
          <w:color w:val="000000"/>
          <w:spacing w:val="-10"/>
          <w:sz w:val="24"/>
          <w:szCs w:val="24"/>
        </w:rPr>
        <w:t>mg/m</w:t>
      </w:r>
      <w:r>
        <w:rPr>
          <w:rFonts w:hint="default" w:ascii="Times New Roman" w:hAnsi="Times New Roman" w:cs="Times New Roman"/>
          <w:bCs/>
          <w:color w:val="000000"/>
          <w:spacing w:val="-10"/>
          <w:sz w:val="24"/>
          <w:szCs w:val="24"/>
          <w:vertAlign w:val="superscript"/>
        </w:rPr>
        <w:t>3</w:t>
      </w:r>
      <w:r>
        <w:rPr>
          <w:rFonts w:hint="default" w:ascii="Times New Roman" w:hAnsi="Times New Roman" w:cs="Times New Roman"/>
          <w:bCs/>
          <w:color w:val="000000"/>
          <w:kern w:val="0"/>
          <w:sz w:val="24"/>
          <w:szCs w:val="24"/>
        </w:rPr>
        <w:t>，</w:t>
      </w:r>
      <w:r>
        <w:rPr>
          <w:rFonts w:hint="eastAsia" w:ascii="Times New Roman" w:hAnsi="Times New Roman" w:cs="Times New Roman"/>
          <w:bCs/>
          <w:color w:val="000000"/>
          <w:kern w:val="0"/>
          <w:sz w:val="24"/>
          <w:szCs w:val="24"/>
          <w:lang w:val="en-US" w:eastAsia="zh-CN"/>
        </w:rPr>
        <w:t>满足</w:t>
      </w:r>
      <w:r>
        <w:rPr>
          <w:rFonts w:hint="default"/>
        </w:rPr>
        <w:t>《铸造工业大气污染物排放标准》(GB39726-2020)表1和《河南省2019年铸造行业污染治理方案》</w:t>
      </w:r>
      <w:r>
        <w:rPr>
          <w:rFonts w:hint="default"/>
          <w:lang w:val="en-US" w:eastAsia="zh-CN"/>
        </w:rPr>
        <w:t>中的</w:t>
      </w:r>
      <w:r>
        <w:rPr>
          <w:rFonts w:hint="default"/>
        </w:rPr>
        <w:t>标准</w:t>
      </w:r>
      <w:r>
        <w:rPr>
          <w:rFonts w:hint="eastAsia"/>
          <w:lang w:val="en-US" w:eastAsia="zh-CN"/>
        </w:rPr>
        <w:t>限值</w:t>
      </w:r>
      <w:r>
        <w:rPr>
          <w:rFonts w:hint="default"/>
          <w:lang w:val="en-US" w:eastAsia="zh-CN"/>
        </w:rPr>
        <w:t>要</w:t>
      </w:r>
      <w:r>
        <w:rPr>
          <w:rFonts w:hint="default"/>
        </w:rPr>
        <w:t>求，</w:t>
      </w:r>
      <w:r>
        <w:rPr>
          <w:rFonts w:hint="default" w:ascii="Times New Roman" w:hAnsi="Times New Roman" w:cs="Times New Roman"/>
          <w:color w:val="000000"/>
          <w:sz w:val="24"/>
        </w:rPr>
        <w:t>经对照《铸造工业大气污染防治技术规范》（DB41/T2388-2023）中的末端治理技术以及《铸造工业大气污染防治可行技术指南》（HJ1292-2023）中的污染治理技术要求，项目</w:t>
      </w:r>
      <w:r>
        <w:rPr>
          <w:rFonts w:hint="default" w:ascii="Times New Roman" w:hAnsi="Times New Roman" w:cs="Times New Roman"/>
          <w:bCs/>
          <w:color w:val="000000"/>
          <w:kern w:val="0"/>
          <w:sz w:val="24"/>
          <w:szCs w:val="24"/>
          <w:lang w:val="en-US" w:eastAsia="zh-CN"/>
        </w:rPr>
        <w:t>抛丸工序</w:t>
      </w:r>
      <w:r>
        <w:rPr>
          <w:rFonts w:hint="default" w:ascii="Times New Roman" w:hAnsi="Times New Roman" w:cs="Times New Roman"/>
          <w:color w:val="000000"/>
          <w:sz w:val="24"/>
        </w:rPr>
        <w:t>废气处理工艺为可行性技术。</w:t>
      </w:r>
    </w:p>
    <w:p w14:paraId="48FE3234">
      <w:pPr>
        <w:bidi w:val="0"/>
        <w:rPr>
          <w:rFonts w:hint="default"/>
        </w:rPr>
      </w:pPr>
      <w:r>
        <w:rPr>
          <w:rFonts w:hint="default"/>
        </w:rPr>
        <w:t>（5）袋式除尘器原理：含尘气体由灰斗上部进风口后，在挡风板的作用下，气流向上流动，流速降低，部分大颗粒粉尘由于惯性力的作用被分离出来落入灰斗。含尘气体进入中箱体经滤袋的过滤净化，粉尘被阻留在滤袋的外表面，净化后的气体经滤袋口进入上箱体，由出风口排出。随着滤袋表面粉尘不断增加，除尘器进出口压差也随之上升。当除尘器阻力达到设定值时，控制系统发出清灰指令，清灰系统开始工作。首先电磁阀接到信号后立即开启，使小膜片上部气室的压缩空气被排放，由于小膜片两端受力的改变，使被小膜片关闭的排气通道开启，大膜片上部气室的压缩空气由此通道排出，大膜片两端受力改变，使大膜片动作，将关闭的输出口打开，气包内的压缩空气经由输出管和喷吹管喷入袋内，实现清灰。当控制信号停止后，电磁阀关闭，小膜片、大膜片相继复位，喷吹停止。采用袋式除尘器有以下优点：除尘效率高，可补集粒径大于0.3μm的细小粉尘，出口粉尘浓度低于30mg/Nm</w:t>
      </w:r>
      <w:r>
        <w:rPr>
          <w:rFonts w:hint="default"/>
          <w:vertAlign w:val="superscript"/>
        </w:rPr>
        <w:t>3</w:t>
      </w:r>
      <w:r>
        <w:rPr>
          <w:rFonts w:hint="default"/>
        </w:rPr>
        <w:t>。使用灵活，处理风量范围大，可以作成直接设于室内，机床附近的小型机组，也可作成大型的除尘器。结构比较简单，运行比较稳定，初期投资较少（与电除尘器比较而言），维护方便。</w:t>
      </w:r>
    </w:p>
    <w:p w14:paraId="25280F76">
      <w:pPr>
        <w:bidi w:val="0"/>
        <w:rPr>
          <w:rFonts w:hint="default"/>
        </w:rPr>
      </w:pPr>
      <w:r>
        <w:rPr>
          <w:rFonts w:hint="default"/>
        </w:rPr>
        <w:t>项目采用袋式除尘器，该除尘器集尘量大，方便粉尘的回收，配置防静电滤袋，除尘效率高，可确保满足排放标准。因此，废气处理工艺为可行性技术。</w:t>
      </w:r>
    </w:p>
    <w:p w14:paraId="058F31D5">
      <w:pPr>
        <w:bidi w:val="0"/>
        <w:rPr>
          <w:rFonts w:hint="eastAsia"/>
        </w:rPr>
      </w:pPr>
      <w:r>
        <w:rPr>
          <w:rFonts w:hint="default"/>
        </w:rPr>
        <w:t>（6）</w:t>
      </w:r>
      <w:r>
        <w:rPr>
          <w:rFonts w:hint="eastAsia"/>
        </w:rPr>
        <w:t>催化燃烧装置</w:t>
      </w:r>
      <w:r>
        <w:rPr>
          <w:rFonts w:hint="eastAsia"/>
          <w:lang w:val="en-US" w:eastAsia="zh-CN"/>
        </w:rPr>
        <w:t>原理：</w:t>
      </w:r>
      <w:r>
        <w:rPr>
          <w:rFonts w:hint="eastAsia"/>
        </w:rPr>
        <w:t>有机废气在风机的作用下引入吸附单元，将其均匀的分布在活性炭的表面，依靠活性炭复杂的内部结构体系及超强大的表面积，活性炭将有机废气吸附在其表面，有机废气由此而达到净化的效果。净化后的洁净气体可达到相关大气污染物排放法律标准。每套废气净化处理系统设有多套吸附单元，其中一套用于脱附，其余用于吸附，多台吸附单元轮流工作，有plc自动控制切换。当吸附单元的活性炭吸附至饱和的程度后，该吸附单元切换为脱附单元，脱附需要外加热量，加热装置设在催化燃烧室内，将其开启后同时预热催化剂，燃烧炉达到设定温度后将热空气引入脱附床，有机废气在加热作用下从活性炭表面解吸出来。由于温度会使活性炭内部结构变化，所以在吸附脱附单元都设置热电偶温度传感器，温度偏高时及时调节补冷风系统，即能保证最优的脱附效果，又给活性炭提供一个安全的工作环境。有机物从活性炭内脱附出来，进入催化燃烧室进行催化分解成水和二氧化碳，同时释放出能量。利用释放出的能量再进入吸附床脱附时，此时加热装置可完全停止工作，有机废气在催化燃烧室内维持自燃，能量再生，换热，循环进行，直到有机物完全从活性炭内部分离，至催化室分解。活性炭得到了再生，有机物得到分解处理。</w:t>
      </w:r>
    </w:p>
    <w:p w14:paraId="445A26B4">
      <w:pPr>
        <w:pStyle w:val="3"/>
        <w:rPr>
          <w:color w:val="000000"/>
        </w:rPr>
      </w:pPr>
      <w:bookmarkStart w:id="349" w:name="_Toc12690"/>
      <w:bookmarkStart w:id="350" w:name="_Toc23983"/>
      <w:bookmarkStart w:id="351" w:name="_Toc20508"/>
      <w:r>
        <w:rPr>
          <w:rFonts w:hint="eastAsia"/>
          <w:color w:val="000000"/>
        </w:rPr>
        <w:t>5</w:t>
      </w:r>
      <w:r>
        <w:rPr>
          <w:color w:val="000000"/>
        </w:rPr>
        <w:t>.3.无组织废气防治措施</w:t>
      </w:r>
      <w:bookmarkEnd w:id="348"/>
      <w:bookmarkEnd w:id="349"/>
      <w:bookmarkEnd w:id="350"/>
      <w:bookmarkEnd w:id="351"/>
    </w:p>
    <w:p w14:paraId="07F79D17">
      <w:pPr>
        <w:tabs>
          <w:tab w:val="center" w:pos="4153"/>
          <w:tab w:val="right" w:pos="8306"/>
        </w:tabs>
        <w:spacing w:line="360" w:lineRule="auto"/>
        <w:ind w:firstLine="480" w:firstLineChars="200"/>
        <w:rPr>
          <w:rFonts w:hint="eastAsia"/>
          <w:b w:val="0"/>
          <w:bCs w:val="0"/>
          <w:sz w:val="24"/>
          <w:highlight w:val="none"/>
          <w:u w:val="none"/>
        </w:rPr>
      </w:pPr>
      <w:bookmarkStart w:id="352" w:name="_Toc161600564"/>
      <w:r>
        <w:rPr>
          <w:rFonts w:hint="eastAsia"/>
          <w:b w:val="0"/>
          <w:bCs w:val="0"/>
          <w:sz w:val="24"/>
          <w:highlight w:val="none"/>
          <w:u w:val="none"/>
        </w:rPr>
        <w:t>根据《河南省2019年工业企业无组织排放治理方案》、《重污染天气重点行业应急减排措施制定技术指南》（2020年修订版）中铸造企业绩效分级指标A级要求、《铸造工业大气污染防治技术规范》（DB41/T2388-2023）、《铸造工业大气污染防治可行技术指南》（HJ1292-2023）中有关要求，评价要求对项目无组织废气应采取以下措施：</w:t>
      </w:r>
    </w:p>
    <w:p w14:paraId="3D2E87D6">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①定期对环保设备进行维护，保证废气的收集处理效率；</w:t>
      </w:r>
    </w:p>
    <w:p w14:paraId="079D8F7F">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②项目生产车间设全封闭结构，四面密闭；车间通道口安装封闭性良好且便于开关的卷帘门，生产过程将门关闭，以减少无组织废气的排放；</w:t>
      </w:r>
    </w:p>
    <w:p w14:paraId="0E33ECDD">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③车间内各工序功能分区明确，合理布局，以减少不必要的物料周转；</w:t>
      </w:r>
    </w:p>
    <w:p w14:paraId="0358F432">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④除尘器卸灰口应采取密闭措施，除尘灰采取袋装密闭方式收集、存放和运输，不直接卸落到地面；</w:t>
      </w:r>
    </w:p>
    <w:p w14:paraId="54EF2045">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⑤厂区道路宜硬化，并采取清扫、洒水等措施，保持清洁；</w:t>
      </w:r>
    </w:p>
    <w:p w14:paraId="62141044">
      <w:pPr>
        <w:tabs>
          <w:tab w:val="center" w:pos="4153"/>
          <w:tab w:val="right" w:pos="8306"/>
        </w:tabs>
        <w:spacing w:line="360" w:lineRule="auto"/>
        <w:ind w:firstLine="480" w:firstLineChars="200"/>
        <w:rPr>
          <w:rFonts w:hint="eastAsia"/>
          <w:b w:val="0"/>
          <w:bCs w:val="0"/>
          <w:sz w:val="24"/>
          <w:highlight w:val="none"/>
          <w:u w:val="none"/>
        </w:rPr>
      </w:pPr>
      <w:r>
        <w:rPr>
          <w:rFonts w:hint="eastAsia"/>
          <w:b w:val="0"/>
          <w:bCs w:val="0"/>
          <w:sz w:val="24"/>
          <w:highlight w:val="none"/>
          <w:u w:val="none"/>
        </w:rPr>
        <w:t>⑥项目所用</w:t>
      </w:r>
      <w:r>
        <w:rPr>
          <w:rFonts w:hint="eastAsia"/>
          <w:color w:val="000000"/>
          <w:sz w:val="24"/>
        </w:rPr>
        <w:t>石英砂</w:t>
      </w:r>
      <w:r>
        <w:rPr>
          <w:rFonts w:hint="eastAsia"/>
          <w:b w:val="0"/>
          <w:bCs w:val="0"/>
          <w:sz w:val="24"/>
          <w:highlight w:val="none"/>
          <w:u w:val="none"/>
        </w:rPr>
        <w:t>由吨包储存于密闭原料库内，项目块状、散装物料均按要求储存于封闭车间，项目</w:t>
      </w:r>
      <w:r>
        <w:rPr>
          <w:rFonts w:hint="eastAsia"/>
          <w:color w:val="000000"/>
          <w:sz w:val="24"/>
        </w:rPr>
        <w:t>石英砂</w:t>
      </w:r>
      <w:r>
        <w:rPr>
          <w:rFonts w:hint="eastAsia"/>
          <w:b w:val="0"/>
          <w:bCs w:val="0"/>
          <w:sz w:val="24"/>
          <w:highlight w:val="none"/>
          <w:u w:val="none"/>
        </w:rPr>
        <w:t>转移均采用密闭包装转移。</w:t>
      </w:r>
    </w:p>
    <w:p w14:paraId="4992EDA3">
      <w:pPr>
        <w:bidi w:val="0"/>
      </w:pPr>
      <w:r>
        <w:t>经采取以上措施后，本项目无组织废气排放量可得到有效控制，预计对周围敏感点及大气环境影响不大。</w:t>
      </w:r>
    </w:p>
    <w:bookmarkEnd w:id="352"/>
    <w:p w14:paraId="1E63BFFE">
      <w:pPr>
        <w:pStyle w:val="3"/>
        <w:rPr>
          <w:color w:val="000000"/>
        </w:rPr>
      </w:pPr>
      <w:bookmarkStart w:id="353" w:name="_Toc17317"/>
      <w:bookmarkStart w:id="354" w:name="_Toc2168"/>
      <w:bookmarkStart w:id="355" w:name="_Toc5066"/>
      <w:bookmarkStart w:id="356" w:name="_Toc17417"/>
      <w:bookmarkStart w:id="357" w:name="_Toc29488"/>
      <w:bookmarkStart w:id="358" w:name="_Toc24659"/>
      <w:bookmarkStart w:id="359" w:name="_Toc6134"/>
      <w:bookmarkStart w:id="360" w:name="_Toc161600566"/>
      <w:bookmarkStart w:id="361" w:name="_Toc16978"/>
      <w:r>
        <w:rPr>
          <w:rFonts w:hint="eastAsia"/>
          <w:color w:val="000000"/>
        </w:rPr>
        <w:t>5</w:t>
      </w:r>
      <w:r>
        <w:rPr>
          <w:color w:val="000000"/>
        </w:rPr>
        <w:t>.</w:t>
      </w:r>
      <w:r>
        <w:rPr>
          <w:rFonts w:hint="eastAsia"/>
          <w:color w:val="000000"/>
          <w:lang w:val="en-US" w:eastAsia="zh-CN"/>
        </w:rPr>
        <w:t>4</w:t>
      </w:r>
      <w:r>
        <w:rPr>
          <w:color w:val="000000"/>
        </w:rPr>
        <w:t>.自行监测计划</w:t>
      </w:r>
      <w:bookmarkEnd w:id="353"/>
      <w:bookmarkEnd w:id="354"/>
      <w:bookmarkEnd w:id="355"/>
      <w:bookmarkEnd w:id="356"/>
      <w:bookmarkEnd w:id="357"/>
      <w:bookmarkEnd w:id="358"/>
      <w:bookmarkEnd w:id="359"/>
      <w:bookmarkEnd w:id="360"/>
      <w:bookmarkEnd w:id="361"/>
    </w:p>
    <w:p w14:paraId="27A0493B">
      <w:pPr>
        <w:bidi w:val="0"/>
      </w:pPr>
      <w:r>
        <w:t>根据《排污单位自行监测技术指南 金属铸造业》(HJ1251-2022)，结合《排污许可证申请与核发技术规范 金属铸造工业》(HJ1115-2020)、《环境影响评价技术导则 大气环境》(HJ2.2-2018)附录C.7自行监测计划，结合企业的具体实际情况，制定自行监测计划见下表。</w:t>
      </w:r>
    </w:p>
    <w:p w14:paraId="7C575F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rPr>
      </w:pPr>
      <w:r>
        <w:rPr>
          <w:rFonts w:hint="default" w:ascii="Times New Roman" w:hAnsi="Times New Roman" w:eastAsia="黑体" w:cs="Times New Roman"/>
        </w:rPr>
        <w:t>表5.6-1  项目污染源监测计划一览表</w:t>
      </w:r>
    </w:p>
    <w:tbl>
      <w:tblPr>
        <w:tblStyle w:val="28"/>
        <w:tblW w:w="498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39"/>
        <w:gridCol w:w="1182"/>
        <w:gridCol w:w="1156"/>
        <w:gridCol w:w="1349"/>
        <w:gridCol w:w="1110"/>
        <w:gridCol w:w="4193"/>
      </w:tblGrid>
      <w:tr w14:paraId="532F9B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tcBorders>
              <w:right w:val="single" w:color="auto" w:sz="4" w:space="0"/>
            </w:tcBorders>
            <w:noWrap w:val="0"/>
            <w:vAlign w:val="center"/>
          </w:tcPr>
          <w:p w14:paraId="521CA5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类别</w:t>
            </w:r>
          </w:p>
        </w:tc>
        <w:tc>
          <w:tcPr>
            <w:tcW w:w="1177" w:type="pct"/>
            <w:gridSpan w:val="2"/>
            <w:tcBorders>
              <w:left w:val="single" w:color="auto" w:sz="4" w:space="0"/>
            </w:tcBorders>
            <w:noWrap w:val="0"/>
            <w:vAlign w:val="center"/>
          </w:tcPr>
          <w:p w14:paraId="300E56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监测点位</w:t>
            </w:r>
          </w:p>
        </w:tc>
        <w:tc>
          <w:tcPr>
            <w:tcW w:w="679" w:type="pct"/>
            <w:noWrap w:val="0"/>
            <w:vAlign w:val="center"/>
          </w:tcPr>
          <w:p w14:paraId="179EFD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监测因子</w:t>
            </w:r>
          </w:p>
        </w:tc>
        <w:tc>
          <w:tcPr>
            <w:tcW w:w="559" w:type="pct"/>
            <w:noWrap w:val="0"/>
            <w:vAlign w:val="center"/>
          </w:tcPr>
          <w:p w14:paraId="072F7C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监测频率</w:t>
            </w:r>
          </w:p>
        </w:tc>
        <w:tc>
          <w:tcPr>
            <w:tcW w:w="2111" w:type="pct"/>
            <w:noWrap w:val="0"/>
            <w:vAlign w:val="center"/>
          </w:tcPr>
          <w:p w14:paraId="16A0E6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执行标准</w:t>
            </w:r>
          </w:p>
        </w:tc>
      </w:tr>
      <w:tr w14:paraId="63789C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restart"/>
            <w:tcBorders>
              <w:right w:val="single" w:color="auto" w:sz="4" w:space="0"/>
            </w:tcBorders>
            <w:noWrap w:val="0"/>
            <w:vAlign w:val="center"/>
          </w:tcPr>
          <w:p w14:paraId="5BACBE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有组织</w:t>
            </w:r>
          </w:p>
        </w:tc>
        <w:tc>
          <w:tcPr>
            <w:tcW w:w="595" w:type="pct"/>
            <w:vMerge w:val="restart"/>
            <w:tcBorders>
              <w:left w:val="single" w:color="auto" w:sz="4" w:space="0"/>
            </w:tcBorders>
            <w:noWrap w:val="0"/>
            <w:vAlign w:val="center"/>
          </w:tcPr>
          <w:p w14:paraId="6C11A0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lang w:val="en-GB" w:eastAsia="zh-TW"/>
              </w:rPr>
            </w:pPr>
            <w:r>
              <w:rPr>
                <w:rFonts w:hint="default" w:ascii="Times New Roman" w:hAnsi="Times New Roman" w:cs="Times New Roman"/>
                <w:b w:val="0"/>
                <w:bCs w:val="0"/>
                <w:color w:val="auto"/>
                <w:kern w:val="0"/>
                <w:sz w:val="21"/>
                <w:szCs w:val="21"/>
                <w:highlight w:val="none"/>
                <w:u w:val="none"/>
                <w:lang w:val="en-US" w:eastAsia="zh-CN" w:bidi="ar-SA"/>
              </w:rPr>
              <w:t>熔炼</w:t>
            </w:r>
            <w:r>
              <w:rPr>
                <w:rFonts w:hint="eastAsia" w:ascii="Times New Roman" w:hAnsi="Times New Roman" w:cs="Times New Roman"/>
                <w:b w:val="0"/>
                <w:bCs w:val="0"/>
                <w:color w:val="auto"/>
                <w:kern w:val="0"/>
                <w:sz w:val="21"/>
                <w:szCs w:val="21"/>
                <w:highlight w:val="none"/>
                <w:u w:val="none"/>
                <w:lang w:val="en-US" w:eastAsia="zh-CN" w:bidi="ar-SA"/>
              </w:rPr>
              <w:t>工序</w:t>
            </w:r>
          </w:p>
        </w:tc>
        <w:tc>
          <w:tcPr>
            <w:tcW w:w="582" w:type="pct"/>
            <w:vMerge w:val="restart"/>
            <w:tcBorders>
              <w:left w:val="single" w:color="auto" w:sz="4" w:space="0"/>
            </w:tcBorders>
            <w:noWrap w:val="0"/>
            <w:vAlign w:val="center"/>
          </w:tcPr>
          <w:p w14:paraId="693283CF">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color w:val="000000"/>
                <w:sz w:val="21"/>
                <w:szCs w:val="21"/>
              </w:rPr>
            </w:pPr>
            <w:r>
              <w:rPr>
                <w:color w:val="000000"/>
                <w:sz w:val="21"/>
                <w:szCs w:val="21"/>
              </w:rPr>
              <w:t>DA00</w:t>
            </w:r>
            <w:r>
              <w:rPr>
                <w:rFonts w:hint="eastAsia"/>
                <w:color w:val="000000"/>
                <w:sz w:val="21"/>
                <w:szCs w:val="21"/>
              </w:rPr>
              <w:t>1</w:t>
            </w:r>
          </w:p>
        </w:tc>
        <w:tc>
          <w:tcPr>
            <w:tcW w:w="679" w:type="pct"/>
            <w:vMerge w:val="restart"/>
            <w:noWrap w:val="0"/>
            <w:vAlign w:val="center"/>
          </w:tcPr>
          <w:p w14:paraId="3580A533">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color w:val="000000"/>
                <w:sz w:val="21"/>
                <w:szCs w:val="21"/>
              </w:rPr>
            </w:pPr>
            <w:r>
              <w:rPr>
                <w:color w:val="000000"/>
                <w:sz w:val="21"/>
                <w:szCs w:val="21"/>
              </w:rPr>
              <w:t>颗粒物</w:t>
            </w:r>
          </w:p>
        </w:tc>
        <w:tc>
          <w:tcPr>
            <w:tcW w:w="559" w:type="pct"/>
            <w:vMerge w:val="restart"/>
            <w:noWrap w:val="0"/>
            <w:vAlign w:val="center"/>
          </w:tcPr>
          <w:p w14:paraId="4C40FA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b/>
                <w:color w:val="000000"/>
                <w:sz w:val="21"/>
                <w:szCs w:val="21"/>
              </w:rPr>
            </w:pPr>
            <w:r>
              <w:rPr>
                <w:color w:val="000000"/>
                <w:kern w:val="0"/>
                <w:sz w:val="21"/>
                <w:szCs w:val="21"/>
              </w:rPr>
              <w:t>1次/年</w:t>
            </w:r>
          </w:p>
        </w:tc>
        <w:tc>
          <w:tcPr>
            <w:tcW w:w="2111" w:type="pct"/>
            <w:noWrap w:val="0"/>
            <w:vAlign w:val="center"/>
          </w:tcPr>
          <w:p w14:paraId="348CA9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《工业炉窑大气污染物排放标准</w:t>
            </w:r>
            <w:r>
              <w:rPr>
                <w:rFonts w:hint="eastAsia"/>
                <w:color w:val="000000"/>
                <w:sz w:val="21"/>
                <w:szCs w:val="21"/>
              </w:rPr>
              <w:t>》</w:t>
            </w:r>
            <w:r>
              <w:rPr>
                <w:color w:val="000000"/>
                <w:sz w:val="21"/>
                <w:szCs w:val="21"/>
              </w:rPr>
              <w:t>（</w:t>
            </w:r>
            <w:r>
              <w:rPr>
                <w:rFonts w:hint="eastAsia"/>
                <w:color w:val="000000"/>
                <w:sz w:val="21"/>
                <w:szCs w:val="21"/>
                <w:lang w:eastAsia="zh-CN"/>
              </w:rPr>
              <w:t>DB41/1066-2020</w:t>
            </w:r>
            <w:r>
              <w:rPr>
                <w:color w:val="000000"/>
                <w:sz w:val="21"/>
                <w:szCs w:val="21"/>
              </w:rPr>
              <w:t>）</w:t>
            </w:r>
          </w:p>
        </w:tc>
      </w:tr>
      <w:tr w14:paraId="300FCF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1732F3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3851BE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71EAA948">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679" w:type="pct"/>
            <w:vMerge w:val="continue"/>
            <w:noWrap w:val="0"/>
            <w:vAlign w:val="center"/>
          </w:tcPr>
          <w:p w14:paraId="44A6095E">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59" w:type="pct"/>
            <w:vMerge w:val="continue"/>
            <w:noWrap w:val="0"/>
            <w:vAlign w:val="center"/>
          </w:tcPr>
          <w:p w14:paraId="352330C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789FC6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《重污染天气重点行业应急减排措施制定技术指南》（2020年修订版）中铸造企业绩效分级指标A级要求</w:t>
            </w:r>
          </w:p>
        </w:tc>
      </w:tr>
      <w:tr w14:paraId="2E4B66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0FF930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3F2DDB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1F1BC7DA">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679" w:type="pct"/>
            <w:vMerge w:val="continue"/>
            <w:noWrap w:val="0"/>
            <w:vAlign w:val="center"/>
          </w:tcPr>
          <w:p w14:paraId="5E47C789">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59" w:type="pct"/>
            <w:vMerge w:val="continue"/>
            <w:noWrap w:val="0"/>
            <w:vAlign w:val="center"/>
          </w:tcPr>
          <w:p w14:paraId="7596EC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61CE65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pacing w:val="5"/>
                <w:sz w:val="21"/>
                <w:szCs w:val="21"/>
              </w:rPr>
              <w:t>《河南省2019年铸造行业污染治理方案》</w:t>
            </w:r>
          </w:p>
        </w:tc>
      </w:tr>
      <w:tr w14:paraId="35A313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5C5B21D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restart"/>
            <w:tcBorders>
              <w:left w:val="single" w:color="auto" w:sz="4" w:space="0"/>
            </w:tcBorders>
            <w:noWrap w:val="0"/>
            <w:vAlign w:val="center"/>
          </w:tcPr>
          <w:p w14:paraId="55FC66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lang w:bidi="ar"/>
              </w:rPr>
            </w:pPr>
            <w:r>
              <w:rPr>
                <w:rFonts w:hint="default"/>
                <w:color w:val="000000" w:themeColor="text1"/>
                <w:sz w:val="21"/>
                <w:szCs w:val="21"/>
                <w:u w:val="none"/>
                <w:lang w:val="en-US" w:eastAsia="zh-CN"/>
                <w14:textFill>
                  <w14:solidFill>
                    <w14:schemeClr w14:val="tx1"/>
                  </w14:solidFill>
                </w14:textFill>
              </w:rPr>
              <w:t>混砂、造型/浇注、工件清理和不合格品回用切割工序</w:t>
            </w:r>
          </w:p>
        </w:tc>
        <w:tc>
          <w:tcPr>
            <w:tcW w:w="582" w:type="pct"/>
            <w:vMerge w:val="restart"/>
            <w:tcBorders>
              <w:left w:val="single" w:color="auto" w:sz="4" w:space="0"/>
            </w:tcBorders>
            <w:noWrap w:val="0"/>
            <w:vAlign w:val="center"/>
          </w:tcPr>
          <w:p w14:paraId="180641E7">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rFonts w:hint="eastAsia"/>
                <w:color w:val="000000"/>
                <w:sz w:val="21"/>
                <w:szCs w:val="21"/>
              </w:rPr>
            </w:pPr>
            <w:r>
              <w:rPr>
                <w:color w:val="000000"/>
                <w:sz w:val="21"/>
                <w:szCs w:val="21"/>
              </w:rPr>
              <w:t>DA00</w:t>
            </w:r>
            <w:r>
              <w:rPr>
                <w:rFonts w:hint="eastAsia"/>
                <w:color w:val="000000"/>
                <w:sz w:val="21"/>
                <w:szCs w:val="21"/>
              </w:rPr>
              <w:t>2</w:t>
            </w:r>
          </w:p>
        </w:tc>
        <w:tc>
          <w:tcPr>
            <w:tcW w:w="679" w:type="pct"/>
            <w:vMerge w:val="restart"/>
            <w:noWrap w:val="0"/>
            <w:vAlign w:val="center"/>
          </w:tcPr>
          <w:p w14:paraId="759FFFB6">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颗粒物</w:t>
            </w:r>
          </w:p>
        </w:tc>
        <w:tc>
          <w:tcPr>
            <w:tcW w:w="559" w:type="pct"/>
            <w:vMerge w:val="restart"/>
            <w:noWrap w:val="0"/>
            <w:vAlign w:val="center"/>
          </w:tcPr>
          <w:p w14:paraId="6CB9E49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r>
              <w:rPr>
                <w:color w:val="000000"/>
                <w:kern w:val="0"/>
                <w:sz w:val="21"/>
                <w:szCs w:val="21"/>
              </w:rPr>
              <w:t>1次/年</w:t>
            </w:r>
          </w:p>
        </w:tc>
        <w:tc>
          <w:tcPr>
            <w:tcW w:w="2111" w:type="pct"/>
            <w:noWrap w:val="0"/>
            <w:vAlign w:val="center"/>
          </w:tcPr>
          <w:p w14:paraId="1D2BAA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2AC094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56A060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589154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5FB69429">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679" w:type="pct"/>
            <w:vMerge w:val="continue"/>
            <w:noWrap w:val="0"/>
            <w:vAlign w:val="center"/>
          </w:tcPr>
          <w:p w14:paraId="27385387">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59" w:type="pct"/>
            <w:vMerge w:val="continue"/>
            <w:noWrap w:val="0"/>
            <w:vAlign w:val="center"/>
          </w:tcPr>
          <w:p w14:paraId="7BC5087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203658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《重污染天气重点行业应急减排措施制定技术指南》（2020年修订版）中铸造企业绩效分级指标A级要求</w:t>
            </w:r>
          </w:p>
        </w:tc>
      </w:tr>
      <w:tr w14:paraId="7A7D70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2D23FB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5ABE672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55CA9E9D">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679" w:type="pct"/>
            <w:vMerge w:val="continue"/>
            <w:noWrap w:val="0"/>
            <w:vAlign w:val="center"/>
          </w:tcPr>
          <w:p w14:paraId="0C9DAAF5">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59" w:type="pct"/>
            <w:vMerge w:val="continue"/>
            <w:noWrap w:val="0"/>
            <w:vAlign w:val="center"/>
          </w:tcPr>
          <w:p w14:paraId="32FB259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2D3CF3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pacing w:val="5"/>
                <w:sz w:val="21"/>
                <w:szCs w:val="21"/>
              </w:rPr>
              <w:t>《河南省2019年铸造行业污染治理方案》</w:t>
            </w:r>
          </w:p>
        </w:tc>
      </w:tr>
      <w:tr w14:paraId="035781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08E437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7C2CD6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13CD26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679" w:type="pct"/>
            <w:vMerge w:val="restart"/>
            <w:noWrap w:val="0"/>
            <w:vAlign w:val="center"/>
          </w:tcPr>
          <w:p w14:paraId="7E2D9CB4">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非甲烷总烃</w:t>
            </w:r>
          </w:p>
        </w:tc>
        <w:tc>
          <w:tcPr>
            <w:tcW w:w="559" w:type="pct"/>
            <w:vMerge w:val="restart"/>
            <w:noWrap w:val="0"/>
            <w:vAlign w:val="center"/>
          </w:tcPr>
          <w:p w14:paraId="620C77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6971A6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《大气污染物综合排放标准》（</w:t>
            </w:r>
            <w:r>
              <w:rPr>
                <w:rFonts w:hint="eastAsia"/>
                <w:color w:val="000000"/>
                <w:sz w:val="21"/>
                <w:szCs w:val="21"/>
                <w:lang w:eastAsia="zh-CN"/>
              </w:rPr>
              <w:t>GB16297-1996</w:t>
            </w:r>
            <w:r>
              <w:rPr>
                <w:color w:val="000000"/>
                <w:sz w:val="21"/>
                <w:szCs w:val="21"/>
              </w:rPr>
              <w:t>）表2标准</w:t>
            </w:r>
          </w:p>
        </w:tc>
      </w:tr>
      <w:tr w14:paraId="19759B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5DC56E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717C82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564F90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679" w:type="pct"/>
            <w:vMerge w:val="continue"/>
            <w:noWrap w:val="0"/>
            <w:vAlign w:val="center"/>
          </w:tcPr>
          <w:p w14:paraId="6856D10F">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59" w:type="pct"/>
            <w:vMerge w:val="continue"/>
            <w:noWrap w:val="0"/>
            <w:vAlign w:val="center"/>
          </w:tcPr>
          <w:p w14:paraId="10EE610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0A346E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《关于全省开展工业企业挥发性有机物专项治理工作中排放建议值的通知》（豫环攻坚办[2017]162号）附件1中其他工业</w:t>
            </w:r>
          </w:p>
        </w:tc>
      </w:tr>
      <w:tr w14:paraId="5DF737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57CAB2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26CE70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67EDC9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noWrap w:val="0"/>
            <w:vAlign w:val="center"/>
          </w:tcPr>
          <w:p w14:paraId="779BA05C">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rPr>
            </w:pPr>
            <w:r>
              <w:rPr>
                <w:rFonts w:hint="eastAsia"/>
                <w:color w:val="000000"/>
                <w:sz w:val="21"/>
                <w:szCs w:val="21"/>
              </w:rPr>
              <w:t>甲醛</w:t>
            </w:r>
          </w:p>
        </w:tc>
        <w:tc>
          <w:tcPr>
            <w:tcW w:w="559" w:type="pct"/>
            <w:noWrap w:val="0"/>
            <w:vAlign w:val="center"/>
          </w:tcPr>
          <w:p w14:paraId="777B95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1F476FD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rPr>
            </w:pPr>
            <w:r>
              <w:rPr>
                <w:color w:val="000000"/>
                <w:sz w:val="21"/>
                <w:szCs w:val="21"/>
              </w:rPr>
              <w:t>《大气污染物综合排放标准》（GB16297-1996）表2标准</w:t>
            </w:r>
          </w:p>
        </w:tc>
      </w:tr>
      <w:tr w14:paraId="3A6AA2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7CAC70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restart"/>
            <w:tcBorders>
              <w:left w:val="single" w:color="auto" w:sz="4" w:space="0"/>
            </w:tcBorders>
            <w:noWrap w:val="0"/>
            <w:vAlign w:val="center"/>
          </w:tcPr>
          <w:p w14:paraId="124F4460">
            <w:pPr>
              <w:pStyle w:val="35"/>
              <w:ind w:firstLine="0" w:firstLineChars="0"/>
              <w:rPr>
                <w:color w:val="000000"/>
                <w:sz w:val="21"/>
                <w:szCs w:val="21"/>
              </w:rPr>
            </w:pPr>
            <w:r>
              <w:rPr>
                <w:rFonts w:hint="eastAsia"/>
                <w:sz w:val="21"/>
                <w:szCs w:val="21"/>
                <w:u w:val="none"/>
                <w:lang w:val="en-US" w:eastAsia="zh-CN"/>
              </w:rPr>
              <w:t>落砂及砂处理工序</w:t>
            </w:r>
          </w:p>
        </w:tc>
        <w:tc>
          <w:tcPr>
            <w:tcW w:w="582" w:type="pct"/>
            <w:vMerge w:val="restart"/>
            <w:tcBorders>
              <w:left w:val="single" w:color="auto" w:sz="4" w:space="0"/>
            </w:tcBorders>
            <w:noWrap w:val="0"/>
            <w:vAlign w:val="center"/>
          </w:tcPr>
          <w:p w14:paraId="436864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DA0</w:t>
            </w:r>
            <w:r>
              <w:rPr>
                <w:rFonts w:hint="eastAsia"/>
                <w:color w:val="000000"/>
                <w:sz w:val="21"/>
                <w:szCs w:val="21"/>
              </w:rPr>
              <w:t>03</w:t>
            </w:r>
          </w:p>
        </w:tc>
        <w:tc>
          <w:tcPr>
            <w:tcW w:w="679" w:type="pct"/>
            <w:vMerge w:val="restart"/>
            <w:noWrap w:val="0"/>
            <w:vAlign w:val="center"/>
          </w:tcPr>
          <w:p w14:paraId="1284D4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颗粒物</w:t>
            </w:r>
          </w:p>
        </w:tc>
        <w:tc>
          <w:tcPr>
            <w:tcW w:w="559" w:type="pct"/>
            <w:vMerge w:val="restart"/>
            <w:noWrap w:val="0"/>
            <w:vAlign w:val="center"/>
          </w:tcPr>
          <w:p w14:paraId="7A4944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r>
              <w:rPr>
                <w:color w:val="000000"/>
                <w:kern w:val="0"/>
                <w:sz w:val="21"/>
                <w:szCs w:val="21"/>
              </w:rPr>
              <w:t>1次/年</w:t>
            </w:r>
          </w:p>
        </w:tc>
        <w:tc>
          <w:tcPr>
            <w:tcW w:w="2111" w:type="pct"/>
            <w:noWrap w:val="0"/>
            <w:vAlign w:val="center"/>
          </w:tcPr>
          <w:p w14:paraId="41327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1D0AE0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4FC7D0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57DCFB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582" w:type="pct"/>
            <w:vMerge w:val="continue"/>
            <w:tcBorders>
              <w:left w:val="single" w:color="auto" w:sz="4" w:space="0"/>
            </w:tcBorders>
            <w:noWrap w:val="0"/>
            <w:vAlign w:val="center"/>
          </w:tcPr>
          <w:p w14:paraId="0FAD59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p>
        </w:tc>
        <w:tc>
          <w:tcPr>
            <w:tcW w:w="679" w:type="pct"/>
            <w:vMerge w:val="continue"/>
            <w:noWrap w:val="0"/>
            <w:vAlign w:val="center"/>
          </w:tcPr>
          <w:p w14:paraId="739E2B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59" w:type="pct"/>
            <w:vMerge w:val="continue"/>
            <w:noWrap w:val="0"/>
            <w:vAlign w:val="center"/>
          </w:tcPr>
          <w:p w14:paraId="29FAA8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13E13B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4E67F1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6FCE3A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5" w:type="pct"/>
            <w:vMerge w:val="restart"/>
            <w:tcBorders>
              <w:left w:val="single" w:color="auto" w:sz="4" w:space="0"/>
            </w:tcBorders>
            <w:noWrap w:val="0"/>
            <w:vAlign w:val="center"/>
          </w:tcPr>
          <w:p w14:paraId="485FE6CF">
            <w:pPr>
              <w:pStyle w:val="35"/>
              <w:ind w:firstLine="0" w:firstLineChars="0"/>
              <w:rPr>
                <w:color w:val="000000"/>
                <w:sz w:val="21"/>
                <w:szCs w:val="21"/>
              </w:rPr>
            </w:pPr>
            <w:r>
              <w:rPr>
                <w:rFonts w:hint="eastAsia"/>
                <w:color w:val="000000" w:themeColor="text1"/>
                <w:sz w:val="21"/>
                <w:szCs w:val="21"/>
                <w:u w:val="none"/>
                <w:lang w:val="en-US" w:eastAsia="zh-CN"/>
                <w14:textFill>
                  <w14:solidFill>
                    <w14:schemeClr w14:val="tx1"/>
                  </w14:solidFill>
                </w14:textFill>
              </w:rPr>
              <w:t>抛丸工序</w:t>
            </w:r>
          </w:p>
        </w:tc>
        <w:tc>
          <w:tcPr>
            <w:tcW w:w="582" w:type="pct"/>
            <w:vMerge w:val="restart"/>
            <w:tcBorders>
              <w:left w:val="single" w:color="auto" w:sz="4" w:space="0"/>
            </w:tcBorders>
            <w:noWrap w:val="0"/>
            <w:vAlign w:val="center"/>
          </w:tcPr>
          <w:p w14:paraId="5EA5C1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DA0</w:t>
            </w:r>
            <w:r>
              <w:rPr>
                <w:rFonts w:hint="eastAsia"/>
                <w:color w:val="000000"/>
                <w:sz w:val="21"/>
                <w:szCs w:val="21"/>
              </w:rPr>
              <w:t>04</w:t>
            </w:r>
          </w:p>
        </w:tc>
        <w:tc>
          <w:tcPr>
            <w:tcW w:w="679" w:type="pct"/>
            <w:vMerge w:val="restart"/>
            <w:noWrap w:val="0"/>
            <w:vAlign w:val="center"/>
          </w:tcPr>
          <w:p w14:paraId="4464B9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z w:val="21"/>
                <w:szCs w:val="21"/>
              </w:rPr>
              <w:t>颗粒物</w:t>
            </w:r>
          </w:p>
        </w:tc>
        <w:tc>
          <w:tcPr>
            <w:tcW w:w="559" w:type="pct"/>
            <w:vMerge w:val="restart"/>
            <w:noWrap w:val="0"/>
            <w:vAlign w:val="center"/>
          </w:tcPr>
          <w:p w14:paraId="105040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7421CB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rPr>
              <w:t>《</w:t>
            </w:r>
            <w:r>
              <w:rPr>
                <w:color w:val="000000"/>
                <w:spacing w:val="8"/>
                <w:sz w:val="21"/>
                <w:szCs w:val="21"/>
              </w:rPr>
              <w:t>铸造工业大气污染物排放标准》</w:t>
            </w:r>
            <w:r>
              <w:rPr>
                <w:color w:val="000000"/>
                <w:spacing w:val="9"/>
                <w:sz w:val="21"/>
                <w:szCs w:val="21"/>
              </w:rPr>
              <w:t>(</w:t>
            </w:r>
            <w:r>
              <w:rPr>
                <w:color w:val="000000"/>
                <w:sz w:val="21"/>
                <w:szCs w:val="21"/>
              </w:rPr>
              <w:t>GB</w:t>
            </w:r>
            <w:r>
              <w:rPr>
                <w:color w:val="000000"/>
                <w:spacing w:val="8"/>
                <w:sz w:val="21"/>
                <w:szCs w:val="21"/>
              </w:rPr>
              <w:t>39726-2020)表1中标准</w:t>
            </w:r>
          </w:p>
        </w:tc>
      </w:tr>
      <w:tr w14:paraId="5AF65C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2201C3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95" w:type="pct"/>
            <w:vMerge w:val="continue"/>
            <w:tcBorders>
              <w:left w:val="single" w:color="auto" w:sz="4" w:space="0"/>
            </w:tcBorders>
            <w:noWrap w:val="0"/>
            <w:vAlign w:val="center"/>
          </w:tcPr>
          <w:p w14:paraId="7277E130">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p>
        </w:tc>
        <w:tc>
          <w:tcPr>
            <w:tcW w:w="582" w:type="pct"/>
            <w:vMerge w:val="continue"/>
            <w:tcBorders>
              <w:left w:val="single" w:color="auto" w:sz="4" w:space="0"/>
            </w:tcBorders>
            <w:noWrap w:val="0"/>
            <w:vAlign w:val="center"/>
          </w:tcPr>
          <w:p w14:paraId="432DC1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vMerge w:val="continue"/>
            <w:noWrap w:val="0"/>
            <w:vAlign w:val="center"/>
          </w:tcPr>
          <w:p w14:paraId="2C5A75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559" w:type="pct"/>
            <w:vMerge w:val="continue"/>
            <w:noWrap w:val="0"/>
            <w:vAlign w:val="center"/>
          </w:tcPr>
          <w:p w14:paraId="7781229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kern w:val="0"/>
                <w:sz w:val="21"/>
                <w:szCs w:val="21"/>
              </w:rPr>
            </w:pPr>
          </w:p>
        </w:tc>
        <w:tc>
          <w:tcPr>
            <w:tcW w:w="2111" w:type="pct"/>
            <w:noWrap w:val="0"/>
            <w:vAlign w:val="center"/>
          </w:tcPr>
          <w:p w14:paraId="4090F1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6FDFC7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restart"/>
            <w:tcBorders>
              <w:right w:val="single" w:color="auto" w:sz="4" w:space="0"/>
            </w:tcBorders>
            <w:noWrap w:val="0"/>
            <w:vAlign w:val="center"/>
          </w:tcPr>
          <w:p w14:paraId="141A66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无组织</w:t>
            </w:r>
          </w:p>
        </w:tc>
        <w:tc>
          <w:tcPr>
            <w:tcW w:w="1177" w:type="pct"/>
            <w:gridSpan w:val="2"/>
            <w:vMerge w:val="restart"/>
            <w:tcBorders>
              <w:left w:val="single" w:color="auto" w:sz="4" w:space="0"/>
            </w:tcBorders>
            <w:noWrap w:val="0"/>
            <w:vAlign w:val="center"/>
          </w:tcPr>
          <w:p w14:paraId="5A3E8F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厂界</w:t>
            </w:r>
          </w:p>
        </w:tc>
        <w:tc>
          <w:tcPr>
            <w:tcW w:w="679" w:type="pct"/>
            <w:vMerge w:val="restart"/>
            <w:noWrap w:val="0"/>
            <w:vAlign w:val="center"/>
          </w:tcPr>
          <w:p w14:paraId="768E4C87">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r>
              <w:rPr>
                <w:color w:val="000000"/>
                <w:sz w:val="21"/>
                <w:szCs w:val="21"/>
              </w:rPr>
              <w:t>颗粒物</w:t>
            </w:r>
          </w:p>
        </w:tc>
        <w:tc>
          <w:tcPr>
            <w:tcW w:w="559" w:type="pct"/>
            <w:vMerge w:val="restart"/>
            <w:noWrap w:val="0"/>
            <w:vAlign w:val="center"/>
          </w:tcPr>
          <w:p w14:paraId="58A076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09D15C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《工业炉窑大气污染物排放标准</w:t>
            </w:r>
            <w:r>
              <w:rPr>
                <w:rFonts w:hint="eastAsia"/>
                <w:color w:val="000000"/>
                <w:sz w:val="21"/>
                <w:szCs w:val="21"/>
              </w:rPr>
              <w:t>》</w:t>
            </w:r>
            <w:r>
              <w:rPr>
                <w:color w:val="000000"/>
                <w:sz w:val="21"/>
                <w:szCs w:val="21"/>
              </w:rPr>
              <w:t>（</w:t>
            </w:r>
            <w:r>
              <w:rPr>
                <w:rFonts w:hint="eastAsia"/>
                <w:color w:val="000000"/>
                <w:sz w:val="21"/>
                <w:szCs w:val="21"/>
                <w:lang w:eastAsia="zh-CN"/>
              </w:rPr>
              <w:t>DB41/1066-2020</w:t>
            </w:r>
            <w:r>
              <w:rPr>
                <w:color w:val="000000"/>
                <w:sz w:val="21"/>
                <w:szCs w:val="21"/>
              </w:rPr>
              <w:t>）</w:t>
            </w:r>
          </w:p>
        </w:tc>
      </w:tr>
      <w:tr w14:paraId="206AF3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7736F4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177" w:type="pct"/>
            <w:gridSpan w:val="2"/>
            <w:vMerge w:val="continue"/>
            <w:tcBorders>
              <w:left w:val="single" w:color="auto" w:sz="4" w:space="0"/>
            </w:tcBorders>
            <w:noWrap w:val="0"/>
            <w:vAlign w:val="center"/>
          </w:tcPr>
          <w:p w14:paraId="1C3B69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679" w:type="pct"/>
            <w:vMerge w:val="continue"/>
            <w:noWrap w:val="0"/>
            <w:vAlign w:val="center"/>
          </w:tcPr>
          <w:p w14:paraId="5B8207AF">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59" w:type="pct"/>
            <w:vMerge w:val="continue"/>
            <w:noWrap w:val="0"/>
            <w:vAlign w:val="center"/>
          </w:tcPr>
          <w:p w14:paraId="3B10EE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111" w:type="pct"/>
            <w:noWrap w:val="0"/>
            <w:vAlign w:val="center"/>
          </w:tcPr>
          <w:p w14:paraId="3CF73F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highlight w:val="none"/>
                <w:u w:val="none"/>
              </w:rPr>
            </w:pPr>
            <w:r>
              <w:rPr>
                <w:color w:val="000000"/>
                <w:spacing w:val="10"/>
                <w:sz w:val="21"/>
                <w:szCs w:val="21"/>
                <w:highlight w:val="none"/>
                <w:u w:val="none"/>
              </w:rPr>
              <w:t>《河</w:t>
            </w:r>
            <w:r>
              <w:rPr>
                <w:color w:val="000000"/>
                <w:spacing w:val="5"/>
                <w:sz w:val="21"/>
                <w:szCs w:val="21"/>
                <w:highlight w:val="none"/>
                <w:u w:val="none"/>
              </w:rPr>
              <w:t>南省2019年铸造行业污染治理方案》</w:t>
            </w:r>
          </w:p>
        </w:tc>
      </w:tr>
      <w:tr w14:paraId="1A90A3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1AB6C5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177" w:type="pct"/>
            <w:gridSpan w:val="2"/>
            <w:vMerge w:val="continue"/>
            <w:tcBorders>
              <w:left w:val="single" w:color="auto" w:sz="4" w:space="0"/>
            </w:tcBorders>
            <w:noWrap w:val="0"/>
            <w:vAlign w:val="center"/>
          </w:tcPr>
          <w:p w14:paraId="3EBEB2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679" w:type="pct"/>
            <w:vMerge w:val="continue"/>
            <w:noWrap w:val="0"/>
            <w:vAlign w:val="center"/>
          </w:tcPr>
          <w:p w14:paraId="7A15C1AF">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59" w:type="pct"/>
            <w:vMerge w:val="continue"/>
            <w:noWrap w:val="0"/>
            <w:vAlign w:val="center"/>
          </w:tcPr>
          <w:p w14:paraId="0A3191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111" w:type="pct"/>
            <w:noWrap w:val="0"/>
            <w:vAlign w:val="center"/>
          </w:tcPr>
          <w:p w14:paraId="3C0042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pacing w:val="10"/>
                <w:sz w:val="21"/>
                <w:szCs w:val="21"/>
              </w:rPr>
            </w:pPr>
            <w:r>
              <w:rPr>
                <w:color w:val="000000"/>
                <w:sz w:val="21"/>
                <w:szCs w:val="21"/>
              </w:rPr>
              <w:t>《铸造工业大气污染物排放标准》(GB39726-2020)</w:t>
            </w:r>
          </w:p>
        </w:tc>
      </w:tr>
      <w:tr w14:paraId="309BE6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7B235F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177" w:type="pct"/>
            <w:gridSpan w:val="2"/>
            <w:vMerge w:val="continue"/>
            <w:tcBorders>
              <w:left w:val="single" w:color="auto" w:sz="4" w:space="0"/>
            </w:tcBorders>
            <w:noWrap w:val="0"/>
            <w:vAlign w:val="center"/>
          </w:tcPr>
          <w:p w14:paraId="594170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vMerge w:val="restart"/>
            <w:noWrap w:val="0"/>
            <w:vAlign w:val="center"/>
          </w:tcPr>
          <w:p w14:paraId="3F137B68">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r>
              <w:rPr>
                <w:color w:val="000000"/>
                <w:sz w:val="21"/>
                <w:szCs w:val="21"/>
              </w:rPr>
              <w:t>非甲烷总烃</w:t>
            </w:r>
          </w:p>
        </w:tc>
        <w:tc>
          <w:tcPr>
            <w:tcW w:w="559" w:type="pct"/>
            <w:vMerge w:val="restart"/>
            <w:noWrap w:val="0"/>
            <w:vAlign w:val="center"/>
          </w:tcPr>
          <w:p w14:paraId="14884C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2050F0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《大气污染物综合排放标准》（GB16297-1996）表2标准</w:t>
            </w:r>
          </w:p>
        </w:tc>
      </w:tr>
      <w:tr w14:paraId="0FA757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694B90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177" w:type="pct"/>
            <w:gridSpan w:val="2"/>
            <w:vMerge w:val="continue"/>
            <w:tcBorders>
              <w:left w:val="single" w:color="auto" w:sz="4" w:space="0"/>
            </w:tcBorders>
            <w:noWrap w:val="0"/>
            <w:vAlign w:val="center"/>
          </w:tcPr>
          <w:p w14:paraId="7223DC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vMerge w:val="continue"/>
            <w:noWrap w:val="0"/>
            <w:vAlign w:val="center"/>
          </w:tcPr>
          <w:p w14:paraId="647474C7">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59" w:type="pct"/>
            <w:vMerge w:val="continue"/>
            <w:noWrap w:val="0"/>
            <w:vAlign w:val="center"/>
          </w:tcPr>
          <w:p w14:paraId="4C68AF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111" w:type="pct"/>
            <w:noWrap w:val="0"/>
            <w:vAlign w:val="center"/>
          </w:tcPr>
          <w:p w14:paraId="59FE50F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《关于全省开展工业企业挥发性有机物专项治理工作中排放建议值的通知》（豫环攻坚办[2017]162号）中附件1中其他工业</w:t>
            </w:r>
          </w:p>
        </w:tc>
      </w:tr>
      <w:tr w14:paraId="7D6843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2FD47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000000"/>
                <w:sz w:val="21"/>
                <w:szCs w:val="21"/>
              </w:rPr>
            </w:pPr>
          </w:p>
        </w:tc>
        <w:tc>
          <w:tcPr>
            <w:tcW w:w="1177" w:type="pct"/>
            <w:gridSpan w:val="2"/>
            <w:vMerge w:val="continue"/>
            <w:tcBorders>
              <w:left w:val="single" w:color="auto" w:sz="4" w:space="0"/>
            </w:tcBorders>
            <w:noWrap w:val="0"/>
            <w:vAlign w:val="center"/>
          </w:tcPr>
          <w:p w14:paraId="58C31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vMerge w:val="continue"/>
            <w:noWrap w:val="0"/>
            <w:vAlign w:val="center"/>
          </w:tcPr>
          <w:p w14:paraId="509BF6CF">
            <w:pPr>
              <w:pStyle w:val="59"/>
              <w:keepNext w:val="0"/>
              <w:keepLines w:val="0"/>
              <w:pageBreakBefore w:val="0"/>
              <w:widowControl w:val="0"/>
              <w:kinsoku/>
              <w:wordWrap/>
              <w:overflowPunct/>
              <w:topLinePunct w:val="0"/>
              <w:autoSpaceDE/>
              <w:autoSpaceDN/>
              <w:bidi w:val="0"/>
              <w:spacing w:line="240" w:lineRule="auto"/>
              <w:ind w:firstLine="0" w:firstLineChars="0"/>
              <w:textAlignment w:val="auto"/>
              <w:rPr>
                <w:color w:val="000000"/>
                <w:sz w:val="21"/>
                <w:szCs w:val="21"/>
              </w:rPr>
            </w:pPr>
          </w:p>
        </w:tc>
        <w:tc>
          <w:tcPr>
            <w:tcW w:w="559" w:type="pct"/>
            <w:vMerge w:val="continue"/>
            <w:noWrap w:val="0"/>
            <w:vAlign w:val="center"/>
          </w:tcPr>
          <w:p w14:paraId="38F45B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kern w:val="0"/>
                <w:sz w:val="21"/>
                <w:szCs w:val="21"/>
              </w:rPr>
            </w:pPr>
          </w:p>
        </w:tc>
        <w:tc>
          <w:tcPr>
            <w:tcW w:w="2111" w:type="pct"/>
            <w:noWrap w:val="0"/>
            <w:vAlign w:val="center"/>
          </w:tcPr>
          <w:p w14:paraId="33D86A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rFonts w:hint="eastAsia"/>
                <w:color w:val="000000"/>
                <w:sz w:val="21"/>
                <w:szCs w:val="21"/>
              </w:rPr>
              <w:t>《挥发性有机物无组织排放控制标准》</w:t>
            </w:r>
            <w:r>
              <w:rPr>
                <w:color w:val="000000"/>
                <w:sz w:val="21"/>
                <w:szCs w:val="21"/>
              </w:rPr>
              <w:t>(GB37822-2019)</w:t>
            </w:r>
          </w:p>
        </w:tc>
      </w:tr>
      <w:tr w14:paraId="2D6BF0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73" w:type="pct"/>
            <w:vMerge w:val="continue"/>
            <w:tcBorders>
              <w:right w:val="single" w:color="auto" w:sz="4" w:space="0"/>
            </w:tcBorders>
            <w:noWrap w:val="0"/>
            <w:vAlign w:val="center"/>
          </w:tcPr>
          <w:p w14:paraId="3D2DF5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1177" w:type="pct"/>
            <w:gridSpan w:val="2"/>
            <w:vMerge w:val="continue"/>
            <w:tcBorders>
              <w:left w:val="single" w:color="auto" w:sz="4" w:space="0"/>
            </w:tcBorders>
            <w:noWrap w:val="0"/>
            <w:vAlign w:val="center"/>
          </w:tcPr>
          <w:p w14:paraId="038596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679" w:type="pct"/>
            <w:noWrap w:val="0"/>
            <w:vAlign w:val="center"/>
          </w:tcPr>
          <w:p w14:paraId="3A833804">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color w:val="000000"/>
                <w:sz w:val="21"/>
                <w:szCs w:val="21"/>
              </w:rPr>
              <w:t>甲醛</w:t>
            </w:r>
          </w:p>
        </w:tc>
        <w:tc>
          <w:tcPr>
            <w:tcW w:w="559" w:type="pct"/>
            <w:noWrap w:val="0"/>
            <w:vAlign w:val="center"/>
          </w:tcPr>
          <w:p w14:paraId="034B42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color w:val="000000"/>
                <w:kern w:val="0"/>
                <w:sz w:val="21"/>
                <w:szCs w:val="21"/>
              </w:rPr>
              <w:t>1次/年</w:t>
            </w:r>
          </w:p>
        </w:tc>
        <w:tc>
          <w:tcPr>
            <w:tcW w:w="2111" w:type="pct"/>
            <w:noWrap w:val="0"/>
            <w:vAlign w:val="center"/>
          </w:tcPr>
          <w:p w14:paraId="340751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000000"/>
                <w:sz w:val="21"/>
                <w:szCs w:val="21"/>
              </w:rPr>
            </w:pPr>
            <w:r>
              <w:rPr>
                <w:color w:val="000000"/>
                <w:sz w:val="21"/>
                <w:szCs w:val="21"/>
              </w:rPr>
              <w:t>《大气污染物综合排放标准》（GB16297-1996）表2标准</w:t>
            </w:r>
          </w:p>
        </w:tc>
      </w:tr>
    </w:tbl>
    <w:p w14:paraId="69B9FF8E">
      <w:pPr>
        <w:rPr>
          <w:color w:val="000000"/>
          <w:spacing w:val="0"/>
          <w:szCs w:val="24"/>
        </w:rPr>
        <w:sectPr>
          <w:footerReference r:id="rId13" w:type="default"/>
          <w:pgSz w:w="11905" w:h="16838"/>
          <w:pgMar w:top="1440" w:right="1083" w:bottom="1440" w:left="1083" w:header="850" w:footer="992" w:gutter="0"/>
          <w:cols w:space="720" w:num="1"/>
          <w:titlePg/>
          <w:docGrid w:type="lines" w:linePitch="318" w:charSpace="0"/>
        </w:sectPr>
      </w:pPr>
    </w:p>
    <w:p w14:paraId="3A1B5DD1">
      <w:pPr>
        <w:pStyle w:val="2"/>
        <w:jc w:val="center"/>
        <w:rPr>
          <w:color w:val="000000"/>
        </w:rPr>
      </w:pPr>
      <w:bookmarkStart w:id="362" w:name="_Toc161600583"/>
      <w:bookmarkEnd w:id="362"/>
      <w:bookmarkStart w:id="363" w:name="_Toc161600579"/>
      <w:bookmarkEnd w:id="363"/>
      <w:bookmarkStart w:id="364" w:name="_Toc161600592"/>
      <w:bookmarkEnd w:id="364"/>
      <w:bookmarkStart w:id="365" w:name="_Toc161600590"/>
      <w:bookmarkEnd w:id="365"/>
      <w:bookmarkStart w:id="366" w:name="_Toc161600585"/>
      <w:bookmarkEnd w:id="366"/>
      <w:bookmarkStart w:id="367" w:name="_Toc161600588"/>
      <w:bookmarkEnd w:id="367"/>
      <w:bookmarkStart w:id="368" w:name="_Toc161600582"/>
      <w:bookmarkEnd w:id="368"/>
      <w:bookmarkStart w:id="369" w:name="_Toc161600595"/>
      <w:bookmarkEnd w:id="369"/>
      <w:bookmarkStart w:id="370" w:name="_Toc161600572"/>
      <w:bookmarkEnd w:id="370"/>
      <w:bookmarkStart w:id="371" w:name="_Toc161600577"/>
      <w:bookmarkEnd w:id="371"/>
      <w:bookmarkStart w:id="372" w:name="_Toc161600570"/>
      <w:bookmarkEnd w:id="372"/>
      <w:bookmarkStart w:id="373" w:name="_Toc161600574"/>
      <w:bookmarkEnd w:id="373"/>
      <w:bookmarkStart w:id="374" w:name="_Toc161600568"/>
      <w:bookmarkEnd w:id="374"/>
      <w:bookmarkStart w:id="375" w:name="_Toc161600578"/>
      <w:bookmarkEnd w:id="375"/>
      <w:bookmarkStart w:id="376" w:name="_Toc161600589"/>
      <w:bookmarkEnd w:id="376"/>
      <w:bookmarkStart w:id="377" w:name="_Toc161600587"/>
      <w:bookmarkEnd w:id="377"/>
      <w:bookmarkStart w:id="378" w:name="_Toc161600594"/>
      <w:bookmarkEnd w:id="378"/>
      <w:bookmarkStart w:id="379" w:name="_Toc161600591"/>
      <w:bookmarkEnd w:id="379"/>
      <w:bookmarkStart w:id="380" w:name="_Toc161600580"/>
      <w:bookmarkEnd w:id="380"/>
      <w:bookmarkStart w:id="381" w:name="_Toc161600575"/>
      <w:bookmarkEnd w:id="381"/>
      <w:bookmarkStart w:id="382" w:name="_Toc161600584"/>
      <w:bookmarkEnd w:id="382"/>
      <w:bookmarkStart w:id="383" w:name="_Toc161600569"/>
      <w:bookmarkEnd w:id="383"/>
      <w:bookmarkStart w:id="384" w:name="_Toc161600581"/>
      <w:bookmarkEnd w:id="384"/>
      <w:bookmarkStart w:id="385" w:name="_Toc161600573"/>
      <w:bookmarkEnd w:id="385"/>
      <w:bookmarkStart w:id="386" w:name="_Toc161600593"/>
      <w:bookmarkEnd w:id="386"/>
      <w:bookmarkStart w:id="387" w:name="_Toc161600567"/>
      <w:bookmarkEnd w:id="387"/>
      <w:bookmarkStart w:id="388" w:name="_Toc161600571"/>
      <w:bookmarkEnd w:id="388"/>
      <w:bookmarkStart w:id="389" w:name="_Toc161600586"/>
      <w:bookmarkEnd w:id="389"/>
      <w:bookmarkStart w:id="390" w:name="_Toc161600576"/>
      <w:bookmarkEnd w:id="390"/>
      <w:bookmarkStart w:id="391" w:name="_Toc17809"/>
      <w:bookmarkStart w:id="392" w:name="_Toc25687"/>
      <w:bookmarkStart w:id="393" w:name="_Toc161600596"/>
      <w:bookmarkStart w:id="394" w:name="_Toc5501"/>
      <w:bookmarkStart w:id="395" w:name="_Toc8486"/>
      <w:bookmarkStart w:id="396" w:name="_Toc12369"/>
      <w:r>
        <w:rPr>
          <w:rFonts w:hint="eastAsia"/>
          <w:color w:val="000000"/>
        </w:rPr>
        <w:t xml:space="preserve">第6章 </w:t>
      </w:r>
      <w:r>
        <w:rPr>
          <w:color w:val="000000"/>
        </w:rPr>
        <w:t>结论</w:t>
      </w:r>
      <w:bookmarkEnd w:id="391"/>
      <w:bookmarkEnd w:id="392"/>
      <w:bookmarkEnd w:id="393"/>
      <w:bookmarkEnd w:id="394"/>
      <w:bookmarkEnd w:id="395"/>
      <w:bookmarkEnd w:id="396"/>
    </w:p>
    <w:p w14:paraId="07FAFB71">
      <w:pPr>
        <w:pStyle w:val="3"/>
        <w:rPr>
          <w:rFonts w:hint="eastAsia" w:eastAsia="宋体"/>
          <w:color w:val="000000"/>
          <w:lang w:eastAsia="zh-CN"/>
        </w:rPr>
      </w:pPr>
      <w:bookmarkStart w:id="397" w:name="_Toc19875"/>
      <w:bookmarkStart w:id="398" w:name="_Toc4298"/>
      <w:r>
        <w:rPr>
          <w:rFonts w:hint="eastAsia"/>
          <w:color w:val="000000"/>
          <w:lang w:val="en-US" w:eastAsia="zh-CN"/>
        </w:rPr>
        <w:t>6.1</w:t>
      </w:r>
      <w:r>
        <w:rPr>
          <w:color w:val="000000"/>
        </w:rPr>
        <w:t>.大气</w:t>
      </w:r>
      <w:r>
        <w:rPr>
          <w:rFonts w:hint="eastAsia"/>
          <w:color w:val="000000"/>
          <w:lang w:val="en-US" w:eastAsia="zh-CN"/>
        </w:rPr>
        <w:t>环境影响</w:t>
      </w:r>
      <w:r>
        <w:rPr>
          <w:color w:val="000000"/>
        </w:rPr>
        <w:t>预测</w:t>
      </w:r>
      <w:r>
        <w:rPr>
          <w:rFonts w:hint="eastAsia"/>
          <w:color w:val="000000"/>
          <w:lang w:val="en-US" w:eastAsia="zh-CN"/>
        </w:rPr>
        <w:t>结论</w:t>
      </w:r>
      <w:bookmarkEnd w:id="397"/>
      <w:r>
        <w:rPr>
          <w:rFonts w:hint="eastAsia"/>
          <w:color w:val="000000"/>
          <w:lang w:val="en-US" w:eastAsia="zh-CN"/>
        </w:rPr>
        <w:t>与建议</w:t>
      </w:r>
      <w:bookmarkEnd w:id="398"/>
    </w:p>
    <w:p w14:paraId="52D000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kern w:val="0"/>
          <w:sz w:val="24"/>
        </w:rPr>
      </w:pPr>
      <w:r>
        <w:rPr>
          <w:sz w:val="24"/>
        </w:rPr>
        <w:t>根据估算模式计算结果，</w:t>
      </w:r>
      <w:r>
        <w:rPr>
          <w:rFonts w:hint="eastAsia"/>
          <w:sz w:val="24"/>
        </w:rPr>
        <w:t>本工程</w:t>
      </w:r>
      <w:r>
        <w:rPr>
          <w:sz w:val="24"/>
        </w:rPr>
        <w:t>污染物的排放对周围大气环境及项目周围敏感点影响</w:t>
      </w:r>
      <w:r>
        <w:rPr>
          <w:rFonts w:hint="eastAsia"/>
          <w:sz w:val="24"/>
        </w:rPr>
        <w:t>较小</w:t>
      </w:r>
      <w:r>
        <w:rPr>
          <w:sz w:val="24"/>
        </w:rPr>
        <w:t>，</w:t>
      </w:r>
      <w:r>
        <w:rPr>
          <w:rFonts w:hint="eastAsia"/>
          <w:sz w:val="24"/>
          <w:lang w:val="en-US" w:eastAsia="zh-CN"/>
        </w:rPr>
        <w:t>无需</w:t>
      </w:r>
      <w:r>
        <w:rPr>
          <w:rFonts w:hint="eastAsia"/>
          <w:sz w:val="24"/>
        </w:rPr>
        <w:t>设置大气环境防护距离</w:t>
      </w:r>
      <w:r>
        <w:rPr>
          <w:sz w:val="24"/>
        </w:rPr>
        <w:t>。</w:t>
      </w:r>
      <w:r>
        <w:rPr>
          <w:rFonts w:hint="eastAsia"/>
          <w:sz w:val="24"/>
        </w:rPr>
        <w:t>本工程废气污染物能达标排放，环评建议配备专职环保人员，负责环保设施的运转、维护，确保设施的正常有效运行，做到污染物长期、稳定、达标排放后，正常运行状况下，本项目对周围的大气环境影响较小。</w:t>
      </w:r>
    </w:p>
    <w:p w14:paraId="23B8FE53">
      <w:pPr>
        <w:pStyle w:val="3"/>
        <w:rPr>
          <w:color w:val="000000"/>
        </w:rPr>
      </w:pPr>
      <w:bookmarkStart w:id="399" w:name="_Toc23826"/>
      <w:bookmarkStart w:id="400" w:name="_Toc161600484"/>
      <w:bookmarkStart w:id="401" w:name="_Toc12447"/>
      <w:bookmarkStart w:id="402" w:name="_Toc3333"/>
      <w:r>
        <w:rPr>
          <w:rFonts w:hint="eastAsia"/>
          <w:color w:val="000000"/>
          <w:lang w:val="en-US" w:eastAsia="zh-CN"/>
        </w:rPr>
        <w:t>6.2</w:t>
      </w:r>
      <w:r>
        <w:rPr>
          <w:color w:val="000000"/>
        </w:rPr>
        <w:t>.</w:t>
      </w:r>
      <w:bookmarkEnd w:id="399"/>
      <w:bookmarkEnd w:id="400"/>
      <w:r>
        <w:rPr>
          <w:color w:val="000000"/>
        </w:rPr>
        <w:t>大气</w:t>
      </w:r>
      <w:r>
        <w:rPr>
          <w:rFonts w:hint="eastAsia"/>
          <w:color w:val="000000"/>
          <w:lang w:val="en-US" w:eastAsia="zh-CN"/>
        </w:rPr>
        <w:t>环境影响评价</w:t>
      </w:r>
      <w:r>
        <w:rPr>
          <w:color w:val="000000"/>
        </w:rPr>
        <w:t>自查表</w:t>
      </w:r>
      <w:bookmarkEnd w:id="401"/>
      <w:bookmarkEnd w:id="402"/>
    </w:p>
    <w:p w14:paraId="5269894E">
      <w:pPr>
        <w:adjustRightInd w:val="0"/>
        <w:snapToGrid w:val="0"/>
        <w:spacing w:line="440" w:lineRule="exact"/>
        <w:ind w:firstLine="480" w:firstLineChars="200"/>
        <w:rPr>
          <w:color w:val="000000"/>
          <w:sz w:val="24"/>
        </w:rPr>
      </w:pPr>
      <w:r>
        <w:rPr>
          <w:color w:val="000000"/>
          <w:sz w:val="24"/>
        </w:rPr>
        <w:t>项目大气</w:t>
      </w:r>
      <w:r>
        <w:rPr>
          <w:rFonts w:hint="eastAsia"/>
          <w:color w:val="000000"/>
          <w:sz w:val="24"/>
          <w:lang w:val="en-US" w:eastAsia="zh-CN"/>
        </w:rPr>
        <w:t>环境影响评价</w:t>
      </w:r>
      <w:r>
        <w:rPr>
          <w:color w:val="000000"/>
          <w:sz w:val="24"/>
        </w:rPr>
        <w:t>自查表见下表。</w:t>
      </w:r>
    </w:p>
    <w:p w14:paraId="45D491E0">
      <w:pPr>
        <w:pStyle w:val="32"/>
        <w:spacing w:line="440" w:lineRule="exact"/>
        <w:rPr>
          <w:color w:val="000000"/>
          <w:spacing w:val="0"/>
          <w:szCs w:val="24"/>
        </w:rPr>
      </w:pPr>
      <w:r>
        <w:rPr>
          <w:color w:val="000000"/>
          <w:spacing w:val="0"/>
          <w:szCs w:val="24"/>
        </w:rPr>
        <w:t>表</w:t>
      </w:r>
      <w:r>
        <w:rPr>
          <w:rFonts w:hint="eastAsia"/>
          <w:color w:val="000000"/>
          <w:spacing w:val="0"/>
          <w:szCs w:val="24"/>
          <w:lang w:val="en-US" w:eastAsia="zh-CN"/>
        </w:rPr>
        <w:t>6.2</w:t>
      </w:r>
      <w:r>
        <w:rPr>
          <w:color w:val="000000"/>
          <w:spacing w:val="0"/>
          <w:szCs w:val="24"/>
        </w:rPr>
        <w:t>-1  大气</w:t>
      </w:r>
      <w:r>
        <w:rPr>
          <w:rFonts w:hint="eastAsia"/>
          <w:color w:val="000000"/>
          <w:spacing w:val="0"/>
          <w:szCs w:val="24"/>
          <w:lang w:val="en-US" w:eastAsia="zh-CN"/>
        </w:rPr>
        <w:t>环境影响评价</w:t>
      </w:r>
      <w:r>
        <w:rPr>
          <w:color w:val="000000"/>
          <w:spacing w:val="0"/>
          <w:szCs w:val="24"/>
        </w:rPr>
        <w:t>自查表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15"/>
        <w:gridCol w:w="1314"/>
        <w:gridCol w:w="1199"/>
        <w:gridCol w:w="1056"/>
        <w:gridCol w:w="791"/>
        <w:gridCol w:w="791"/>
        <w:gridCol w:w="880"/>
        <w:gridCol w:w="654"/>
        <w:gridCol w:w="1452"/>
        <w:gridCol w:w="637"/>
        <w:gridCol w:w="506"/>
      </w:tblGrid>
      <w:tr w14:paraId="19231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blHeader/>
        </w:trPr>
        <w:tc>
          <w:tcPr>
            <w:tcW w:w="934" w:type="pct"/>
            <w:gridSpan w:val="2"/>
            <w:shd w:val="clear" w:color="auto" w:fill="FFFFFF"/>
            <w:noWrap w:val="0"/>
            <w:tcMar>
              <w:top w:w="28" w:type="dxa"/>
              <w:left w:w="28" w:type="dxa"/>
              <w:bottom w:w="28" w:type="dxa"/>
              <w:right w:w="28" w:type="dxa"/>
            </w:tcMar>
            <w:vAlign w:val="center"/>
          </w:tcPr>
          <w:p w14:paraId="0444F1A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工作内容</w:t>
            </w:r>
          </w:p>
        </w:tc>
        <w:tc>
          <w:tcPr>
            <w:tcW w:w="4065" w:type="pct"/>
            <w:gridSpan w:val="9"/>
            <w:shd w:val="clear" w:color="auto" w:fill="FFFFFF"/>
            <w:noWrap w:val="0"/>
            <w:tcMar>
              <w:top w:w="28" w:type="dxa"/>
              <w:left w:w="28" w:type="dxa"/>
              <w:bottom w:w="28" w:type="dxa"/>
              <w:right w:w="28" w:type="dxa"/>
            </w:tcMar>
            <w:vAlign w:val="center"/>
          </w:tcPr>
          <w:p w14:paraId="19B5F9A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自查项目</w:t>
            </w:r>
          </w:p>
        </w:tc>
      </w:tr>
      <w:tr w14:paraId="08E6B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66F2B21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评价等级与范围</w:t>
            </w:r>
          </w:p>
        </w:tc>
        <w:tc>
          <w:tcPr>
            <w:tcW w:w="671" w:type="pct"/>
            <w:shd w:val="clear" w:color="auto" w:fill="FFFFFF"/>
            <w:noWrap w:val="0"/>
            <w:tcMar>
              <w:top w:w="28" w:type="dxa"/>
              <w:left w:w="28" w:type="dxa"/>
              <w:bottom w:w="28" w:type="dxa"/>
              <w:right w:w="28" w:type="dxa"/>
            </w:tcMar>
            <w:vAlign w:val="center"/>
          </w:tcPr>
          <w:p w14:paraId="4ED8A1D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评价等级</w:t>
            </w:r>
          </w:p>
        </w:tc>
        <w:tc>
          <w:tcPr>
            <w:tcW w:w="1151" w:type="pct"/>
            <w:gridSpan w:val="2"/>
            <w:shd w:val="clear" w:color="auto" w:fill="FFFFFF"/>
            <w:noWrap w:val="0"/>
            <w:tcMar>
              <w:top w:w="28" w:type="dxa"/>
              <w:left w:w="28" w:type="dxa"/>
              <w:bottom w:w="28" w:type="dxa"/>
              <w:right w:w="28" w:type="dxa"/>
            </w:tcMar>
            <w:vAlign w:val="center"/>
          </w:tcPr>
          <w:p w14:paraId="504FCAE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一级口</w:t>
            </w:r>
          </w:p>
        </w:tc>
        <w:tc>
          <w:tcPr>
            <w:tcW w:w="2332" w:type="pct"/>
            <w:gridSpan w:val="5"/>
            <w:shd w:val="clear" w:color="auto" w:fill="FFFFFF"/>
            <w:noWrap w:val="0"/>
            <w:tcMar>
              <w:top w:w="28" w:type="dxa"/>
              <w:left w:w="28" w:type="dxa"/>
              <w:bottom w:w="28" w:type="dxa"/>
              <w:right w:w="28" w:type="dxa"/>
            </w:tcMar>
            <w:vAlign w:val="center"/>
          </w:tcPr>
          <w:p w14:paraId="7934CDF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二级</w:t>
            </w:r>
            <w:r>
              <w:rPr>
                <w:color w:val="000000"/>
              </w:rPr>
              <w:sym w:font="Wingdings 2" w:char="F052"/>
            </w:r>
          </w:p>
        </w:tc>
        <w:tc>
          <w:tcPr>
            <w:tcW w:w="581" w:type="pct"/>
            <w:gridSpan w:val="2"/>
            <w:shd w:val="clear" w:color="auto" w:fill="FFFFFF"/>
            <w:noWrap w:val="0"/>
            <w:tcMar>
              <w:top w:w="28" w:type="dxa"/>
              <w:left w:w="28" w:type="dxa"/>
              <w:bottom w:w="28" w:type="dxa"/>
              <w:right w:w="28" w:type="dxa"/>
            </w:tcMar>
            <w:vAlign w:val="center"/>
          </w:tcPr>
          <w:p w14:paraId="2469DA4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三级口</w:t>
            </w:r>
          </w:p>
        </w:tc>
      </w:tr>
      <w:tr w14:paraId="05B14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5F8E552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lang w:val="zh-TW" w:eastAsia="zh-TW"/>
              </w:rPr>
            </w:pPr>
          </w:p>
        </w:tc>
        <w:tc>
          <w:tcPr>
            <w:tcW w:w="671" w:type="pct"/>
            <w:shd w:val="clear" w:color="auto" w:fill="FFFFFF"/>
            <w:noWrap w:val="0"/>
            <w:tcMar>
              <w:top w:w="28" w:type="dxa"/>
              <w:left w:w="28" w:type="dxa"/>
              <w:bottom w:w="28" w:type="dxa"/>
              <w:right w:w="28" w:type="dxa"/>
            </w:tcMar>
            <w:vAlign w:val="center"/>
          </w:tcPr>
          <w:p w14:paraId="6304709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评价范围</w:t>
            </w:r>
          </w:p>
        </w:tc>
        <w:tc>
          <w:tcPr>
            <w:tcW w:w="1151" w:type="pct"/>
            <w:gridSpan w:val="2"/>
            <w:shd w:val="clear" w:color="auto" w:fill="FFFFFF"/>
            <w:noWrap w:val="0"/>
            <w:tcMar>
              <w:top w:w="28" w:type="dxa"/>
              <w:left w:w="28" w:type="dxa"/>
              <w:bottom w:w="28" w:type="dxa"/>
              <w:right w:w="28" w:type="dxa"/>
            </w:tcMar>
            <w:vAlign w:val="center"/>
          </w:tcPr>
          <w:p w14:paraId="446977B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边长=50km口</w:t>
            </w:r>
          </w:p>
        </w:tc>
        <w:tc>
          <w:tcPr>
            <w:tcW w:w="2332" w:type="pct"/>
            <w:gridSpan w:val="5"/>
            <w:shd w:val="clear" w:color="auto" w:fill="FFFFFF"/>
            <w:noWrap w:val="0"/>
            <w:tcMar>
              <w:top w:w="28" w:type="dxa"/>
              <w:left w:w="28" w:type="dxa"/>
              <w:bottom w:w="28" w:type="dxa"/>
              <w:right w:w="28" w:type="dxa"/>
            </w:tcMar>
            <w:vAlign w:val="center"/>
          </w:tcPr>
          <w:p w14:paraId="7A50952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边长5〜50km口</w:t>
            </w:r>
          </w:p>
        </w:tc>
        <w:tc>
          <w:tcPr>
            <w:tcW w:w="581" w:type="pct"/>
            <w:gridSpan w:val="2"/>
            <w:shd w:val="clear" w:color="auto" w:fill="FFFFFF"/>
            <w:noWrap w:val="0"/>
            <w:tcMar>
              <w:top w:w="28" w:type="dxa"/>
              <w:left w:w="28" w:type="dxa"/>
              <w:bottom w:w="28" w:type="dxa"/>
              <w:right w:w="28" w:type="dxa"/>
            </w:tcMar>
            <w:vAlign w:val="center"/>
          </w:tcPr>
          <w:p w14:paraId="488CDCB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边长=5km</w:t>
            </w:r>
            <w:r>
              <w:rPr>
                <w:color w:val="000000"/>
              </w:rPr>
              <w:sym w:font="Wingdings 2" w:char="F052"/>
            </w:r>
          </w:p>
        </w:tc>
      </w:tr>
      <w:tr w14:paraId="72D49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7650606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评价因子</w:t>
            </w:r>
          </w:p>
        </w:tc>
        <w:tc>
          <w:tcPr>
            <w:tcW w:w="671" w:type="pct"/>
            <w:shd w:val="clear" w:color="auto" w:fill="FFFFFF"/>
            <w:noWrap w:val="0"/>
            <w:tcMar>
              <w:top w:w="28" w:type="dxa"/>
              <w:left w:w="28" w:type="dxa"/>
              <w:bottom w:w="28" w:type="dxa"/>
              <w:right w:w="28" w:type="dxa"/>
            </w:tcMar>
            <w:vAlign w:val="center"/>
          </w:tcPr>
          <w:p w14:paraId="324B509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SO2+NOX排放量</w:t>
            </w:r>
          </w:p>
        </w:tc>
        <w:tc>
          <w:tcPr>
            <w:tcW w:w="1151" w:type="pct"/>
            <w:gridSpan w:val="2"/>
            <w:shd w:val="clear" w:color="auto" w:fill="FFFFFF"/>
            <w:noWrap w:val="0"/>
            <w:tcMar>
              <w:top w:w="28" w:type="dxa"/>
              <w:left w:w="28" w:type="dxa"/>
              <w:bottom w:w="28" w:type="dxa"/>
              <w:right w:w="28" w:type="dxa"/>
            </w:tcMar>
            <w:vAlign w:val="center"/>
          </w:tcPr>
          <w:p w14:paraId="3ADA009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≥2000t/a口</w:t>
            </w:r>
          </w:p>
        </w:tc>
        <w:tc>
          <w:tcPr>
            <w:tcW w:w="2332" w:type="pct"/>
            <w:gridSpan w:val="5"/>
            <w:shd w:val="clear" w:color="auto" w:fill="FFFFFF"/>
            <w:noWrap w:val="0"/>
            <w:tcMar>
              <w:top w:w="28" w:type="dxa"/>
              <w:left w:w="28" w:type="dxa"/>
              <w:bottom w:w="28" w:type="dxa"/>
              <w:right w:w="28" w:type="dxa"/>
            </w:tcMar>
            <w:vAlign w:val="center"/>
          </w:tcPr>
          <w:p w14:paraId="719C42A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500~</w:t>
            </w:r>
            <w:r>
              <w:rPr>
                <w:rFonts w:hint="eastAsia"/>
                <w:color w:val="000000"/>
              </w:rPr>
              <w:t>1</w:t>
            </w:r>
            <w:r>
              <w:rPr>
                <w:color w:val="000000"/>
              </w:rPr>
              <w:t>000t/a口</w:t>
            </w:r>
          </w:p>
        </w:tc>
        <w:tc>
          <w:tcPr>
            <w:tcW w:w="581" w:type="pct"/>
            <w:gridSpan w:val="2"/>
            <w:shd w:val="clear" w:color="auto" w:fill="FFFFFF"/>
            <w:noWrap w:val="0"/>
            <w:tcMar>
              <w:top w:w="28" w:type="dxa"/>
              <w:left w:w="28" w:type="dxa"/>
              <w:bottom w:w="28" w:type="dxa"/>
              <w:right w:w="28" w:type="dxa"/>
            </w:tcMar>
            <w:vAlign w:val="center"/>
          </w:tcPr>
          <w:p w14:paraId="2810C09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&lt;500t/a</w:t>
            </w:r>
            <w:r>
              <w:rPr>
                <w:color w:val="000000"/>
              </w:rPr>
              <w:sym w:font="Wingdings 2" w:char="F052"/>
            </w:r>
          </w:p>
        </w:tc>
      </w:tr>
      <w:tr w14:paraId="68D34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19DC380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262C695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评价因子</w:t>
            </w:r>
          </w:p>
        </w:tc>
        <w:tc>
          <w:tcPr>
            <w:tcW w:w="2742" w:type="pct"/>
            <w:gridSpan w:val="6"/>
            <w:shd w:val="clear" w:color="auto" w:fill="FFFFFF"/>
            <w:noWrap w:val="0"/>
            <w:tcMar>
              <w:top w:w="28" w:type="dxa"/>
              <w:left w:w="28" w:type="dxa"/>
              <w:bottom w:w="28" w:type="dxa"/>
              <w:right w:w="28" w:type="dxa"/>
            </w:tcMar>
            <w:vAlign w:val="center"/>
          </w:tcPr>
          <w:p w14:paraId="746D765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基本污染物（颗粒物、挥发性有机物）</w:t>
            </w:r>
          </w:p>
          <w:p w14:paraId="06B67F5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其他污染物（甲醛）</w:t>
            </w:r>
          </w:p>
        </w:tc>
        <w:tc>
          <w:tcPr>
            <w:tcW w:w="1322" w:type="pct"/>
            <w:gridSpan w:val="3"/>
            <w:shd w:val="clear" w:color="auto" w:fill="FFFFFF"/>
            <w:noWrap w:val="0"/>
            <w:tcMar>
              <w:top w:w="28" w:type="dxa"/>
              <w:left w:w="28" w:type="dxa"/>
              <w:bottom w:w="28" w:type="dxa"/>
              <w:right w:w="28" w:type="dxa"/>
            </w:tcMar>
            <w:vAlign w:val="center"/>
          </w:tcPr>
          <w:p w14:paraId="5581199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包括二次</w:t>
            </w:r>
            <w:r>
              <w:t>PM</w:t>
            </w:r>
            <w:r>
              <w:rPr>
                <w:vertAlign w:val="subscript"/>
              </w:rPr>
              <w:t>2.5</w:t>
            </w:r>
            <w:r>
              <w:rPr>
                <w:color w:val="000000"/>
              </w:rPr>
              <w:t>口</w:t>
            </w:r>
          </w:p>
          <w:p w14:paraId="742D79B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不包括二次</w:t>
            </w:r>
            <w:r>
              <w:t>PM</w:t>
            </w:r>
            <w:r>
              <w:rPr>
                <w:vertAlign w:val="subscript"/>
              </w:rPr>
              <w:t>2.5</w:t>
            </w:r>
            <w:r>
              <w:rPr>
                <w:color w:val="000000"/>
              </w:rPr>
              <w:sym w:font="Wingdings 2" w:char="F052"/>
            </w:r>
          </w:p>
        </w:tc>
      </w:tr>
      <w:tr w14:paraId="0ECCF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shd w:val="clear" w:color="auto" w:fill="FFFFFF"/>
            <w:noWrap w:val="0"/>
            <w:tcMar>
              <w:top w:w="28" w:type="dxa"/>
              <w:left w:w="28" w:type="dxa"/>
              <w:bottom w:w="28" w:type="dxa"/>
              <w:right w:w="28" w:type="dxa"/>
            </w:tcMar>
            <w:vAlign w:val="center"/>
          </w:tcPr>
          <w:p w14:paraId="1BC593D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评价标准</w:t>
            </w:r>
          </w:p>
        </w:tc>
        <w:tc>
          <w:tcPr>
            <w:tcW w:w="671" w:type="pct"/>
            <w:shd w:val="clear" w:color="auto" w:fill="FFFFFF"/>
            <w:noWrap w:val="0"/>
            <w:tcMar>
              <w:top w:w="28" w:type="dxa"/>
              <w:left w:w="28" w:type="dxa"/>
              <w:bottom w:w="28" w:type="dxa"/>
              <w:right w:w="28" w:type="dxa"/>
            </w:tcMar>
            <w:vAlign w:val="center"/>
          </w:tcPr>
          <w:p w14:paraId="2586A73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评价标准</w:t>
            </w:r>
          </w:p>
        </w:tc>
        <w:tc>
          <w:tcPr>
            <w:tcW w:w="1151" w:type="pct"/>
            <w:gridSpan w:val="2"/>
            <w:shd w:val="clear" w:color="auto" w:fill="FFFFFF"/>
            <w:noWrap w:val="0"/>
            <w:tcMar>
              <w:top w:w="28" w:type="dxa"/>
              <w:left w:w="28" w:type="dxa"/>
              <w:bottom w:w="28" w:type="dxa"/>
              <w:right w:w="28" w:type="dxa"/>
            </w:tcMar>
            <w:vAlign w:val="center"/>
          </w:tcPr>
          <w:p w14:paraId="650739D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国家标准</w:t>
            </w:r>
            <w:r>
              <w:rPr>
                <w:color w:val="000000"/>
              </w:rPr>
              <w:sym w:font="Wingdings 2" w:char="F052"/>
            </w:r>
          </w:p>
        </w:tc>
        <w:tc>
          <w:tcPr>
            <w:tcW w:w="1591" w:type="pct"/>
            <w:gridSpan w:val="4"/>
            <w:shd w:val="clear" w:color="auto" w:fill="FFFFFF"/>
            <w:noWrap w:val="0"/>
            <w:tcMar>
              <w:top w:w="28" w:type="dxa"/>
              <w:left w:w="28" w:type="dxa"/>
              <w:bottom w:w="28" w:type="dxa"/>
              <w:right w:w="28" w:type="dxa"/>
            </w:tcMar>
            <w:vAlign w:val="center"/>
          </w:tcPr>
          <w:p w14:paraId="365171E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地方标准口</w:t>
            </w:r>
          </w:p>
        </w:tc>
        <w:tc>
          <w:tcPr>
            <w:tcW w:w="741" w:type="pct"/>
            <w:shd w:val="clear" w:color="auto" w:fill="FFFFFF"/>
            <w:noWrap w:val="0"/>
            <w:tcMar>
              <w:top w:w="28" w:type="dxa"/>
              <w:left w:w="28" w:type="dxa"/>
              <w:bottom w:w="28" w:type="dxa"/>
              <w:right w:w="28" w:type="dxa"/>
            </w:tcMar>
            <w:vAlign w:val="center"/>
          </w:tcPr>
          <w:p w14:paraId="026606D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附录D</w:t>
            </w:r>
            <w:r>
              <w:rPr>
                <w:color w:val="000000"/>
              </w:rPr>
              <w:sym w:font="Wingdings 2" w:char="F052"/>
            </w:r>
          </w:p>
        </w:tc>
        <w:tc>
          <w:tcPr>
            <w:tcW w:w="581" w:type="pct"/>
            <w:gridSpan w:val="2"/>
            <w:shd w:val="clear" w:color="auto" w:fill="FFFFFF"/>
            <w:noWrap w:val="0"/>
            <w:tcMar>
              <w:top w:w="28" w:type="dxa"/>
              <w:left w:w="28" w:type="dxa"/>
              <w:bottom w:w="28" w:type="dxa"/>
              <w:right w:w="28" w:type="dxa"/>
            </w:tcMar>
            <w:vAlign w:val="center"/>
          </w:tcPr>
          <w:p w14:paraId="529C64F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其他标准</w:t>
            </w:r>
            <w:r>
              <w:rPr>
                <w:color w:val="000000"/>
              </w:rPr>
              <w:sym w:font="Wingdings 2" w:char="00A3"/>
            </w:r>
          </w:p>
        </w:tc>
      </w:tr>
      <w:tr w14:paraId="3A5ED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32589B0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现状评价</w:t>
            </w:r>
          </w:p>
        </w:tc>
        <w:tc>
          <w:tcPr>
            <w:tcW w:w="671" w:type="pct"/>
            <w:shd w:val="clear" w:color="auto" w:fill="FFFFFF"/>
            <w:noWrap w:val="0"/>
            <w:tcMar>
              <w:top w:w="28" w:type="dxa"/>
              <w:left w:w="28" w:type="dxa"/>
              <w:bottom w:w="28" w:type="dxa"/>
              <w:right w:w="28" w:type="dxa"/>
            </w:tcMar>
            <w:vAlign w:val="center"/>
          </w:tcPr>
          <w:p w14:paraId="37AD2EA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环境功能区</w:t>
            </w:r>
          </w:p>
        </w:tc>
        <w:tc>
          <w:tcPr>
            <w:tcW w:w="1151" w:type="pct"/>
            <w:gridSpan w:val="2"/>
            <w:shd w:val="clear" w:color="auto" w:fill="FFFFFF"/>
            <w:noWrap w:val="0"/>
            <w:tcMar>
              <w:top w:w="28" w:type="dxa"/>
              <w:left w:w="28" w:type="dxa"/>
              <w:bottom w:w="28" w:type="dxa"/>
              <w:right w:w="28" w:type="dxa"/>
            </w:tcMar>
            <w:vAlign w:val="center"/>
          </w:tcPr>
          <w:p w14:paraId="62196C4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一类区口</w:t>
            </w:r>
          </w:p>
        </w:tc>
        <w:tc>
          <w:tcPr>
            <w:tcW w:w="2332" w:type="pct"/>
            <w:gridSpan w:val="5"/>
            <w:shd w:val="clear" w:color="auto" w:fill="FFFFFF"/>
            <w:noWrap w:val="0"/>
            <w:tcMar>
              <w:top w:w="28" w:type="dxa"/>
              <w:left w:w="28" w:type="dxa"/>
              <w:bottom w:w="28" w:type="dxa"/>
              <w:right w:w="28" w:type="dxa"/>
            </w:tcMar>
            <w:vAlign w:val="center"/>
          </w:tcPr>
          <w:p w14:paraId="5067367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二类区</w:t>
            </w:r>
            <w:r>
              <w:rPr>
                <w:color w:val="000000"/>
              </w:rPr>
              <w:sym w:font="Wingdings 2" w:char="F052"/>
            </w:r>
          </w:p>
        </w:tc>
        <w:tc>
          <w:tcPr>
            <w:tcW w:w="581" w:type="pct"/>
            <w:gridSpan w:val="2"/>
            <w:shd w:val="clear" w:color="auto" w:fill="FFFFFF"/>
            <w:noWrap w:val="0"/>
            <w:tcMar>
              <w:top w:w="28" w:type="dxa"/>
              <w:left w:w="28" w:type="dxa"/>
              <w:bottom w:w="28" w:type="dxa"/>
              <w:right w:w="28" w:type="dxa"/>
            </w:tcMar>
            <w:vAlign w:val="center"/>
          </w:tcPr>
          <w:p w14:paraId="6004B1B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一类区和二类区口</w:t>
            </w:r>
          </w:p>
        </w:tc>
      </w:tr>
      <w:tr w14:paraId="46C47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3F1687F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336407F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评价基准年</w:t>
            </w:r>
          </w:p>
        </w:tc>
        <w:tc>
          <w:tcPr>
            <w:tcW w:w="4065" w:type="pct"/>
            <w:gridSpan w:val="9"/>
            <w:shd w:val="clear" w:color="auto" w:fill="FFFFFF"/>
            <w:noWrap w:val="0"/>
            <w:tcMar>
              <w:top w:w="28" w:type="dxa"/>
              <w:left w:w="28" w:type="dxa"/>
              <w:bottom w:w="28" w:type="dxa"/>
              <w:right w:w="28" w:type="dxa"/>
            </w:tcMar>
            <w:vAlign w:val="center"/>
          </w:tcPr>
          <w:p w14:paraId="276F24F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(202</w:t>
            </w:r>
            <w:r>
              <w:rPr>
                <w:rFonts w:hint="eastAsia"/>
                <w:color w:val="000000"/>
                <w:lang w:val="en-US" w:eastAsia="zh-CN"/>
              </w:rPr>
              <w:t>4</w:t>
            </w:r>
            <w:r>
              <w:rPr>
                <w:color w:val="000000"/>
              </w:rPr>
              <w:t>年)</w:t>
            </w:r>
          </w:p>
        </w:tc>
      </w:tr>
      <w:tr w14:paraId="3941D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1FC4FBD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40BD116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环境空气质量现状调查数据来源</w:t>
            </w:r>
          </w:p>
        </w:tc>
        <w:tc>
          <w:tcPr>
            <w:tcW w:w="1151" w:type="pct"/>
            <w:gridSpan w:val="2"/>
            <w:shd w:val="clear" w:color="auto" w:fill="FFFFFF"/>
            <w:noWrap w:val="0"/>
            <w:tcMar>
              <w:top w:w="28" w:type="dxa"/>
              <w:left w:w="28" w:type="dxa"/>
              <w:bottom w:w="28" w:type="dxa"/>
              <w:right w:w="28" w:type="dxa"/>
            </w:tcMar>
            <w:vAlign w:val="center"/>
          </w:tcPr>
          <w:p w14:paraId="596C373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长期例行监测数据口</w:t>
            </w:r>
          </w:p>
        </w:tc>
        <w:tc>
          <w:tcPr>
            <w:tcW w:w="2332" w:type="pct"/>
            <w:gridSpan w:val="5"/>
            <w:shd w:val="clear" w:color="auto" w:fill="FFFFFF"/>
            <w:noWrap w:val="0"/>
            <w:tcMar>
              <w:top w:w="28" w:type="dxa"/>
              <w:left w:w="28" w:type="dxa"/>
              <w:bottom w:w="28" w:type="dxa"/>
              <w:right w:w="28" w:type="dxa"/>
            </w:tcMar>
            <w:vAlign w:val="center"/>
          </w:tcPr>
          <w:p w14:paraId="4D5BB47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主管部门发布的数据</w:t>
            </w:r>
            <w:r>
              <w:rPr>
                <w:color w:val="000000"/>
              </w:rPr>
              <w:sym w:font="Wingdings 2" w:char="F052"/>
            </w:r>
          </w:p>
        </w:tc>
        <w:tc>
          <w:tcPr>
            <w:tcW w:w="581" w:type="pct"/>
            <w:gridSpan w:val="2"/>
            <w:shd w:val="clear" w:color="auto" w:fill="FFFFFF"/>
            <w:noWrap w:val="0"/>
            <w:tcMar>
              <w:top w:w="28" w:type="dxa"/>
              <w:left w:w="28" w:type="dxa"/>
              <w:bottom w:w="28" w:type="dxa"/>
              <w:right w:w="28" w:type="dxa"/>
            </w:tcMar>
            <w:vAlign w:val="center"/>
          </w:tcPr>
          <w:p w14:paraId="34BA4C7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现状补充监测</w:t>
            </w:r>
            <w:r>
              <w:rPr>
                <w:color w:val="000000"/>
              </w:rPr>
              <w:sym w:font="Wingdings 2" w:char="0052"/>
            </w:r>
          </w:p>
        </w:tc>
      </w:tr>
      <w:tr w14:paraId="2D585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5B1D7A1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3D0CF9C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现状评价</w:t>
            </w:r>
          </w:p>
        </w:tc>
        <w:tc>
          <w:tcPr>
            <w:tcW w:w="2408" w:type="pct"/>
            <w:gridSpan w:val="5"/>
            <w:shd w:val="clear" w:color="auto" w:fill="FFFFFF"/>
            <w:noWrap w:val="0"/>
            <w:tcMar>
              <w:top w:w="28" w:type="dxa"/>
              <w:left w:w="28" w:type="dxa"/>
              <w:bottom w:w="28" w:type="dxa"/>
              <w:right w:w="28" w:type="dxa"/>
            </w:tcMar>
            <w:vAlign w:val="center"/>
          </w:tcPr>
          <w:p w14:paraId="696BCB7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达标区</w:t>
            </w:r>
            <w:r>
              <w:rPr>
                <w:color w:val="000000"/>
              </w:rPr>
              <w:sym w:font="Wingdings 2" w:char="00A3"/>
            </w:r>
          </w:p>
        </w:tc>
        <w:tc>
          <w:tcPr>
            <w:tcW w:w="1656" w:type="pct"/>
            <w:gridSpan w:val="4"/>
            <w:shd w:val="clear" w:color="auto" w:fill="FFFFFF"/>
            <w:noWrap w:val="0"/>
            <w:tcMar>
              <w:top w:w="28" w:type="dxa"/>
              <w:left w:w="28" w:type="dxa"/>
              <w:bottom w:w="28" w:type="dxa"/>
              <w:right w:w="28" w:type="dxa"/>
            </w:tcMar>
            <w:vAlign w:val="center"/>
          </w:tcPr>
          <w:p w14:paraId="7BB5729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不达标区</w:t>
            </w:r>
            <w:r>
              <w:rPr>
                <w:color w:val="000000"/>
              </w:rPr>
              <w:sym w:font="Wingdings 2" w:char="0052"/>
            </w:r>
          </w:p>
        </w:tc>
      </w:tr>
      <w:tr w14:paraId="5E58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shd w:val="clear" w:color="auto" w:fill="FFFFFF"/>
            <w:noWrap w:val="0"/>
            <w:tcMar>
              <w:top w:w="28" w:type="dxa"/>
              <w:left w:w="28" w:type="dxa"/>
              <w:bottom w:w="28" w:type="dxa"/>
              <w:right w:w="28" w:type="dxa"/>
            </w:tcMar>
            <w:vAlign w:val="center"/>
          </w:tcPr>
          <w:p w14:paraId="24A07EB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污染源</w:t>
            </w:r>
          </w:p>
          <w:p w14:paraId="6E101C8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调查</w:t>
            </w:r>
          </w:p>
        </w:tc>
        <w:tc>
          <w:tcPr>
            <w:tcW w:w="671" w:type="pct"/>
            <w:shd w:val="clear" w:color="auto" w:fill="FFFFFF"/>
            <w:noWrap w:val="0"/>
            <w:tcMar>
              <w:top w:w="28" w:type="dxa"/>
              <w:left w:w="28" w:type="dxa"/>
              <w:bottom w:w="28" w:type="dxa"/>
              <w:right w:w="28" w:type="dxa"/>
            </w:tcMar>
            <w:vAlign w:val="center"/>
          </w:tcPr>
          <w:p w14:paraId="4F5AEF0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调查内容</w:t>
            </w:r>
          </w:p>
        </w:tc>
        <w:tc>
          <w:tcPr>
            <w:tcW w:w="1151" w:type="pct"/>
            <w:gridSpan w:val="2"/>
            <w:shd w:val="clear" w:color="auto" w:fill="FFFFFF"/>
            <w:noWrap w:val="0"/>
            <w:tcMar>
              <w:top w:w="28" w:type="dxa"/>
              <w:left w:w="28" w:type="dxa"/>
              <w:bottom w:w="28" w:type="dxa"/>
              <w:right w:w="28" w:type="dxa"/>
            </w:tcMar>
            <w:vAlign w:val="center"/>
          </w:tcPr>
          <w:p w14:paraId="3081C2B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项目正常排放源</w:t>
            </w:r>
            <w:r>
              <w:rPr>
                <w:color w:val="000000"/>
              </w:rPr>
              <w:sym w:font="Wingdings 2" w:char="F052"/>
            </w:r>
          </w:p>
          <w:p w14:paraId="101F774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项目非正常排放源</w:t>
            </w:r>
            <w:r>
              <w:rPr>
                <w:color w:val="000000"/>
              </w:rPr>
              <w:sym w:font="Wingdings 2" w:char="F052"/>
            </w:r>
          </w:p>
          <w:p w14:paraId="60E6707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现有污染源</w:t>
            </w:r>
            <w:r>
              <w:rPr>
                <w:color w:val="000000"/>
              </w:rPr>
              <w:sym w:font="Wingdings 2" w:char="F052"/>
            </w:r>
          </w:p>
        </w:tc>
        <w:tc>
          <w:tcPr>
            <w:tcW w:w="1257" w:type="pct"/>
            <w:gridSpan w:val="3"/>
            <w:shd w:val="clear" w:color="auto" w:fill="FFFFFF"/>
            <w:noWrap w:val="0"/>
            <w:tcMar>
              <w:top w:w="28" w:type="dxa"/>
              <w:left w:w="28" w:type="dxa"/>
              <w:bottom w:w="28" w:type="dxa"/>
              <w:right w:w="28" w:type="dxa"/>
            </w:tcMar>
            <w:vAlign w:val="center"/>
          </w:tcPr>
          <w:p w14:paraId="056DE16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拟替代的污染源口</w:t>
            </w:r>
          </w:p>
        </w:tc>
        <w:tc>
          <w:tcPr>
            <w:tcW w:w="1075" w:type="pct"/>
            <w:gridSpan w:val="2"/>
            <w:shd w:val="clear" w:color="auto" w:fill="FFFFFF"/>
            <w:noWrap w:val="0"/>
            <w:tcMar>
              <w:top w:w="28" w:type="dxa"/>
              <w:left w:w="28" w:type="dxa"/>
              <w:bottom w:w="28" w:type="dxa"/>
              <w:right w:w="28" w:type="dxa"/>
            </w:tcMar>
            <w:vAlign w:val="center"/>
          </w:tcPr>
          <w:p w14:paraId="63671FE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其他在建、拟建项目污染源口</w:t>
            </w:r>
          </w:p>
        </w:tc>
        <w:tc>
          <w:tcPr>
            <w:tcW w:w="581" w:type="pct"/>
            <w:gridSpan w:val="2"/>
            <w:shd w:val="clear" w:color="auto" w:fill="FFFFFF"/>
            <w:noWrap w:val="0"/>
            <w:tcMar>
              <w:top w:w="28" w:type="dxa"/>
              <w:left w:w="28" w:type="dxa"/>
              <w:bottom w:w="28" w:type="dxa"/>
              <w:right w:w="28" w:type="dxa"/>
            </w:tcMar>
            <w:vAlign w:val="center"/>
          </w:tcPr>
          <w:p w14:paraId="3CCFADA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区域污染源口</w:t>
            </w:r>
          </w:p>
        </w:tc>
      </w:tr>
      <w:tr w14:paraId="3DD11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59484E0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大气环境影响预测与评价</w:t>
            </w:r>
          </w:p>
        </w:tc>
        <w:tc>
          <w:tcPr>
            <w:tcW w:w="671" w:type="pct"/>
            <w:shd w:val="clear" w:color="auto" w:fill="FFFFFF"/>
            <w:noWrap w:val="0"/>
            <w:tcMar>
              <w:top w:w="28" w:type="dxa"/>
              <w:left w:w="28" w:type="dxa"/>
              <w:bottom w:w="28" w:type="dxa"/>
              <w:right w:w="28" w:type="dxa"/>
            </w:tcMar>
            <w:vAlign w:val="center"/>
          </w:tcPr>
          <w:p w14:paraId="3A7D38B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预测模型</w:t>
            </w:r>
          </w:p>
        </w:tc>
        <w:tc>
          <w:tcPr>
            <w:tcW w:w="612" w:type="pct"/>
            <w:shd w:val="clear" w:color="auto" w:fill="FFFFFF"/>
            <w:noWrap w:val="0"/>
            <w:tcMar>
              <w:top w:w="28" w:type="dxa"/>
              <w:left w:w="28" w:type="dxa"/>
              <w:bottom w:w="28" w:type="dxa"/>
              <w:right w:w="28" w:type="dxa"/>
            </w:tcMar>
            <w:vAlign w:val="center"/>
          </w:tcPr>
          <w:p w14:paraId="6FBBFA5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AERMOD</w:t>
            </w:r>
          </w:p>
          <w:p w14:paraId="765FAA7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sym w:font="Wingdings 2" w:char="00A3"/>
            </w:r>
          </w:p>
        </w:tc>
        <w:tc>
          <w:tcPr>
            <w:tcW w:w="538" w:type="pct"/>
            <w:shd w:val="clear" w:color="auto" w:fill="FFFFFF"/>
            <w:noWrap w:val="0"/>
            <w:tcMar>
              <w:top w:w="28" w:type="dxa"/>
              <w:left w:w="28" w:type="dxa"/>
              <w:bottom w:w="28" w:type="dxa"/>
              <w:right w:w="28" w:type="dxa"/>
            </w:tcMar>
            <w:vAlign w:val="center"/>
          </w:tcPr>
          <w:p w14:paraId="3B4760B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ADMS</w:t>
            </w:r>
            <w:r>
              <w:rPr>
                <w:color w:val="000000"/>
              </w:rPr>
              <w:sym w:font="Wingdings 2" w:char="00A3"/>
            </w:r>
          </w:p>
        </w:tc>
        <w:tc>
          <w:tcPr>
            <w:tcW w:w="808" w:type="pct"/>
            <w:gridSpan w:val="2"/>
            <w:shd w:val="clear" w:color="auto" w:fill="FFFFFF"/>
            <w:noWrap w:val="0"/>
            <w:tcMar>
              <w:top w:w="28" w:type="dxa"/>
              <w:left w:w="28" w:type="dxa"/>
              <w:bottom w:w="28" w:type="dxa"/>
              <w:right w:w="28" w:type="dxa"/>
            </w:tcMar>
            <w:vAlign w:val="center"/>
          </w:tcPr>
          <w:p w14:paraId="661DEA5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AUSTAL2000</w:t>
            </w:r>
            <w:r>
              <w:rPr>
                <w:color w:val="000000"/>
              </w:rPr>
              <w:sym w:font="Wingdings 2" w:char="00A3"/>
            </w:r>
          </w:p>
        </w:tc>
        <w:tc>
          <w:tcPr>
            <w:tcW w:w="783" w:type="pct"/>
            <w:gridSpan w:val="2"/>
            <w:shd w:val="clear" w:color="auto" w:fill="FFFFFF"/>
            <w:noWrap w:val="0"/>
            <w:tcMar>
              <w:top w:w="28" w:type="dxa"/>
              <w:left w:w="28" w:type="dxa"/>
              <w:bottom w:w="28" w:type="dxa"/>
              <w:right w:w="28" w:type="dxa"/>
            </w:tcMar>
            <w:vAlign w:val="center"/>
          </w:tcPr>
          <w:p w14:paraId="596F416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EDMS/AEDT</w:t>
            </w:r>
            <w:r>
              <w:rPr>
                <w:color w:val="000000"/>
              </w:rPr>
              <w:sym w:font="Wingdings 2" w:char="00A3"/>
            </w:r>
          </w:p>
        </w:tc>
        <w:tc>
          <w:tcPr>
            <w:tcW w:w="741" w:type="pct"/>
            <w:shd w:val="clear" w:color="auto" w:fill="FFFFFF"/>
            <w:noWrap w:val="0"/>
            <w:tcMar>
              <w:top w:w="28" w:type="dxa"/>
              <w:left w:w="28" w:type="dxa"/>
              <w:bottom w:w="28" w:type="dxa"/>
              <w:right w:w="28" w:type="dxa"/>
            </w:tcMar>
            <w:vAlign w:val="center"/>
          </w:tcPr>
          <w:p w14:paraId="1850E0A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CALPUFF</w:t>
            </w:r>
            <w:r>
              <w:rPr>
                <w:color w:val="000000"/>
              </w:rPr>
              <w:sym w:font="Wingdings 2" w:char="00A3"/>
            </w:r>
          </w:p>
        </w:tc>
        <w:tc>
          <w:tcPr>
            <w:tcW w:w="325" w:type="pct"/>
            <w:shd w:val="clear" w:color="auto" w:fill="FFFFFF"/>
            <w:noWrap w:val="0"/>
            <w:tcMar>
              <w:top w:w="28" w:type="dxa"/>
              <w:left w:w="28" w:type="dxa"/>
              <w:bottom w:w="28" w:type="dxa"/>
              <w:right w:w="28" w:type="dxa"/>
            </w:tcMar>
            <w:vAlign w:val="center"/>
          </w:tcPr>
          <w:p w14:paraId="4F4A5DF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网格模型</w:t>
            </w:r>
            <w:r>
              <w:rPr>
                <w:color w:val="000000"/>
              </w:rPr>
              <w:sym w:font="Wingdings 2" w:char="00A3"/>
            </w:r>
          </w:p>
        </w:tc>
        <w:tc>
          <w:tcPr>
            <w:tcW w:w="256" w:type="pct"/>
            <w:shd w:val="clear" w:color="auto" w:fill="FFFFFF"/>
            <w:noWrap w:val="0"/>
            <w:tcMar>
              <w:top w:w="28" w:type="dxa"/>
              <w:left w:w="28" w:type="dxa"/>
              <w:bottom w:w="28" w:type="dxa"/>
              <w:right w:w="28" w:type="dxa"/>
            </w:tcMar>
            <w:vAlign w:val="center"/>
          </w:tcPr>
          <w:p w14:paraId="6D7B977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其他</w:t>
            </w:r>
            <w:r>
              <w:rPr>
                <w:color w:val="000000"/>
              </w:rPr>
              <w:sym w:font="Wingdings 2" w:char="F052"/>
            </w:r>
          </w:p>
        </w:tc>
      </w:tr>
      <w:tr w14:paraId="09121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20AEFDB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2616793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预测范围</w:t>
            </w:r>
          </w:p>
        </w:tc>
        <w:tc>
          <w:tcPr>
            <w:tcW w:w="1555" w:type="pct"/>
            <w:gridSpan w:val="3"/>
            <w:shd w:val="clear" w:color="auto" w:fill="FFFFFF"/>
            <w:noWrap w:val="0"/>
            <w:tcMar>
              <w:top w:w="28" w:type="dxa"/>
              <w:left w:w="28" w:type="dxa"/>
              <w:bottom w:w="28" w:type="dxa"/>
              <w:right w:w="28" w:type="dxa"/>
            </w:tcMar>
            <w:vAlign w:val="center"/>
          </w:tcPr>
          <w:p w14:paraId="7FBC7BC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边长&gt;50km口</w:t>
            </w:r>
          </w:p>
        </w:tc>
        <w:tc>
          <w:tcPr>
            <w:tcW w:w="1187" w:type="pct"/>
            <w:gridSpan w:val="3"/>
            <w:shd w:val="clear" w:color="auto" w:fill="FFFFFF"/>
            <w:noWrap w:val="0"/>
            <w:tcMar>
              <w:top w:w="28" w:type="dxa"/>
              <w:left w:w="28" w:type="dxa"/>
              <w:bottom w:w="28" w:type="dxa"/>
              <w:right w:w="28" w:type="dxa"/>
            </w:tcMar>
            <w:vAlign w:val="center"/>
          </w:tcPr>
          <w:p w14:paraId="689B0F0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边长5〜50km口</w:t>
            </w:r>
          </w:p>
        </w:tc>
        <w:tc>
          <w:tcPr>
            <w:tcW w:w="1322" w:type="pct"/>
            <w:gridSpan w:val="3"/>
            <w:shd w:val="clear" w:color="auto" w:fill="FFFFFF"/>
            <w:noWrap w:val="0"/>
            <w:tcMar>
              <w:top w:w="28" w:type="dxa"/>
              <w:left w:w="28" w:type="dxa"/>
              <w:bottom w:w="28" w:type="dxa"/>
              <w:right w:w="28" w:type="dxa"/>
            </w:tcMar>
            <w:vAlign w:val="center"/>
          </w:tcPr>
          <w:p w14:paraId="4AF438E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边长=5km</w:t>
            </w:r>
            <w:r>
              <w:rPr>
                <w:color w:val="000000"/>
              </w:rPr>
              <w:sym w:font="Wingdings 2" w:char="F052"/>
            </w:r>
          </w:p>
        </w:tc>
      </w:tr>
      <w:tr w14:paraId="021F2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196A534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5EFDD53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预测因子</w:t>
            </w:r>
          </w:p>
        </w:tc>
        <w:tc>
          <w:tcPr>
            <w:tcW w:w="2408" w:type="pct"/>
            <w:gridSpan w:val="5"/>
            <w:shd w:val="clear" w:color="auto" w:fill="FFFFFF"/>
            <w:noWrap w:val="0"/>
            <w:tcMar>
              <w:top w:w="28" w:type="dxa"/>
              <w:left w:w="28" w:type="dxa"/>
              <w:bottom w:w="28" w:type="dxa"/>
              <w:right w:w="28" w:type="dxa"/>
            </w:tcMar>
            <w:vAlign w:val="center"/>
          </w:tcPr>
          <w:p w14:paraId="3FF91D4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预测因子（</w:t>
            </w:r>
            <w:r>
              <w:rPr>
                <w:color w:val="000000"/>
                <w:szCs w:val="21"/>
              </w:rPr>
              <w:t>PM</w:t>
            </w:r>
            <w:r>
              <w:rPr>
                <w:color w:val="000000"/>
                <w:szCs w:val="21"/>
                <w:vertAlign w:val="subscript"/>
              </w:rPr>
              <w:t>10</w:t>
            </w:r>
            <w:r>
              <w:rPr>
                <w:rFonts w:hint="eastAsia"/>
                <w:color w:val="000000"/>
                <w:szCs w:val="21"/>
              </w:rPr>
              <w:t>、</w:t>
            </w:r>
            <w:r>
              <w:rPr>
                <w:color w:val="000000"/>
              </w:rPr>
              <w:t>TSP、NMHC、甲醛）</w:t>
            </w:r>
          </w:p>
        </w:tc>
        <w:tc>
          <w:tcPr>
            <w:tcW w:w="1656" w:type="pct"/>
            <w:gridSpan w:val="4"/>
            <w:shd w:val="clear" w:color="auto" w:fill="FFFFFF"/>
            <w:noWrap w:val="0"/>
            <w:tcMar>
              <w:top w:w="28" w:type="dxa"/>
              <w:left w:w="28" w:type="dxa"/>
              <w:bottom w:w="28" w:type="dxa"/>
              <w:right w:w="28" w:type="dxa"/>
            </w:tcMar>
            <w:vAlign w:val="center"/>
          </w:tcPr>
          <w:p w14:paraId="659EBF3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包括二次</w:t>
            </w:r>
            <w:r>
              <w:t>PM</w:t>
            </w:r>
            <w:r>
              <w:rPr>
                <w:vertAlign w:val="subscript"/>
              </w:rPr>
              <w:t>2.5</w:t>
            </w:r>
            <w:r>
              <w:rPr>
                <w:color w:val="000000"/>
              </w:rPr>
              <w:t>口</w:t>
            </w:r>
          </w:p>
          <w:p w14:paraId="5BEEFD0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不包括二次</w:t>
            </w:r>
            <w:r>
              <w:t>PM</w:t>
            </w:r>
            <w:r>
              <w:rPr>
                <w:vertAlign w:val="subscript"/>
              </w:rPr>
              <w:t>2.5</w:t>
            </w:r>
            <w:r>
              <w:rPr>
                <w:color w:val="000000"/>
              </w:rPr>
              <w:sym w:font="Wingdings 2" w:char="F052"/>
            </w:r>
          </w:p>
        </w:tc>
      </w:tr>
      <w:tr w14:paraId="72C3F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232AF95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5D246F2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正常排放短期浓度贡献值</w:t>
            </w:r>
          </w:p>
        </w:tc>
        <w:tc>
          <w:tcPr>
            <w:tcW w:w="2408" w:type="pct"/>
            <w:gridSpan w:val="5"/>
            <w:shd w:val="clear" w:color="auto" w:fill="FFFFFF"/>
            <w:noWrap w:val="0"/>
            <w:tcMar>
              <w:top w:w="28" w:type="dxa"/>
              <w:left w:w="28" w:type="dxa"/>
              <w:bottom w:w="28" w:type="dxa"/>
              <w:right w:w="28" w:type="dxa"/>
            </w:tcMar>
            <w:vAlign w:val="center"/>
          </w:tcPr>
          <w:p w14:paraId="1694EDA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C项目最大占标率≤100%</w:t>
            </w:r>
            <w:r>
              <w:rPr>
                <w:color w:val="000000"/>
              </w:rPr>
              <w:sym w:font="Wingdings 2" w:char="F052"/>
            </w:r>
          </w:p>
        </w:tc>
        <w:tc>
          <w:tcPr>
            <w:tcW w:w="1656" w:type="pct"/>
            <w:gridSpan w:val="4"/>
            <w:shd w:val="clear" w:color="auto" w:fill="FFFFFF"/>
            <w:noWrap w:val="0"/>
            <w:tcMar>
              <w:top w:w="28" w:type="dxa"/>
              <w:left w:w="28" w:type="dxa"/>
              <w:bottom w:w="28" w:type="dxa"/>
              <w:right w:w="28" w:type="dxa"/>
            </w:tcMar>
            <w:vAlign w:val="center"/>
          </w:tcPr>
          <w:p w14:paraId="0AE7064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C项目最大占标率&gt;100%口</w:t>
            </w:r>
          </w:p>
        </w:tc>
      </w:tr>
      <w:tr w14:paraId="2C894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0ACD737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vMerge w:val="restart"/>
            <w:shd w:val="clear" w:color="auto" w:fill="FFFFFF"/>
            <w:noWrap w:val="0"/>
            <w:tcMar>
              <w:top w:w="28" w:type="dxa"/>
              <w:left w:w="28" w:type="dxa"/>
              <w:bottom w:w="28" w:type="dxa"/>
              <w:right w:w="28" w:type="dxa"/>
            </w:tcMar>
            <w:vAlign w:val="center"/>
          </w:tcPr>
          <w:p w14:paraId="647A482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正常排放年均浓度贡献值</w:t>
            </w:r>
          </w:p>
        </w:tc>
        <w:tc>
          <w:tcPr>
            <w:tcW w:w="612" w:type="pct"/>
            <w:shd w:val="clear" w:color="auto" w:fill="FFFFFF"/>
            <w:noWrap w:val="0"/>
            <w:tcMar>
              <w:top w:w="28" w:type="dxa"/>
              <w:left w:w="28" w:type="dxa"/>
              <w:bottom w:w="28" w:type="dxa"/>
              <w:right w:w="28" w:type="dxa"/>
            </w:tcMar>
            <w:vAlign w:val="center"/>
          </w:tcPr>
          <w:p w14:paraId="7001B1A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一类区</w:t>
            </w:r>
          </w:p>
        </w:tc>
        <w:tc>
          <w:tcPr>
            <w:tcW w:w="1796" w:type="pct"/>
            <w:gridSpan w:val="4"/>
            <w:shd w:val="clear" w:color="auto" w:fill="FFFFFF"/>
            <w:noWrap w:val="0"/>
            <w:tcMar>
              <w:top w:w="28" w:type="dxa"/>
              <w:left w:w="28" w:type="dxa"/>
              <w:bottom w:w="28" w:type="dxa"/>
              <w:right w:w="28" w:type="dxa"/>
            </w:tcMar>
            <w:vAlign w:val="center"/>
          </w:tcPr>
          <w:p w14:paraId="3675B9CA">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C项目最大占标率&lt;10%口</w:t>
            </w:r>
          </w:p>
        </w:tc>
        <w:tc>
          <w:tcPr>
            <w:tcW w:w="1656" w:type="pct"/>
            <w:gridSpan w:val="4"/>
            <w:shd w:val="clear" w:color="auto" w:fill="FFFFFF"/>
            <w:noWrap w:val="0"/>
            <w:tcMar>
              <w:top w:w="28" w:type="dxa"/>
              <w:left w:w="28" w:type="dxa"/>
              <w:bottom w:w="28" w:type="dxa"/>
              <w:right w:w="28" w:type="dxa"/>
            </w:tcMar>
            <w:vAlign w:val="center"/>
          </w:tcPr>
          <w:p w14:paraId="4AFFF35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C项目最大标率&gt;10%口</w:t>
            </w:r>
          </w:p>
        </w:tc>
      </w:tr>
      <w:tr w14:paraId="3A9F4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24A1F78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vMerge w:val="continue"/>
            <w:shd w:val="clear" w:color="auto" w:fill="FFFFFF"/>
            <w:noWrap w:val="0"/>
            <w:tcMar>
              <w:top w:w="28" w:type="dxa"/>
              <w:left w:w="28" w:type="dxa"/>
              <w:bottom w:w="28" w:type="dxa"/>
              <w:right w:w="28" w:type="dxa"/>
            </w:tcMar>
            <w:vAlign w:val="center"/>
          </w:tcPr>
          <w:p w14:paraId="7906D36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12" w:type="pct"/>
            <w:shd w:val="clear" w:color="auto" w:fill="FFFFFF"/>
            <w:noWrap w:val="0"/>
            <w:tcMar>
              <w:top w:w="28" w:type="dxa"/>
              <w:left w:w="28" w:type="dxa"/>
              <w:bottom w:w="28" w:type="dxa"/>
              <w:right w:w="28" w:type="dxa"/>
            </w:tcMar>
            <w:vAlign w:val="center"/>
          </w:tcPr>
          <w:p w14:paraId="3B85957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二类区</w:t>
            </w:r>
          </w:p>
        </w:tc>
        <w:tc>
          <w:tcPr>
            <w:tcW w:w="1796" w:type="pct"/>
            <w:gridSpan w:val="4"/>
            <w:shd w:val="clear" w:color="auto" w:fill="FFFFFF"/>
            <w:noWrap w:val="0"/>
            <w:tcMar>
              <w:top w:w="28" w:type="dxa"/>
              <w:left w:w="28" w:type="dxa"/>
              <w:bottom w:w="28" w:type="dxa"/>
              <w:right w:w="28" w:type="dxa"/>
            </w:tcMar>
            <w:vAlign w:val="center"/>
          </w:tcPr>
          <w:p w14:paraId="70CD127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C项目最大占标率&lt;30%</w:t>
            </w:r>
            <w:r>
              <w:rPr>
                <w:color w:val="000000"/>
              </w:rPr>
              <w:sym w:font="Wingdings 2" w:char="00A3"/>
            </w:r>
          </w:p>
        </w:tc>
        <w:tc>
          <w:tcPr>
            <w:tcW w:w="1656" w:type="pct"/>
            <w:gridSpan w:val="4"/>
            <w:shd w:val="clear" w:color="auto" w:fill="FFFFFF"/>
            <w:noWrap w:val="0"/>
            <w:tcMar>
              <w:top w:w="28" w:type="dxa"/>
              <w:left w:w="28" w:type="dxa"/>
              <w:bottom w:w="28" w:type="dxa"/>
              <w:right w:w="28" w:type="dxa"/>
            </w:tcMar>
            <w:vAlign w:val="center"/>
          </w:tcPr>
          <w:p w14:paraId="2132F2B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C项目最大标率&gt;30%口</w:t>
            </w:r>
          </w:p>
        </w:tc>
      </w:tr>
      <w:tr w14:paraId="53E50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7FAE314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0129591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非正常排放1h浓度贡献值</w:t>
            </w:r>
          </w:p>
        </w:tc>
        <w:tc>
          <w:tcPr>
            <w:tcW w:w="2408" w:type="pct"/>
            <w:gridSpan w:val="5"/>
            <w:shd w:val="clear" w:color="auto" w:fill="FFFFFF"/>
            <w:noWrap w:val="0"/>
            <w:tcMar>
              <w:top w:w="28" w:type="dxa"/>
              <w:left w:w="28" w:type="dxa"/>
              <w:bottom w:w="28" w:type="dxa"/>
              <w:right w:w="28" w:type="dxa"/>
            </w:tcMar>
            <w:vAlign w:val="center"/>
          </w:tcPr>
          <w:p w14:paraId="640942A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非正常持续时长(1</w:t>
            </w:r>
            <w:r>
              <w:rPr>
                <w:rFonts w:hint="eastAsia"/>
                <w:color w:val="000000"/>
              </w:rPr>
              <w:t>.</w:t>
            </w:r>
            <w:r>
              <w:rPr>
                <w:color w:val="000000"/>
              </w:rPr>
              <w:t>0)h</w:t>
            </w:r>
          </w:p>
        </w:tc>
        <w:tc>
          <w:tcPr>
            <w:tcW w:w="1656" w:type="pct"/>
            <w:gridSpan w:val="4"/>
            <w:shd w:val="clear" w:color="auto" w:fill="FFFFFF"/>
            <w:noWrap w:val="0"/>
            <w:tcMar>
              <w:top w:w="28" w:type="dxa"/>
              <w:left w:w="28" w:type="dxa"/>
              <w:bottom w:w="28" w:type="dxa"/>
              <w:right w:w="28" w:type="dxa"/>
            </w:tcMar>
            <w:vAlign w:val="center"/>
          </w:tcPr>
          <w:p w14:paraId="0F3B1F5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C非正常占标率≤100%口</w:t>
            </w:r>
          </w:p>
          <w:p w14:paraId="596FE96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C非正常占标率&gt;100%</w:t>
            </w:r>
            <w:r>
              <w:rPr>
                <w:color w:val="000000"/>
              </w:rPr>
              <w:sym w:font="Wingdings 2" w:char="F052"/>
            </w:r>
          </w:p>
        </w:tc>
      </w:tr>
      <w:tr w14:paraId="51C77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79EAD654">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0BB794B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保证率日平均浓度和年平均浓度叠加值</w:t>
            </w:r>
          </w:p>
        </w:tc>
        <w:tc>
          <w:tcPr>
            <w:tcW w:w="2408" w:type="pct"/>
            <w:gridSpan w:val="5"/>
            <w:shd w:val="clear" w:color="auto" w:fill="FFFFFF"/>
            <w:noWrap w:val="0"/>
            <w:tcMar>
              <w:top w:w="28" w:type="dxa"/>
              <w:left w:w="28" w:type="dxa"/>
              <w:bottom w:w="28" w:type="dxa"/>
              <w:right w:w="28" w:type="dxa"/>
            </w:tcMar>
            <w:vAlign w:val="center"/>
          </w:tcPr>
          <w:p w14:paraId="31707E7C">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C叠加达标</w:t>
            </w:r>
            <w:r>
              <w:rPr>
                <w:color w:val="000000"/>
              </w:rPr>
              <w:sym w:font="Wingdings 2" w:char="00A3"/>
            </w:r>
          </w:p>
        </w:tc>
        <w:tc>
          <w:tcPr>
            <w:tcW w:w="1656" w:type="pct"/>
            <w:gridSpan w:val="4"/>
            <w:shd w:val="clear" w:color="auto" w:fill="FFFFFF"/>
            <w:noWrap w:val="0"/>
            <w:tcMar>
              <w:top w:w="28" w:type="dxa"/>
              <w:left w:w="28" w:type="dxa"/>
              <w:bottom w:w="28" w:type="dxa"/>
              <w:right w:w="28" w:type="dxa"/>
            </w:tcMar>
            <w:vAlign w:val="center"/>
          </w:tcPr>
          <w:p w14:paraId="05199D28">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C叠加不达标</w:t>
            </w:r>
            <w:r>
              <w:rPr>
                <w:color w:val="000000"/>
              </w:rPr>
              <w:sym w:font="Wingdings 2" w:char="00A3"/>
            </w:r>
          </w:p>
        </w:tc>
      </w:tr>
      <w:tr w14:paraId="4DF7A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4FAA6EA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2D92470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区域环境质量的整体变化情况</w:t>
            </w:r>
          </w:p>
        </w:tc>
        <w:tc>
          <w:tcPr>
            <w:tcW w:w="2408" w:type="pct"/>
            <w:gridSpan w:val="5"/>
            <w:shd w:val="clear" w:color="auto" w:fill="FFFFFF"/>
            <w:noWrap w:val="0"/>
            <w:tcMar>
              <w:top w:w="28" w:type="dxa"/>
              <w:left w:w="28" w:type="dxa"/>
              <w:bottom w:w="28" w:type="dxa"/>
              <w:right w:w="28" w:type="dxa"/>
            </w:tcMar>
            <w:vAlign w:val="center"/>
          </w:tcPr>
          <w:p w14:paraId="741B30E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k≤-20%</w:t>
            </w:r>
            <w:r>
              <w:rPr>
                <w:color w:val="000000"/>
              </w:rPr>
              <w:sym w:font="Wingdings 2" w:char="00A3"/>
            </w:r>
          </w:p>
        </w:tc>
        <w:tc>
          <w:tcPr>
            <w:tcW w:w="1656" w:type="pct"/>
            <w:gridSpan w:val="4"/>
            <w:shd w:val="clear" w:color="auto" w:fill="FFFFFF"/>
            <w:noWrap w:val="0"/>
            <w:tcMar>
              <w:top w:w="28" w:type="dxa"/>
              <w:left w:w="28" w:type="dxa"/>
              <w:bottom w:w="28" w:type="dxa"/>
              <w:right w:w="28" w:type="dxa"/>
            </w:tcMar>
            <w:vAlign w:val="center"/>
          </w:tcPr>
          <w:p w14:paraId="7AC894C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k&gt;-20%口</w:t>
            </w:r>
          </w:p>
        </w:tc>
      </w:tr>
      <w:tr w14:paraId="4F02B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33EDA75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环境</w:t>
            </w:r>
          </w:p>
          <w:p w14:paraId="30374A7F">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监测计划</w:t>
            </w:r>
          </w:p>
        </w:tc>
        <w:tc>
          <w:tcPr>
            <w:tcW w:w="671" w:type="pct"/>
            <w:shd w:val="clear" w:color="auto" w:fill="FFFFFF"/>
            <w:noWrap w:val="0"/>
            <w:tcMar>
              <w:top w:w="28" w:type="dxa"/>
              <w:left w:w="28" w:type="dxa"/>
              <w:bottom w:w="28" w:type="dxa"/>
              <w:right w:w="28" w:type="dxa"/>
            </w:tcMar>
            <w:vAlign w:val="center"/>
          </w:tcPr>
          <w:p w14:paraId="1B9E9CF6">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污染源监测</w:t>
            </w:r>
          </w:p>
        </w:tc>
        <w:tc>
          <w:tcPr>
            <w:tcW w:w="2408" w:type="pct"/>
            <w:gridSpan w:val="5"/>
            <w:shd w:val="clear" w:color="auto" w:fill="FFFFFF"/>
            <w:noWrap w:val="0"/>
            <w:tcMar>
              <w:top w:w="28" w:type="dxa"/>
              <w:left w:w="28" w:type="dxa"/>
              <w:bottom w:w="28" w:type="dxa"/>
              <w:right w:w="28" w:type="dxa"/>
            </w:tcMar>
            <w:vAlign w:val="center"/>
          </w:tcPr>
          <w:p w14:paraId="3D5D664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监测因子：（</w:t>
            </w:r>
            <w:r>
              <w:rPr>
                <w:color w:val="000000"/>
                <w:szCs w:val="21"/>
              </w:rPr>
              <w:t>PM</w:t>
            </w:r>
            <w:r>
              <w:rPr>
                <w:color w:val="000000"/>
                <w:szCs w:val="21"/>
                <w:vertAlign w:val="subscript"/>
              </w:rPr>
              <w:t>10</w:t>
            </w:r>
            <w:r>
              <w:rPr>
                <w:rFonts w:hint="eastAsia"/>
                <w:color w:val="000000"/>
                <w:szCs w:val="21"/>
              </w:rPr>
              <w:t>、</w:t>
            </w:r>
            <w:r>
              <w:rPr>
                <w:color w:val="000000"/>
              </w:rPr>
              <w:t>TSP、NMHC、甲醛）</w:t>
            </w:r>
          </w:p>
        </w:tc>
        <w:tc>
          <w:tcPr>
            <w:tcW w:w="1400" w:type="pct"/>
            <w:gridSpan w:val="3"/>
            <w:shd w:val="clear" w:color="auto" w:fill="FFFFFF"/>
            <w:noWrap w:val="0"/>
            <w:tcMar>
              <w:top w:w="28" w:type="dxa"/>
              <w:left w:w="28" w:type="dxa"/>
              <w:bottom w:w="28" w:type="dxa"/>
              <w:right w:w="28" w:type="dxa"/>
            </w:tcMar>
            <w:vAlign w:val="center"/>
          </w:tcPr>
          <w:p w14:paraId="63584977">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有组织废气监测</w:t>
            </w:r>
            <w:r>
              <w:rPr>
                <w:color w:val="000000"/>
              </w:rPr>
              <w:sym w:font="Wingdings 2" w:char="00A3"/>
            </w:r>
          </w:p>
          <w:p w14:paraId="425EA07D">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无组织废气监测</w:t>
            </w:r>
            <w:r>
              <w:rPr>
                <w:color w:val="000000"/>
              </w:rPr>
              <w:sym w:font="Wingdings 2" w:char="00A3"/>
            </w:r>
          </w:p>
        </w:tc>
        <w:tc>
          <w:tcPr>
            <w:tcW w:w="256" w:type="pct"/>
            <w:shd w:val="clear" w:color="auto" w:fill="FFFFFF"/>
            <w:noWrap w:val="0"/>
            <w:tcMar>
              <w:top w:w="28" w:type="dxa"/>
              <w:left w:w="28" w:type="dxa"/>
              <w:bottom w:w="28" w:type="dxa"/>
              <w:right w:w="28" w:type="dxa"/>
            </w:tcMar>
            <w:vAlign w:val="center"/>
          </w:tcPr>
          <w:p w14:paraId="752768E2">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无监测</w:t>
            </w:r>
            <w:r>
              <w:rPr>
                <w:color w:val="000000"/>
              </w:rPr>
              <w:sym w:font="Wingdings 2" w:char="0052"/>
            </w:r>
          </w:p>
        </w:tc>
      </w:tr>
      <w:tr w14:paraId="3F58A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2494C3EE">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2D047F1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环境质量监测</w:t>
            </w:r>
          </w:p>
        </w:tc>
        <w:tc>
          <w:tcPr>
            <w:tcW w:w="2408" w:type="pct"/>
            <w:gridSpan w:val="5"/>
            <w:shd w:val="clear" w:color="auto" w:fill="FFFFFF"/>
            <w:noWrap w:val="0"/>
            <w:tcMar>
              <w:top w:w="28" w:type="dxa"/>
              <w:left w:w="28" w:type="dxa"/>
              <w:bottom w:w="28" w:type="dxa"/>
              <w:right w:w="28" w:type="dxa"/>
            </w:tcMar>
            <w:vAlign w:val="center"/>
          </w:tcPr>
          <w:p w14:paraId="1B00443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监测因子：（TSP、NMHC、甲醛）</w:t>
            </w:r>
          </w:p>
        </w:tc>
        <w:tc>
          <w:tcPr>
            <w:tcW w:w="1400" w:type="pct"/>
            <w:gridSpan w:val="3"/>
            <w:shd w:val="clear" w:color="auto" w:fill="FFFFFF"/>
            <w:noWrap w:val="0"/>
            <w:tcMar>
              <w:top w:w="28" w:type="dxa"/>
              <w:left w:w="28" w:type="dxa"/>
              <w:bottom w:w="28" w:type="dxa"/>
              <w:right w:w="28" w:type="dxa"/>
            </w:tcMar>
            <w:vAlign w:val="center"/>
          </w:tcPr>
          <w:p w14:paraId="7DAD8A45">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监测点位数（</w:t>
            </w:r>
            <w:r>
              <w:rPr>
                <w:rFonts w:hint="eastAsia"/>
                <w:color w:val="000000"/>
                <w:lang w:val="en-US" w:eastAsia="zh-CN"/>
              </w:rPr>
              <w:t>1</w:t>
            </w:r>
            <w:r>
              <w:rPr>
                <w:color w:val="000000"/>
              </w:rPr>
              <w:t>）</w:t>
            </w:r>
          </w:p>
        </w:tc>
        <w:tc>
          <w:tcPr>
            <w:tcW w:w="256" w:type="pct"/>
            <w:shd w:val="clear" w:color="auto" w:fill="FFFFFF"/>
            <w:noWrap w:val="0"/>
            <w:tcMar>
              <w:top w:w="28" w:type="dxa"/>
              <w:left w:w="28" w:type="dxa"/>
              <w:bottom w:w="28" w:type="dxa"/>
              <w:right w:w="28" w:type="dxa"/>
            </w:tcMar>
            <w:vAlign w:val="center"/>
          </w:tcPr>
          <w:p w14:paraId="54D1DDA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无监测</w:t>
            </w:r>
            <w:r>
              <w:rPr>
                <w:color w:val="000000"/>
              </w:rPr>
              <w:sym w:font="Wingdings 2" w:char="00A3"/>
            </w:r>
          </w:p>
        </w:tc>
      </w:tr>
      <w:tr w14:paraId="78FB0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restart"/>
            <w:shd w:val="clear" w:color="auto" w:fill="FFFFFF"/>
            <w:noWrap w:val="0"/>
            <w:tcMar>
              <w:top w:w="28" w:type="dxa"/>
              <w:left w:w="28" w:type="dxa"/>
              <w:bottom w:w="28" w:type="dxa"/>
              <w:right w:w="28" w:type="dxa"/>
            </w:tcMar>
            <w:vAlign w:val="center"/>
          </w:tcPr>
          <w:p w14:paraId="552B154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评价结论</w:t>
            </w:r>
          </w:p>
        </w:tc>
        <w:tc>
          <w:tcPr>
            <w:tcW w:w="671" w:type="pct"/>
            <w:shd w:val="clear" w:color="auto" w:fill="FFFFFF"/>
            <w:noWrap w:val="0"/>
            <w:tcMar>
              <w:top w:w="28" w:type="dxa"/>
              <w:left w:w="28" w:type="dxa"/>
              <w:bottom w:w="28" w:type="dxa"/>
              <w:right w:w="28" w:type="dxa"/>
            </w:tcMar>
            <w:vAlign w:val="center"/>
          </w:tcPr>
          <w:p w14:paraId="3B7AA4F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环境影响</w:t>
            </w:r>
          </w:p>
        </w:tc>
        <w:tc>
          <w:tcPr>
            <w:tcW w:w="4065" w:type="pct"/>
            <w:gridSpan w:val="9"/>
            <w:shd w:val="clear" w:color="auto" w:fill="FFFFFF"/>
            <w:noWrap w:val="0"/>
            <w:tcMar>
              <w:top w:w="28" w:type="dxa"/>
              <w:left w:w="28" w:type="dxa"/>
              <w:bottom w:w="28" w:type="dxa"/>
              <w:right w:w="28" w:type="dxa"/>
            </w:tcMar>
            <w:vAlign w:val="center"/>
          </w:tcPr>
          <w:p w14:paraId="2F514A9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可以接受</w:t>
            </w:r>
            <w:r>
              <w:rPr>
                <w:color w:val="000000"/>
              </w:rPr>
              <w:sym w:font="Wingdings 2" w:char="F052"/>
            </w:r>
            <w:r>
              <w:rPr>
                <w:color w:val="000000"/>
              </w:rPr>
              <w:t xml:space="preserve">   不可以接受口</w:t>
            </w:r>
          </w:p>
        </w:tc>
      </w:tr>
      <w:tr w14:paraId="42000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4F4BF2E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003DCBA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大气环境防护距离</w:t>
            </w:r>
          </w:p>
        </w:tc>
        <w:tc>
          <w:tcPr>
            <w:tcW w:w="4065" w:type="pct"/>
            <w:gridSpan w:val="9"/>
            <w:shd w:val="clear" w:color="auto" w:fill="FFFFFF"/>
            <w:noWrap w:val="0"/>
            <w:tcMar>
              <w:top w:w="28" w:type="dxa"/>
              <w:left w:w="28" w:type="dxa"/>
              <w:bottom w:w="28" w:type="dxa"/>
              <w:right w:w="28" w:type="dxa"/>
            </w:tcMar>
            <w:vAlign w:val="center"/>
          </w:tcPr>
          <w:p w14:paraId="5DCB8253">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距（</w:t>
            </w:r>
            <w:r>
              <w:rPr>
                <w:rFonts w:hint="eastAsia"/>
                <w:color w:val="000000"/>
              </w:rPr>
              <w:t>/</w:t>
            </w:r>
            <w:r>
              <w:rPr>
                <w:color w:val="000000"/>
              </w:rPr>
              <w:t>）厂界最远（</w:t>
            </w:r>
            <w:r>
              <w:rPr>
                <w:rFonts w:hint="eastAsia"/>
                <w:color w:val="000000"/>
              </w:rPr>
              <w:t>/</w:t>
            </w:r>
            <w:r>
              <w:rPr>
                <w:color w:val="000000"/>
              </w:rPr>
              <w:t>）m</w:t>
            </w:r>
          </w:p>
        </w:tc>
      </w:tr>
      <w:tr w14:paraId="143B9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263" w:type="pct"/>
            <w:vMerge w:val="continue"/>
            <w:shd w:val="clear" w:color="auto" w:fill="FFFFFF"/>
            <w:noWrap w:val="0"/>
            <w:tcMar>
              <w:top w:w="28" w:type="dxa"/>
              <w:left w:w="28" w:type="dxa"/>
              <w:bottom w:w="28" w:type="dxa"/>
              <w:right w:w="28" w:type="dxa"/>
            </w:tcMar>
            <w:vAlign w:val="center"/>
          </w:tcPr>
          <w:p w14:paraId="183E7C90">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p>
        </w:tc>
        <w:tc>
          <w:tcPr>
            <w:tcW w:w="671" w:type="pct"/>
            <w:shd w:val="clear" w:color="auto" w:fill="FFFFFF"/>
            <w:noWrap w:val="0"/>
            <w:tcMar>
              <w:top w:w="28" w:type="dxa"/>
              <w:left w:w="28" w:type="dxa"/>
              <w:bottom w:w="28" w:type="dxa"/>
              <w:right w:w="28" w:type="dxa"/>
            </w:tcMar>
            <w:vAlign w:val="center"/>
          </w:tcPr>
          <w:p w14:paraId="2D17D179">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污染源年排放量</w:t>
            </w:r>
          </w:p>
        </w:tc>
        <w:tc>
          <w:tcPr>
            <w:tcW w:w="4065" w:type="pct"/>
            <w:gridSpan w:val="9"/>
            <w:shd w:val="clear" w:color="auto" w:fill="FFFFFF"/>
            <w:noWrap w:val="0"/>
            <w:tcMar>
              <w:top w:w="28" w:type="dxa"/>
              <w:left w:w="28" w:type="dxa"/>
              <w:bottom w:w="28" w:type="dxa"/>
              <w:right w:w="28" w:type="dxa"/>
            </w:tcMar>
            <w:vAlign w:val="center"/>
          </w:tcPr>
          <w:p w14:paraId="3A565991">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rFonts w:hint="eastAsia" w:eastAsia="宋体"/>
                <w:color w:val="000000"/>
                <w:lang w:eastAsia="zh-CN"/>
              </w:rPr>
            </w:pPr>
            <w:r>
              <w:rPr>
                <w:color w:val="000000"/>
              </w:rPr>
              <w:t>SO2：(  )t/a、NOx：(  )t/a、颗粒物：（</w:t>
            </w:r>
            <w:r>
              <w:rPr>
                <w:rFonts w:hint="default" w:ascii="Times New Roman" w:hAnsi="Times New Roman" w:eastAsia="宋体" w:cs="Times New Roman"/>
                <w:i w:val="0"/>
                <w:iCs w:val="0"/>
                <w:color w:val="000000"/>
                <w:kern w:val="0"/>
                <w:sz w:val="21"/>
                <w:szCs w:val="21"/>
                <w:u w:val="none"/>
                <w:lang w:val="en-US" w:eastAsia="zh-CN" w:bidi="ar"/>
              </w:rPr>
              <w:t>1.74</w:t>
            </w:r>
            <w:r>
              <w:rPr>
                <w:color w:val="000000"/>
              </w:rPr>
              <w:t>）t/a、VOCs</w:t>
            </w:r>
            <w:r>
              <w:rPr>
                <w:rFonts w:hint="eastAsia"/>
                <w:color w:val="000000"/>
              </w:rPr>
              <w:t>（非甲烷总烃、甲醛）</w:t>
            </w:r>
            <w:r>
              <w:rPr>
                <w:color w:val="000000"/>
              </w:rPr>
              <w:t>：(</w:t>
            </w: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861</w:t>
            </w:r>
            <w:r>
              <w:rPr>
                <w:color w:val="000000"/>
              </w:rPr>
              <w:t>)t/a</w:t>
            </w:r>
            <w:r>
              <w:rPr>
                <w:rFonts w:hint="eastAsia"/>
                <w:color w:val="000000"/>
              </w:rPr>
              <w:t>，其中非甲烷总烃</w:t>
            </w:r>
            <w:r>
              <w:rPr>
                <w:rFonts w:hint="eastAsia"/>
                <w:color w:val="000000"/>
                <w:lang w:eastAsia="zh-CN"/>
              </w:rPr>
              <w:t>：</w:t>
            </w:r>
            <w:r>
              <w:rPr>
                <w:color w:val="000000"/>
              </w:rPr>
              <w:t>（</w:t>
            </w:r>
            <w:r>
              <w:rPr>
                <w:rFonts w:hint="default" w:ascii="Times New Roman" w:hAnsi="Times New Roman" w:eastAsia="宋体" w:cs="Times New Roman"/>
                <w:i w:val="0"/>
                <w:iCs w:val="0"/>
                <w:color w:val="000000"/>
                <w:kern w:val="0"/>
                <w:sz w:val="21"/>
                <w:szCs w:val="21"/>
                <w:u w:val="none"/>
                <w:lang w:val="en-US" w:eastAsia="zh-CN" w:bidi="ar"/>
              </w:rPr>
              <w:t>0.809</w:t>
            </w:r>
            <w:r>
              <w:rPr>
                <w:color w:val="000000"/>
              </w:rPr>
              <w:t>）t/a</w:t>
            </w:r>
            <w:r>
              <w:rPr>
                <w:rFonts w:hint="eastAsia"/>
                <w:color w:val="000000"/>
              </w:rPr>
              <w:t>、</w:t>
            </w:r>
            <w:r>
              <w:rPr>
                <w:color w:val="000000"/>
              </w:rPr>
              <w:t>甲醛：（</w:t>
            </w:r>
            <w:r>
              <w:rPr>
                <w:rFonts w:hint="default" w:ascii="Times New Roman" w:hAnsi="Times New Roman" w:eastAsia="宋体" w:cs="Times New Roman"/>
                <w:i w:val="0"/>
                <w:iCs w:val="0"/>
                <w:color w:val="000000"/>
                <w:kern w:val="0"/>
                <w:sz w:val="21"/>
                <w:szCs w:val="21"/>
                <w:u w:val="none"/>
                <w:lang w:val="en-US" w:eastAsia="zh-CN" w:bidi="ar"/>
              </w:rPr>
              <w:t>0.052</w:t>
            </w:r>
            <w:r>
              <w:rPr>
                <w:color w:val="000000"/>
              </w:rPr>
              <w:t>）t/a</w:t>
            </w:r>
            <w:r>
              <w:rPr>
                <w:rFonts w:hint="eastAsia"/>
                <w:color w:val="000000"/>
              </w:rPr>
              <w:t>、</w:t>
            </w:r>
            <w:r>
              <w:rPr>
                <w:rFonts w:hint="eastAsia"/>
                <w:color w:val="000000"/>
                <w:lang w:eastAsia="zh-CN"/>
              </w:rPr>
              <w:t>。</w:t>
            </w:r>
          </w:p>
        </w:tc>
      </w:tr>
      <w:tr w14:paraId="12457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atLeast"/>
        </w:trPr>
        <w:tc>
          <w:tcPr>
            <w:tcW w:w="5000" w:type="pct"/>
            <w:gridSpan w:val="11"/>
            <w:shd w:val="clear" w:color="auto" w:fill="FFFFFF"/>
            <w:noWrap w:val="0"/>
            <w:tcMar>
              <w:top w:w="28" w:type="dxa"/>
              <w:left w:w="28" w:type="dxa"/>
              <w:bottom w:w="28" w:type="dxa"/>
              <w:right w:w="28" w:type="dxa"/>
            </w:tcMar>
            <w:vAlign w:val="center"/>
          </w:tcPr>
          <w:p w14:paraId="551AF00B">
            <w:pPr>
              <w:pStyle w:val="33"/>
              <w:keepNext w:val="0"/>
              <w:keepLines w:val="0"/>
              <w:pageBreakBefore w:val="0"/>
              <w:widowControl w:val="0"/>
              <w:kinsoku/>
              <w:wordWrap/>
              <w:overflowPunct/>
              <w:topLinePunct w:val="0"/>
              <w:autoSpaceDE/>
              <w:autoSpaceDN/>
              <w:bidi w:val="0"/>
              <w:adjustRightInd w:val="0"/>
              <w:snapToGrid w:val="0"/>
              <w:ind w:firstLineChars="0"/>
              <w:textAlignment w:val="auto"/>
              <w:rPr>
                <w:color w:val="000000"/>
              </w:rPr>
            </w:pPr>
            <w:r>
              <w:rPr>
                <w:color w:val="000000"/>
              </w:rPr>
              <w:t>注：“口”为勾选项，填“√”；“（  ）”为内容填写项。</w:t>
            </w:r>
          </w:p>
        </w:tc>
      </w:tr>
    </w:tbl>
    <w:p w14:paraId="37205FBA">
      <w:pPr>
        <w:rPr>
          <w:snapToGrid w:val="0"/>
          <w:color w:val="FF0000"/>
          <w:spacing w:val="-6"/>
          <w:kern w:val="21"/>
          <w:szCs w:val="21"/>
          <w:u w:val="single"/>
        </w:rPr>
        <w:sectPr>
          <w:pgSz w:w="11905" w:h="16838"/>
          <w:pgMar w:top="1440" w:right="1083" w:bottom="1440" w:left="1083" w:header="850" w:footer="992" w:gutter="0"/>
          <w:cols w:space="720" w:num="1"/>
          <w:titlePg/>
          <w:docGrid w:type="lines" w:linePitch="318"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60"/>
      </w:tblGrid>
      <w:tr w14:paraId="0985EE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060" w:type="dxa"/>
            <w:vAlign w:val="center"/>
          </w:tcPr>
          <w:p w14:paraId="0E93D9E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5033645</wp:posOffset>
                  </wp:positionH>
                  <wp:positionV relativeFrom="paragraph">
                    <wp:posOffset>87630</wp:posOffset>
                  </wp:positionV>
                  <wp:extent cx="615315" cy="840105"/>
                  <wp:effectExtent l="0" t="0" r="13335" b="1714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6"/>
                          <a:stretch>
                            <a:fillRect/>
                          </a:stretch>
                        </pic:blipFill>
                        <pic:spPr>
                          <a:xfrm>
                            <a:off x="0" y="0"/>
                            <a:ext cx="615315" cy="840105"/>
                          </a:xfrm>
                          <a:prstGeom prst="rect">
                            <a:avLst/>
                          </a:prstGeom>
                          <a:noFill/>
                          <a:ln>
                            <a:noFill/>
                          </a:ln>
                        </pic:spPr>
                      </pic:pic>
                    </a:graphicData>
                  </a:graphic>
                </wp:anchor>
              </w:drawing>
            </w:r>
            <w:r>
              <w:rPr>
                <w:color w:val="000000" w:themeColor="text1"/>
                <w:sz w:val="24"/>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1560195</wp:posOffset>
                      </wp:positionH>
                      <wp:positionV relativeFrom="paragraph">
                        <wp:posOffset>5060950</wp:posOffset>
                      </wp:positionV>
                      <wp:extent cx="894715" cy="323850"/>
                      <wp:effectExtent l="91440" t="371475" r="23495" b="9525"/>
                      <wp:wrapNone/>
                      <wp:docPr id="4" name="矩形标注 4"/>
                      <wp:cNvGraphicFramePr/>
                      <a:graphic xmlns:a="http://schemas.openxmlformats.org/drawingml/2006/main">
                        <a:graphicData uri="http://schemas.microsoft.com/office/word/2010/wordprocessingShape">
                          <wps:wsp>
                            <wps:cNvSpPr/>
                            <wps:spPr>
                              <a:xfrm>
                                <a:off x="0" y="0"/>
                                <a:ext cx="894715" cy="323850"/>
                              </a:xfrm>
                              <a:prstGeom prst="wedgeRectCallout">
                                <a:avLst>
                                  <a:gd name="adj1" fmla="val -57452"/>
                                  <a:gd name="adj2" fmla="val -15627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41775C1">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85pt;margin-top:398.5pt;height:25.5pt;width:70.45pt;z-index:251661312;v-text-anchor:middle;mso-width-relative:page;mso-height-relative:page;" fillcolor="#FFFFFF [3212]" filled="t" stroked="t" coordsize="21600,21600" o:gfxdata="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&#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Mgw+ADbAAAACwEAAA8AAAAAAAAAAQAgAAAAIgAAAGRy&#10;cy9kb3ducmV2LnhtbFBLAQIUABQAAAAIAIdO4kB02PhprQIAAGQFAAAOAAAAAAAAAAEAIAAAACoB&#10;AABkcnMvZTJvRG9jLnhtbFBLBQYAAAAABgAGAFkBAABJBgAAAAA=&#10;" adj="-1610,-22955">
                      <v:fill on="t" focussize="0,0"/>
                      <v:stroke weight="1pt" color="#000000 [3213]" miterlimit="8" joinstyle="miter"/>
                      <v:imagedata o:title=""/>
                      <o:lock v:ext="edit" aspectratio="f"/>
                      <v:textbox>
                        <w:txbxContent>
                          <w:p w14:paraId="441775C1">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项目位置</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1422400</wp:posOffset>
                      </wp:positionH>
                      <wp:positionV relativeFrom="paragraph">
                        <wp:posOffset>4649470</wp:posOffset>
                      </wp:positionV>
                      <wp:extent cx="86995" cy="85725"/>
                      <wp:effectExtent l="6350" t="6350" r="20955" b="22225"/>
                      <wp:wrapNone/>
                      <wp:docPr id="3" name="椭圆 3"/>
                      <wp:cNvGraphicFramePr/>
                      <a:graphic xmlns:a="http://schemas.openxmlformats.org/drawingml/2006/main">
                        <a:graphicData uri="http://schemas.microsoft.com/office/word/2010/wordprocessingShape">
                          <wps:wsp>
                            <wps:cNvSpPr/>
                            <wps:spPr>
                              <a:xfrm>
                                <a:off x="0" y="0"/>
                                <a:ext cx="86995" cy="8572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2pt;margin-top:366.1pt;height:6.75pt;width:6.85pt;z-index:251660288;v-text-anchor:middle;mso-width-relative:page;mso-height-relative:page;" filled="f" stroked="t" coordsize="21600,21600" o:gfxdata="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wl4pK2AAAAAsBAAAPAAAAAAAAAAEAIAAAACIAAABkcnMvZG93bnJldi54bWxQ&#10;SwECFAAUAAAACACHTuJAI/aPc2kCAADLBAAADgAAAAAAAAABACAAAAAnAQAAZHJzL2Uyb0RvYy54&#10;bWxQSwUGAAAAAAYABgBZAQAAAgYAAAAA&#10;">
                      <v:fill on="f" focussize="0,0"/>
                      <v:stroke weight="1pt" color="#FF0000 [2404]" miterlimit="8" joinstyle="miter"/>
                      <v:imagedata o:title=""/>
                      <o:lock v:ext="edit" aspectratio="f"/>
                    </v:shape>
                  </w:pict>
                </mc:Fallback>
              </mc:AlternateContent>
            </w:r>
            <w:r>
              <w:drawing>
                <wp:inline distT="0" distB="0" distL="114300" distR="114300">
                  <wp:extent cx="7949565" cy="5669915"/>
                  <wp:effectExtent l="0" t="0" r="6985" b="1333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7"/>
                          <a:srcRect l="14063" t="47754" r="1452" b="10035"/>
                          <a:stretch>
                            <a:fillRect/>
                          </a:stretch>
                        </pic:blipFill>
                        <pic:spPr>
                          <a:xfrm rot="5400000">
                            <a:off x="0" y="0"/>
                            <a:ext cx="7949565" cy="5669915"/>
                          </a:xfrm>
                          <a:prstGeom prst="rect">
                            <a:avLst/>
                          </a:prstGeom>
                          <a:noFill/>
                          <a:ln>
                            <a:noFill/>
                          </a:ln>
                        </pic:spPr>
                      </pic:pic>
                    </a:graphicData>
                  </a:graphic>
                </wp:inline>
              </w:drawing>
            </w:r>
          </w:p>
        </w:tc>
      </w:tr>
      <w:tr w14:paraId="2AA13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060" w:type="dxa"/>
            <w:vAlign w:val="center"/>
          </w:tcPr>
          <w:p w14:paraId="538EBCD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rFonts w:hint="default" w:ascii="Times New Roman" w:hAnsi="Times New Roman" w:eastAsia="黑体" w:cs="Times New Roman"/>
                <w:color w:val="000000" w:themeColor="text1"/>
                <w:sz w:val="24"/>
                <w:szCs w:val="24"/>
                <w:vertAlign w:val="baseline"/>
                <w:lang w:val="en-US" w:eastAsia="zh-CN"/>
                <w14:textFill>
                  <w14:solidFill>
                    <w14:schemeClr w14:val="tx1"/>
                  </w14:solidFill>
                </w14:textFill>
              </w:rPr>
              <w:t>附图1  项目地理位置图</w:t>
            </w:r>
          </w:p>
        </w:tc>
      </w:tr>
    </w:tbl>
    <w:p w14:paraId="4F30E2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0000" w:themeColor="text1"/>
          <w:sz w:val="32"/>
          <w:szCs w:val="32"/>
          <w:lang w:val="en-US" w:eastAsia="zh-CN"/>
          <w14:textFill>
            <w14:solidFill>
              <w14:schemeClr w14:val="tx1"/>
            </w14:solidFill>
          </w14:textFill>
        </w:rPr>
        <w:sectPr>
          <w:footerReference r:id="rId14" w:type="default"/>
          <w:pgSz w:w="11906" w:h="16838"/>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992"/>
      </w:tblGrid>
      <w:tr w14:paraId="6D063C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3992" w:type="dxa"/>
            <w:vAlign w:val="center"/>
          </w:tcPr>
          <w:p w14:paraId="62CAB88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sz w:val="28"/>
              </w:rPr>
              <mc:AlternateContent>
                <mc:Choice Requires="wps">
                  <w:drawing>
                    <wp:anchor distT="0" distB="0" distL="114300" distR="114300" simplePos="0" relativeHeight="251673600" behindDoc="0" locked="0" layoutInCell="1" allowOverlap="1">
                      <wp:simplePos x="0" y="0"/>
                      <wp:positionH relativeFrom="column">
                        <wp:posOffset>4977130</wp:posOffset>
                      </wp:positionH>
                      <wp:positionV relativeFrom="paragraph">
                        <wp:posOffset>2509520</wp:posOffset>
                      </wp:positionV>
                      <wp:extent cx="556260" cy="264160"/>
                      <wp:effectExtent l="0" t="0" r="0" b="0"/>
                      <wp:wrapNone/>
                      <wp:docPr id="21" name="矩形 21"/>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3CE7900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483m</w:t>
                                  </w:r>
                                </w:p>
                              </w:txbxContent>
                            </wps:txbx>
                            <wps:bodyPr upright="1"/>
                          </wps:wsp>
                        </a:graphicData>
                      </a:graphic>
                    </wp:anchor>
                  </w:drawing>
                </mc:Choice>
                <mc:Fallback>
                  <w:pict>
                    <v:rect id="_x0000_s1026" o:spid="_x0000_s1026" o:spt="1" style="position:absolute;left:0pt;margin-left:391.9pt;margin-top:197.6pt;height:20.8pt;width:43.8pt;z-index:251673600;mso-width-relative:page;mso-height-relative:page;" filled="f" stroked="f" coordsize="21600,21600" o:gfxdata="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bTrZXc&#10;AAAACwEAAA8AAAAAAAAAAQAgAAAAIgAAAGRycy9kb3ducmV2LnhtbFBLAQIUABQAAAAIAIdO4kBg&#10;vqsOqgEAAEwDAAAOAAAAAAAAAAEAIAAAACsBAABkcnMvZTJvRG9jLnhtbFBLBQYAAAAABgAGAFkB&#10;AABHBQAAAAA=&#10;">
                      <v:fill on="f" focussize="0,0"/>
                      <v:stroke on="f" weight="1.25pt"/>
                      <v:imagedata o:title=""/>
                      <o:lock v:ext="edit" aspectratio="f"/>
                      <v:textbox>
                        <w:txbxContent>
                          <w:p w14:paraId="3CE7900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483m</w:t>
                            </w:r>
                          </w:p>
                        </w:txbxContent>
                      </v:textbox>
                    </v:rect>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4801235</wp:posOffset>
                      </wp:positionH>
                      <wp:positionV relativeFrom="paragraph">
                        <wp:posOffset>2671445</wp:posOffset>
                      </wp:positionV>
                      <wp:extent cx="556260" cy="264160"/>
                      <wp:effectExtent l="0" t="0" r="0" b="0"/>
                      <wp:wrapNone/>
                      <wp:docPr id="20" name="矩形 20"/>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6AFC7E02">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382m</w:t>
                                  </w:r>
                                </w:p>
                              </w:txbxContent>
                            </wps:txbx>
                            <wps:bodyPr upright="1"/>
                          </wps:wsp>
                        </a:graphicData>
                      </a:graphic>
                    </wp:anchor>
                  </w:drawing>
                </mc:Choice>
                <mc:Fallback>
                  <w:pict>
                    <v:rect id="_x0000_s1026" o:spid="_x0000_s1026" o:spt="1" style="position:absolute;left:0pt;margin-left:378.05pt;margin-top:210.35pt;height:20.8pt;width:43.8pt;z-index:251672576;mso-width-relative:page;mso-height-relative:page;" filled="f" stroked="f" coordsize="21600,21600" o:gfxdata="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sZAanb&#10;AAAACwEAAA8AAAAAAAAAAQAgAAAAIgAAAGRycy9kb3ducmV2LnhtbFBLAQIUABQAAAAIAIdO4kAn&#10;Dn3rqwEAAEwDAAAOAAAAAAAAAAEAIAAAACoBAABkcnMvZTJvRG9jLnhtbFBLBQYAAAAABgAGAFkB&#10;AABHBQAAAAA=&#10;">
                      <v:fill on="f" focussize="0,0"/>
                      <v:stroke on="f" weight="1.25pt"/>
                      <v:imagedata o:title=""/>
                      <o:lock v:ext="edit" aspectratio="f"/>
                      <v:textbox>
                        <w:txbxContent>
                          <w:p w14:paraId="6AFC7E02">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382m</w:t>
                            </w:r>
                          </w:p>
                        </w:txbxContent>
                      </v:textbox>
                    </v:rect>
                  </w:pict>
                </mc:Fallback>
              </mc:AlternateContent>
            </w:r>
            <w:r>
              <w:rPr>
                <w:sz w:val="28"/>
              </w:rPr>
              <mc:AlternateContent>
                <mc:Choice Requires="wps">
                  <w:drawing>
                    <wp:anchor distT="0" distB="0" distL="114300" distR="114300" simplePos="0" relativeHeight="251669504" behindDoc="0" locked="0" layoutInCell="1" allowOverlap="1">
                      <wp:simplePos x="0" y="0"/>
                      <wp:positionH relativeFrom="column">
                        <wp:posOffset>4364355</wp:posOffset>
                      </wp:positionH>
                      <wp:positionV relativeFrom="paragraph">
                        <wp:posOffset>2269490</wp:posOffset>
                      </wp:positionV>
                      <wp:extent cx="1374775" cy="746760"/>
                      <wp:effectExtent l="0" t="0" r="15875" b="15240"/>
                      <wp:wrapNone/>
                      <wp:docPr id="17" name="直接连接符 17"/>
                      <wp:cNvGraphicFramePr/>
                      <a:graphic xmlns:a="http://schemas.openxmlformats.org/drawingml/2006/main">
                        <a:graphicData uri="http://schemas.microsoft.com/office/word/2010/wordprocessingShape">
                          <wps:wsp>
                            <wps:cNvCnPr/>
                            <wps:spPr>
                              <a:xfrm>
                                <a:off x="0" y="0"/>
                                <a:ext cx="1374775" cy="746760"/>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margin-left:343.65pt;margin-top:178.7pt;height:58.8pt;width:108.25pt;z-index:251669504;mso-width-relative:page;mso-height-relative:page;" filled="f" stroked="t" coordsize="21600,21600" o:gfxdata="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qG4bNoAAAALAQAADwAAAAAAAAABACAAAAAiAAAAZHJzL2Rv&#10;d25yZXYueG1sUEsBAhQAFAAAAAgAh07iQMamN/v/AQAA8wMAAA4AAAAAAAAAAQAgAAAAKQEAAGRy&#10;cy9lMm9Eb2MueG1sUEsFBgAAAAAGAAYAWQEAAJoFAAAAAA==&#10;">
                      <v:fill on="f" focussize="0,0"/>
                      <v:stroke weight="0.5pt" color="#FFFF00" joinstyle="round" startarrow="block" endarrow="block"/>
                      <v:imagedata o:title=""/>
                      <o:lock v:ext="edit" aspectratio="f"/>
                    </v:lin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4364355</wp:posOffset>
                      </wp:positionH>
                      <wp:positionV relativeFrom="paragraph">
                        <wp:posOffset>2299335</wp:posOffset>
                      </wp:positionV>
                      <wp:extent cx="1044575" cy="601345"/>
                      <wp:effectExtent l="0" t="0" r="3175" b="8255"/>
                      <wp:wrapNone/>
                      <wp:docPr id="15" name="直接连接符 15"/>
                      <wp:cNvGraphicFramePr/>
                      <a:graphic xmlns:a="http://schemas.openxmlformats.org/drawingml/2006/main">
                        <a:graphicData uri="http://schemas.microsoft.com/office/word/2010/wordprocessingShape">
                          <wps:wsp>
                            <wps:cNvCnPr/>
                            <wps:spPr>
                              <a:xfrm>
                                <a:off x="0" y="0"/>
                                <a:ext cx="1044575" cy="601345"/>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margin-left:343.65pt;margin-top:181.05pt;height:47.35pt;width:82.25pt;z-index:251667456;mso-width-relative:page;mso-height-relative:page;" filled="f" stroked="t" coordsize="21600,21600" o:gfxdata="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zmH/A2QAAAAsBAAAPAAAAAAAAAAEAIAAAACIAAABkcnMvZG93&#10;bnJldi54bWxQSwECFAAUAAAACACHTuJAlG3t+f8BAADzAwAADgAAAAAAAAABACAAAAAoAQAAZHJz&#10;L2Uyb0RvYy54bWxQSwUGAAAAAAYABgBZAQAAmQUAAAAA&#10;">
                      <v:fill on="f" focussize="0,0"/>
                      <v:stroke weight="0.5pt" color="#FFFF00" joinstyle="round" startarrow="block" endarrow="block"/>
                      <v:imagedata o:title=""/>
                      <o:lock v:ext="edit" aspectratio="f"/>
                    </v:line>
                  </w:pict>
                </mc:Fallback>
              </mc:AlternateContent>
            </w:r>
            <w:r>
              <w:rPr>
                <w:sz w:val="28"/>
              </w:rPr>
              <mc:AlternateContent>
                <mc:Choice Requires="wps">
                  <w:drawing>
                    <wp:anchor distT="0" distB="0" distL="114300" distR="114300" simplePos="0" relativeHeight="251671552" behindDoc="0" locked="0" layoutInCell="1" allowOverlap="1">
                      <wp:simplePos x="0" y="0"/>
                      <wp:positionH relativeFrom="column">
                        <wp:posOffset>4313555</wp:posOffset>
                      </wp:positionH>
                      <wp:positionV relativeFrom="paragraph">
                        <wp:posOffset>2947035</wp:posOffset>
                      </wp:positionV>
                      <wp:extent cx="556260" cy="264160"/>
                      <wp:effectExtent l="0" t="0" r="0" b="0"/>
                      <wp:wrapNone/>
                      <wp:docPr id="19" name="矩形 19"/>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3E2EDE3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349m</w:t>
                                  </w:r>
                                </w:p>
                              </w:txbxContent>
                            </wps:txbx>
                            <wps:bodyPr upright="1"/>
                          </wps:wsp>
                        </a:graphicData>
                      </a:graphic>
                    </wp:anchor>
                  </w:drawing>
                </mc:Choice>
                <mc:Fallback>
                  <w:pict>
                    <v:rect id="_x0000_s1026" o:spid="_x0000_s1026" o:spt="1" style="position:absolute;left:0pt;margin-left:339.65pt;margin-top:232.05pt;height:20.8pt;width:43.8pt;z-index:251671552;mso-width-relative:page;mso-height-relative:page;" filled="f" stroked="f" coordsize="21600,21600" o:gfxdata="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E5+w&#10;ZtwAAAALAQAADwAAAAAAAAABACAAAAAiAAAAZHJzL2Rvd25yZXYueG1sUEsBAhQAFAAAAAgAh07i&#10;QJgkTK6sAQAATAMAAA4AAAAAAAAAAQAgAAAAKwEAAGRycy9lMm9Eb2MueG1sUEsFBgAAAAAGAAYA&#10;WQEAAEkFAAAAAA==&#10;">
                      <v:fill on="f" focussize="0,0"/>
                      <v:stroke on="f" weight="1.25pt"/>
                      <v:imagedata o:title=""/>
                      <o:lock v:ext="edit" aspectratio="f"/>
                      <v:textbox>
                        <w:txbxContent>
                          <w:p w14:paraId="3E2EDE3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349m</w:t>
                            </w:r>
                          </w:p>
                        </w:txbxContent>
                      </v:textbox>
                    </v:rect>
                  </w:pict>
                </mc:Fallback>
              </mc:AlternateContent>
            </w:r>
            <w:r>
              <w:rPr>
                <w:sz w:val="28"/>
              </w:rPr>
              <mc:AlternateContent>
                <mc:Choice Requires="wps">
                  <w:drawing>
                    <wp:anchor distT="0" distB="0" distL="114300" distR="114300" simplePos="0" relativeHeight="251670528" behindDoc="0" locked="0" layoutInCell="1" allowOverlap="1">
                      <wp:simplePos x="0" y="0"/>
                      <wp:positionH relativeFrom="column">
                        <wp:posOffset>4328795</wp:posOffset>
                      </wp:positionH>
                      <wp:positionV relativeFrom="paragraph">
                        <wp:posOffset>2279650</wp:posOffset>
                      </wp:positionV>
                      <wp:extent cx="570865" cy="1069975"/>
                      <wp:effectExtent l="0" t="0" r="635" b="15875"/>
                      <wp:wrapNone/>
                      <wp:docPr id="18" name="直接连接符 18"/>
                      <wp:cNvGraphicFramePr/>
                      <a:graphic xmlns:a="http://schemas.openxmlformats.org/drawingml/2006/main">
                        <a:graphicData uri="http://schemas.microsoft.com/office/word/2010/wordprocessingShape">
                          <wps:wsp>
                            <wps:cNvCnPr/>
                            <wps:spPr>
                              <a:xfrm flipH="1" flipV="1">
                                <a:off x="0" y="0"/>
                                <a:ext cx="570865" cy="1069975"/>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flip:x y;margin-left:340.85pt;margin-top:179.5pt;height:84.25pt;width:44.95pt;z-index:251670528;mso-width-relative:page;mso-height-relative:page;" filled="f" stroked="t" coordsize="21600,21600" o:gfxdata="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frdastkAAAALAQAADwAAAAAAAAABACAA&#10;AAAiAAAAZHJzL2Rvd25yZXYueG1sUEsBAhQAFAAAAAgAh07iQPns40wMAgAABwQAAA4AAAAAAAAA&#10;AQAgAAAAKAEAAGRycy9lMm9Eb2MueG1sUEsFBgAAAAAGAAYAWQEAAKYFAAAAAA==&#10;">
                      <v:fill on="f" focussize="0,0"/>
                      <v:stroke weight="0.5pt" color="#FFFF00" joinstyle="round" startarrow="block" endarrow="block"/>
                      <v:imagedata o:title=""/>
                      <o:lock v:ext="edit" aspectratio="f"/>
                    </v:lin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5054600</wp:posOffset>
                      </wp:positionH>
                      <wp:positionV relativeFrom="paragraph">
                        <wp:posOffset>2232025</wp:posOffset>
                      </wp:positionV>
                      <wp:extent cx="556260" cy="264160"/>
                      <wp:effectExtent l="0" t="0" r="0" b="0"/>
                      <wp:wrapNone/>
                      <wp:docPr id="22" name="矩形 22"/>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0CBC874E">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417m</w:t>
                                  </w:r>
                                </w:p>
                              </w:txbxContent>
                            </wps:txbx>
                            <wps:bodyPr upright="1"/>
                          </wps:wsp>
                        </a:graphicData>
                      </a:graphic>
                    </wp:anchor>
                  </w:drawing>
                </mc:Choice>
                <mc:Fallback>
                  <w:pict>
                    <v:rect id="_x0000_s1026" o:spid="_x0000_s1026" o:spt="1" style="position:absolute;left:0pt;margin-left:398pt;margin-top:175.75pt;height:20.8pt;width:43.8pt;z-index:251674624;mso-width-relative:page;mso-height-relative:page;" filled="f" stroked="f" coordsize="21600,21600" o:gfxdata="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2KBE&#10;edwAAAALAQAADwAAAAAAAAABACAAAAAiAAAAZHJzL2Rvd25yZXYueG1sUEsBAhQAFAAAAAgAh07i&#10;QOhoofusAQAATAMAAA4AAAAAAAAAAQAgAAAAKwEAAGRycy9lMm9Eb2MueG1sUEsFBgAAAAAGAAYA&#10;WQEAAEkFAAAAAA==&#10;">
                      <v:fill on="f" focussize="0,0"/>
                      <v:stroke on="f" weight="1.25pt"/>
                      <v:imagedata o:title=""/>
                      <o:lock v:ext="edit" aspectratio="f"/>
                      <v:textbox>
                        <w:txbxContent>
                          <w:p w14:paraId="0CBC874E">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417m</w:t>
                            </w:r>
                          </w:p>
                        </w:txbxContent>
                      </v:textbox>
                    </v:rect>
                  </w:pict>
                </mc:Fallback>
              </mc:AlternateContent>
            </w:r>
            <w:r>
              <w:rPr>
                <w:sz w:val="28"/>
              </w:rPr>
              <mc:AlternateContent>
                <mc:Choice Requires="wps">
                  <w:drawing>
                    <wp:anchor distT="0" distB="0" distL="114300" distR="114300" simplePos="0" relativeHeight="251668480" behindDoc="0" locked="0" layoutInCell="1" allowOverlap="1">
                      <wp:simplePos x="0" y="0"/>
                      <wp:positionH relativeFrom="column">
                        <wp:posOffset>4344035</wp:posOffset>
                      </wp:positionH>
                      <wp:positionV relativeFrom="paragraph">
                        <wp:posOffset>2264410</wp:posOffset>
                      </wp:positionV>
                      <wp:extent cx="1311275" cy="304800"/>
                      <wp:effectExtent l="0" t="19685" r="3175" b="37465"/>
                      <wp:wrapNone/>
                      <wp:docPr id="16" name="直接连接符 16"/>
                      <wp:cNvGraphicFramePr/>
                      <a:graphic xmlns:a="http://schemas.openxmlformats.org/drawingml/2006/main">
                        <a:graphicData uri="http://schemas.microsoft.com/office/word/2010/wordprocessingShape">
                          <wps:wsp>
                            <wps:cNvCnPr/>
                            <wps:spPr>
                              <a:xfrm>
                                <a:off x="0" y="0"/>
                                <a:ext cx="1311275" cy="304800"/>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margin-left:342.05pt;margin-top:178.3pt;height:24pt;width:103.25pt;z-index:251668480;mso-width-relative:page;mso-height-relative:page;" filled="f" stroked="t" coordsize="21600,21600" o:gfxdata="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yXAPSdkAAAALAQAADwAAAAAAAAABACAAAAAiAAAAZHJzL2Rvd25y&#10;ZXYueG1sUEsBAhQAFAAAAAgAh07iQJAn8xv9AQAA8wMAAA4AAAAAAAAAAQAgAAAAKAEAAGRycy9l&#10;Mm9Eb2MueG1sUEsFBgAAAAAGAAYAWQEAAJcFAAAAAA==&#10;">
                      <v:fill on="f" focussize="0,0"/>
                      <v:stroke weight="0.5pt" color="#FFFF00" joinstyle="round" startarrow="block" endarrow="block"/>
                      <v:imagedata o:title=""/>
                      <o:lock v:ext="edit" aspectratio="f"/>
                    </v:lin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3754755</wp:posOffset>
                      </wp:positionH>
                      <wp:positionV relativeFrom="paragraph">
                        <wp:posOffset>2117090</wp:posOffset>
                      </wp:positionV>
                      <wp:extent cx="455930" cy="20320"/>
                      <wp:effectExtent l="0" t="34925" r="1270" b="40005"/>
                      <wp:wrapNone/>
                      <wp:docPr id="13" name="直接连接符 13"/>
                      <wp:cNvGraphicFramePr/>
                      <a:graphic xmlns:a="http://schemas.openxmlformats.org/drawingml/2006/main">
                        <a:graphicData uri="http://schemas.microsoft.com/office/word/2010/wordprocessingShape">
                          <wps:wsp>
                            <wps:cNvCnPr/>
                            <wps:spPr>
                              <a:xfrm>
                                <a:off x="0" y="0"/>
                                <a:ext cx="455930" cy="20320"/>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margin-left:295.65pt;margin-top:166.7pt;height:1.6pt;width:35.9pt;z-index:251663360;mso-width-relative:page;mso-height-relative:page;" filled="f" stroked="t" coordsize="21600,21600" o:gfxdata="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0TqFD9gAAAALAQAADwAAAAAAAAABACAAAAAiAAAAZHJzL2Rvd25yZXYu&#10;eG1sUEsBAhQAFAAAAAgAh07iQJx5Jh77AQAA8QMAAA4AAAAAAAAAAQAgAAAAJwEAAGRycy9lMm9E&#10;b2MueG1sUEsFBgAAAAAGAAYAWQEAAJQFAAAAAA==&#10;">
                      <v:fill on="f" focussize="0,0"/>
                      <v:stroke weight="0.5pt" color="#FFFF00" joinstyle="round" startarrow="block" endarrow="block"/>
                      <v:imagedata o:title=""/>
                      <o:lock v:ext="edit" aspectratio="f"/>
                    </v:lin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3759835</wp:posOffset>
                      </wp:positionH>
                      <wp:positionV relativeFrom="paragraph">
                        <wp:posOffset>1851660</wp:posOffset>
                      </wp:positionV>
                      <wp:extent cx="556260" cy="264160"/>
                      <wp:effectExtent l="0" t="0" r="0" b="0"/>
                      <wp:wrapNone/>
                      <wp:docPr id="26" name="矩形 26"/>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3199250E">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119m</w:t>
                                  </w:r>
                                </w:p>
                              </w:txbxContent>
                            </wps:txbx>
                            <wps:bodyPr upright="1"/>
                          </wps:wsp>
                        </a:graphicData>
                      </a:graphic>
                    </wp:anchor>
                  </w:drawing>
                </mc:Choice>
                <mc:Fallback>
                  <w:pict>
                    <v:rect id="_x0000_s1026" o:spid="_x0000_s1026" o:spt="1" style="position:absolute;left:0pt;margin-left:296.05pt;margin-top:145.8pt;height:20.8pt;width:43.8pt;z-index:251664384;mso-width-relative:page;mso-height-relative:page;" filled="f" stroked="f" coordsize="21600,21600" o:gfxdata="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h1P&#10;Z9wAAAALAQAADwAAAAAAAAABACAAAAAiAAAAZHJzL2Rvd25yZXYueG1sUEsBAhQAFAAAAAgAh07i&#10;QHalGdqsAQAATAMAAA4AAAAAAAAAAQAgAAAAKwEAAGRycy9lMm9Eb2MueG1sUEsFBgAAAAAGAAYA&#10;WQEAAEkFAAAAAA==&#10;">
                      <v:fill on="f" focussize="0,0"/>
                      <v:stroke on="f" weight="1.25pt"/>
                      <v:imagedata o:title=""/>
                      <o:lock v:ext="edit" aspectratio="f"/>
                      <v:textbox>
                        <w:txbxContent>
                          <w:p w14:paraId="3199250E">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119m</w:t>
                            </w:r>
                          </w:p>
                        </w:txbxContent>
                      </v:textbox>
                    </v:rect>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3549015</wp:posOffset>
                      </wp:positionH>
                      <wp:positionV relativeFrom="paragraph">
                        <wp:posOffset>1246505</wp:posOffset>
                      </wp:positionV>
                      <wp:extent cx="556260" cy="264160"/>
                      <wp:effectExtent l="0" t="0" r="0" b="0"/>
                      <wp:wrapNone/>
                      <wp:docPr id="14" name="矩形 14"/>
                      <wp:cNvGraphicFramePr/>
                      <a:graphic xmlns:a="http://schemas.openxmlformats.org/drawingml/2006/main">
                        <a:graphicData uri="http://schemas.microsoft.com/office/word/2010/wordprocessingShape">
                          <wps:wsp>
                            <wps:cNvSpPr/>
                            <wps:spPr>
                              <a:xfrm>
                                <a:off x="0" y="0"/>
                                <a:ext cx="556260" cy="264160"/>
                              </a:xfrm>
                              <a:prstGeom prst="rect">
                                <a:avLst/>
                              </a:prstGeom>
                              <a:noFill/>
                              <a:ln w="15875">
                                <a:noFill/>
                              </a:ln>
                            </wps:spPr>
                            <wps:txbx>
                              <w:txbxContent>
                                <w:p w14:paraId="59ADDA91">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409m</w:t>
                                  </w:r>
                                </w:p>
                              </w:txbxContent>
                            </wps:txbx>
                            <wps:bodyPr upright="1"/>
                          </wps:wsp>
                        </a:graphicData>
                      </a:graphic>
                    </wp:anchor>
                  </w:drawing>
                </mc:Choice>
                <mc:Fallback>
                  <w:pict>
                    <v:rect id="_x0000_s1026" o:spid="_x0000_s1026" o:spt="1" style="position:absolute;left:0pt;margin-left:279.45pt;margin-top:98.15pt;height:20.8pt;width:43.8pt;z-index:251666432;mso-width-relative:page;mso-height-relative:page;" filled="f" stroked="f" coordsize="21600,21600" o:gfxdata="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VVAX6&#10;3AAAAAsBAAAPAAAAAAAAAAEAIAAAACIAAABkcnMvZG93bnJldi54bWxQSwECFAAUAAAACACHTuJA&#10;fcJTKasBAABMAwAADgAAAAAAAAABACAAAAArAQAAZHJzL2Uyb0RvYy54bWxQSwUGAAAAAAYABgBZ&#10;AQAASAUAAAAA&#10;">
                      <v:fill on="f" focussize="0,0"/>
                      <v:stroke on="f" weight="1.25pt"/>
                      <v:imagedata o:title=""/>
                      <o:lock v:ext="edit" aspectratio="f"/>
                      <v:textbox>
                        <w:txbxContent>
                          <w:p w14:paraId="59ADDA91">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rPr>
                                <w:rFonts w:hint="default" w:eastAsia="宋体"/>
                                <w:color w:val="FFFF00"/>
                                <w:sz w:val="21"/>
                                <w:szCs w:val="21"/>
                                <w:lang w:val="en-US" w:eastAsia="zh-CN"/>
                              </w:rPr>
                            </w:pPr>
                            <w:r>
                              <w:rPr>
                                <w:rFonts w:hint="eastAsia"/>
                                <w:color w:val="FFFF00"/>
                                <w:sz w:val="21"/>
                                <w:szCs w:val="21"/>
                                <w:lang w:val="en-US" w:eastAsia="zh-CN"/>
                              </w:rPr>
                              <w:t>409m</w:t>
                            </w:r>
                          </w:p>
                        </w:txbxContent>
                      </v:textbox>
                    </v:rect>
                  </w:pict>
                </mc:Fallback>
              </mc:AlternateContent>
            </w:r>
            <w:r>
              <w:drawing>
                <wp:inline distT="0" distB="0" distL="114300" distR="114300">
                  <wp:extent cx="7444105" cy="5143500"/>
                  <wp:effectExtent l="0" t="0" r="0" b="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28"/>
                          <a:srcRect t="4303" b="564"/>
                          <a:stretch>
                            <a:fillRect/>
                          </a:stretch>
                        </pic:blipFill>
                        <pic:spPr>
                          <a:xfrm>
                            <a:off x="0" y="0"/>
                            <a:ext cx="7444105" cy="5143500"/>
                          </a:xfrm>
                          <a:prstGeom prst="rect">
                            <a:avLst/>
                          </a:prstGeom>
                          <a:noFill/>
                          <a:ln>
                            <a:noFill/>
                          </a:ln>
                        </pic:spPr>
                      </pic:pic>
                    </a:graphicData>
                  </a:graphic>
                </wp:inline>
              </w:drawing>
            </w:r>
            <w:r>
              <w:rPr>
                <w:sz w:val="28"/>
              </w:rPr>
              <mc:AlternateContent>
                <mc:Choice Requires="wps">
                  <w:drawing>
                    <wp:anchor distT="0" distB="0" distL="114300" distR="114300" simplePos="0" relativeHeight="251665408" behindDoc="0" locked="0" layoutInCell="1" allowOverlap="1">
                      <wp:simplePos x="0" y="0"/>
                      <wp:positionH relativeFrom="column">
                        <wp:posOffset>2979420</wp:posOffset>
                      </wp:positionH>
                      <wp:positionV relativeFrom="paragraph">
                        <wp:posOffset>1204595</wp:posOffset>
                      </wp:positionV>
                      <wp:extent cx="1219835" cy="581025"/>
                      <wp:effectExtent l="0" t="1905" r="18415" b="7620"/>
                      <wp:wrapNone/>
                      <wp:docPr id="12" name="直接连接符 12"/>
                      <wp:cNvGraphicFramePr/>
                      <a:graphic xmlns:a="http://schemas.openxmlformats.org/drawingml/2006/main">
                        <a:graphicData uri="http://schemas.microsoft.com/office/word/2010/wordprocessingShape">
                          <wps:wsp>
                            <wps:cNvCnPr/>
                            <wps:spPr>
                              <a:xfrm>
                                <a:off x="0" y="0"/>
                                <a:ext cx="1219835" cy="581025"/>
                              </a:xfrm>
                              <a:prstGeom prst="line">
                                <a:avLst/>
                              </a:prstGeom>
                              <a:ln w="6350" cap="flat" cmpd="sng">
                                <a:solidFill>
                                  <a:srgbClr val="FFFF00"/>
                                </a:solidFill>
                                <a:prstDash val="solid"/>
                                <a:headEnd type="triangle" w="med" len="med"/>
                                <a:tailEnd type="triangle" w="med" len="med"/>
                              </a:ln>
                            </wps:spPr>
                            <wps:bodyPr upright="1"/>
                          </wps:wsp>
                        </a:graphicData>
                      </a:graphic>
                    </wp:anchor>
                  </w:drawing>
                </mc:Choice>
                <mc:Fallback>
                  <w:pict>
                    <v:line id="_x0000_s1026" o:spid="_x0000_s1026" o:spt="20" style="position:absolute;left:0pt;margin-left:234.6pt;margin-top:94.85pt;height:45.75pt;width:96.05pt;z-index:251665408;mso-width-relative:page;mso-height-relative:page;" filled="f" stroked="t" coordsize="21600,21600" o:gfxdata="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1GKBYtkAAAALAQAADwAAAAAAAAABACAAAAAiAAAAZHJzL2Rv&#10;d25yZXYueG1sUEsBAhQAFAAAAAgAh07iQMOXM4UAAgAA8wMAAA4AAAAAAAAAAQAgAAAAKAEAAGRy&#10;cy9lMm9Eb2MueG1sUEsFBgAAAAAGAAYAWQEAAJoFAAAAAA==&#10;">
                      <v:fill on="f" focussize="0,0"/>
                      <v:stroke weight="0.5pt" color="#FFFF00" joinstyle="round" startarrow="block" endarrow="block"/>
                      <v:imagedata o:title=""/>
                      <o:lock v:ext="edit" aspectratio="f"/>
                    </v:line>
                  </w:pict>
                </mc:Fallback>
              </mc:AlternateContent>
            </w:r>
            <w:r>
              <w:rPr>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8164830</wp:posOffset>
                  </wp:positionH>
                  <wp:positionV relativeFrom="paragraph">
                    <wp:posOffset>27940</wp:posOffset>
                  </wp:positionV>
                  <wp:extent cx="615315" cy="840105"/>
                  <wp:effectExtent l="0" t="0" r="13335" b="17145"/>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6"/>
                          <a:stretch>
                            <a:fillRect/>
                          </a:stretch>
                        </pic:blipFill>
                        <pic:spPr>
                          <a:xfrm>
                            <a:off x="0" y="0"/>
                            <a:ext cx="615315" cy="840105"/>
                          </a:xfrm>
                          <a:prstGeom prst="rect">
                            <a:avLst/>
                          </a:prstGeom>
                          <a:noFill/>
                          <a:ln>
                            <a:noFill/>
                          </a:ln>
                        </pic:spPr>
                      </pic:pic>
                    </a:graphicData>
                  </a:graphic>
                </wp:anchor>
              </w:drawing>
            </w:r>
          </w:p>
        </w:tc>
      </w:tr>
      <w:tr w14:paraId="6F1E3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3992" w:type="dxa"/>
            <w:vAlign w:val="center"/>
          </w:tcPr>
          <w:p w14:paraId="21B0FFF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rFonts w:hint="default" w:ascii="Times New Roman" w:hAnsi="Times New Roman" w:eastAsia="黑体" w:cs="Times New Roman"/>
                <w:color w:val="000000" w:themeColor="text1"/>
                <w:sz w:val="24"/>
                <w:szCs w:val="24"/>
                <w:vertAlign w:val="baseline"/>
                <w:lang w:val="en-US" w:eastAsia="zh-CN"/>
                <w14:textFill>
                  <w14:solidFill>
                    <w14:schemeClr w14:val="tx1"/>
                  </w14:solidFill>
                </w14:textFill>
              </w:rPr>
              <w:t>附图2  项目周围环境概况示意图</w:t>
            </w:r>
          </w:p>
        </w:tc>
      </w:tr>
    </w:tbl>
    <w:p w14:paraId="1ED8CF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0000" w:themeColor="text1"/>
          <w:sz w:val="32"/>
          <w:szCs w:val="32"/>
          <w:lang w:val="en-US" w:eastAsia="zh-CN"/>
          <w14:textFill>
            <w14:solidFill>
              <w14:schemeClr w14:val="tx1"/>
            </w14:solidFill>
          </w14:textFill>
        </w:rPr>
        <w:sectPr>
          <w:pgSz w:w="16838" w:h="11906" w:orient="landscape"/>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60"/>
      </w:tblGrid>
      <w:tr w14:paraId="6B90EE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5000" w:type="pct"/>
            <w:vAlign w:val="center"/>
          </w:tcPr>
          <w:p w14:paraId="1A762B8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sz w:val="24"/>
              </w:rPr>
              <mc:AlternateContent>
                <mc:Choice Requires="wps">
                  <w:drawing>
                    <wp:anchor distT="0" distB="0" distL="114300" distR="114300" simplePos="0" relativeHeight="251724800" behindDoc="0" locked="0" layoutInCell="1" allowOverlap="1">
                      <wp:simplePos x="0" y="0"/>
                      <wp:positionH relativeFrom="column">
                        <wp:posOffset>4820285</wp:posOffset>
                      </wp:positionH>
                      <wp:positionV relativeFrom="paragraph">
                        <wp:posOffset>7376795</wp:posOffset>
                      </wp:positionV>
                      <wp:extent cx="326390" cy="143510"/>
                      <wp:effectExtent l="9525" t="9525" r="26035" b="18415"/>
                      <wp:wrapNone/>
                      <wp:docPr id="125" name="矩形 125"/>
                      <wp:cNvGraphicFramePr/>
                      <a:graphic xmlns:a="http://schemas.openxmlformats.org/drawingml/2006/main">
                        <a:graphicData uri="http://schemas.microsoft.com/office/word/2010/wordprocessingShape">
                          <wps:wsp>
                            <wps:cNvSpPr/>
                            <wps:spPr>
                              <a:xfrm>
                                <a:off x="0" y="0"/>
                                <a:ext cx="326390" cy="143510"/>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9.55pt;margin-top:580.85pt;height:11.3pt;width:25.7pt;z-index:251724800;v-text-anchor:middle;mso-width-relative:page;mso-height-relative:page;" filled="f" stroked="t" coordsize="21600,21600" o:gfxdata="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P3SmNoAAAANAQAADwAAAAAAAAABACAAAAAiAAAAZHJzL2Rvd25yZXYu&#10;eG1sUEsBAhQAFAAAAAgAh07iQFsuymlrAgAAzgQAAA4AAAAAAAAAAQAgAAAAKQEAAGRycy9lMm9E&#10;b2MueG1sUEsFBgAAAAAGAAYAWQEAAAYGAAAAAA==&#10;">
                      <v:fill on="f" focussize="0,0"/>
                      <v:stroke weight="1.5pt" color="#00B050 [2404]" miterlimit="8" joinstyle="miter"/>
                      <v:imagedata o:title=""/>
                      <o:lock v:ext="edit" aspectratio="f"/>
                    </v:rect>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4378325</wp:posOffset>
                      </wp:positionH>
                      <wp:positionV relativeFrom="paragraph">
                        <wp:posOffset>7261860</wp:posOffset>
                      </wp:positionV>
                      <wp:extent cx="1203325" cy="589280"/>
                      <wp:effectExtent l="6350" t="6350" r="9525" b="13970"/>
                      <wp:wrapNone/>
                      <wp:docPr id="124" name="矩形 124"/>
                      <wp:cNvGraphicFramePr/>
                      <a:graphic xmlns:a="http://schemas.openxmlformats.org/drawingml/2006/main">
                        <a:graphicData uri="http://schemas.microsoft.com/office/word/2010/wordprocessingShape">
                          <wps:wsp>
                            <wps:cNvSpPr/>
                            <wps:spPr>
                              <a:xfrm>
                                <a:off x="5601335" y="8139430"/>
                                <a:ext cx="1203325" cy="58928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CAD880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rPr>
                                  </w:pPr>
                                </w:p>
                                <w:p w14:paraId="0D5B25E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环保设备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75pt;margin-top:571.8pt;height:46.4pt;width:94.75pt;z-index:251723776;v-text-anchor:middle;mso-width-relative:page;mso-height-relative:page;" fillcolor="#FFFFFF [3212]" filled="t" stroked="t" coordsize="21600,21600" o:gfxdata="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bEhRzdoAAAANAQAADwAAAAAA&#10;AAABACAAAAAiAAAAZHJzL2Rvd25yZXYueG1sUEsBAhQAFAAAAAgAh07iQCu34bWDAgAADwUAAA4A&#10;AAAAAAAAAQAgAAAAKQEAAGRycy9lMm9Eb2MueG1sUEsFBgAAAAAGAAYAWQEAAB4GAAAAAA==&#10;">
                      <v:fill on="t" focussize="0,0"/>
                      <v:stroke weight="1pt" color="#000000 [3213]" miterlimit="8" joinstyle="miter"/>
                      <v:imagedata o:title=""/>
                      <o:lock v:ext="edit" aspectratio="f"/>
                      <v:textbox>
                        <w:txbxContent>
                          <w:p w14:paraId="6CAD880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sz w:val="21"/>
                                <w:szCs w:val="21"/>
                              </w:rPr>
                            </w:pPr>
                          </w:p>
                          <w:p w14:paraId="0D5B25E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环保设备</w:t>
                            </w:r>
                          </w:p>
                        </w:txbxContent>
                      </v:textbox>
                    </v:rect>
                  </w:pict>
                </mc:Fallback>
              </mc:AlternateContent>
            </w:r>
            <w:r>
              <w:rPr>
                <w:color w:val="000000" w:themeColor="text1"/>
                <w14:textFill>
                  <w14:solidFill>
                    <w14:schemeClr w14:val="tx1"/>
                  </w14:solidFill>
                </w14:textFill>
              </w:rPr>
              <w:drawing>
                <wp:anchor distT="0" distB="0" distL="114300" distR="114300" simplePos="0" relativeHeight="251722752" behindDoc="0" locked="0" layoutInCell="1" allowOverlap="1">
                  <wp:simplePos x="0" y="0"/>
                  <wp:positionH relativeFrom="column">
                    <wp:posOffset>635</wp:posOffset>
                  </wp:positionH>
                  <wp:positionV relativeFrom="paragraph">
                    <wp:posOffset>81915</wp:posOffset>
                  </wp:positionV>
                  <wp:extent cx="615315" cy="840105"/>
                  <wp:effectExtent l="0" t="0" r="13335" b="17145"/>
                  <wp:wrapNone/>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pic:cNvPicPr>
                            <a:picLocks noChangeAspect="1"/>
                          </pic:cNvPicPr>
                        </pic:nvPicPr>
                        <pic:blipFill>
                          <a:blip r:embed="rId26"/>
                          <a:stretch>
                            <a:fillRect/>
                          </a:stretch>
                        </pic:blipFill>
                        <pic:spPr>
                          <a:xfrm>
                            <a:off x="0" y="0"/>
                            <a:ext cx="615315" cy="840105"/>
                          </a:xfrm>
                          <a:prstGeom prst="rect">
                            <a:avLst/>
                          </a:prstGeom>
                          <a:noFill/>
                          <a:ln>
                            <a:noFill/>
                          </a:ln>
                        </pic:spPr>
                      </pic:pic>
                    </a:graphicData>
                  </a:graphic>
                </wp:anchor>
              </w:drawing>
            </w:r>
            <w:r>
              <w:rPr>
                <w:sz w:val="24"/>
              </w:rPr>
              <mc:AlternateContent>
                <mc:Choice Requires="wps">
                  <w:drawing>
                    <wp:anchor distT="0" distB="0" distL="114300" distR="114300" simplePos="0" relativeHeight="251721728" behindDoc="0" locked="0" layoutInCell="1" allowOverlap="1">
                      <wp:simplePos x="0" y="0"/>
                      <wp:positionH relativeFrom="column">
                        <wp:posOffset>3883660</wp:posOffset>
                      </wp:positionH>
                      <wp:positionV relativeFrom="paragraph">
                        <wp:posOffset>3679825</wp:posOffset>
                      </wp:positionV>
                      <wp:extent cx="688340" cy="25654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6883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1E93A">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8pt;margin-top:289.75pt;height:20.2pt;width:54.2pt;z-index:251721728;mso-width-relative:page;mso-height-relative:page;" filled="f" stroked="f" coordsize="21600,21600" o:gfxdata="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x0m7HbAAAACwEAAA8AAAAAAAAAAQAgAAAAIgAAAGRy&#10;cy9kb3ducmV2LnhtbFBLAQIUABQAAAAIAIdO4kBjZvOoOwIAAGkEAAAOAAAAAAAAAAEAIAAAACoB&#10;AABkcnMvZTJvRG9jLnhtbFBLBQYAAAAABgAGAFkBAADXBQAAAAA=&#10;">
                      <v:fill on="f" focussize="0,0"/>
                      <v:stroke on="f" weight="0.5pt"/>
                      <v:imagedata o:title=""/>
                      <o:lock v:ext="edit" aspectratio="f"/>
                      <v:textbox>
                        <w:txbxContent>
                          <w:p w14:paraId="20B1E93A">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DA004</w:t>
                            </w:r>
                          </w:p>
                        </w:txbxContent>
                      </v:textbox>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4679950</wp:posOffset>
                      </wp:positionH>
                      <wp:positionV relativeFrom="paragraph">
                        <wp:posOffset>4353560</wp:posOffset>
                      </wp:positionV>
                      <wp:extent cx="688340" cy="25654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6883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A7ACBE">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5pt;margin-top:342.8pt;height:20.2pt;width:54.2pt;z-index:251720704;mso-width-relative:page;mso-height-relative:page;" filled="f" stroked="f" coordsize="21600,21600" o:gfxdata="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LZhK/cAAAACwEAAA8AAAAAAAAAAQAgAAAAIgAAAGRy&#10;cy9kb3ducmV2LnhtbFBLAQIUABQAAAAIAIdO4kDuaeueOgIAAGkEAAAOAAAAAAAAAAEAIAAAACsB&#10;AABkcnMvZTJvRG9jLnhtbFBLBQYAAAAABgAGAFkBAADXBQAAAAA=&#10;">
                      <v:fill on="f" focussize="0,0"/>
                      <v:stroke on="f" weight="0.5pt"/>
                      <v:imagedata o:title=""/>
                      <o:lock v:ext="edit" aspectratio="f"/>
                      <v:textbox>
                        <w:txbxContent>
                          <w:p w14:paraId="40A7ACBE">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DA003</w:t>
                            </w:r>
                          </w:p>
                        </w:txbxContent>
                      </v:textbox>
                    </v:shape>
                  </w:pict>
                </mc:Fallback>
              </mc:AlternateContent>
            </w:r>
            <w:r>
              <w:rPr>
                <w:sz w:val="24"/>
              </w:rPr>
              <mc:AlternateContent>
                <mc:Choice Requires="wps">
                  <w:drawing>
                    <wp:anchor distT="0" distB="0" distL="114300" distR="114300" simplePos="0" relativeHeight="251719680" behindDoc="0" locked="0" layoutInCell="1" allowOverlap="1">
                      <wp:simplePos x="0" y="0"/>
                      <wp:positionH relativeFrom="column">
                        <wp:posOffset>5039995</wp:posOffset>
                      </wp:positionH>
                      <wp:positionV relativeFrom="paragraph">
                        <wp:posOffset>2774950</wp:posOffset>
                      </wp:positionV>
                      <wp:extent cx="688340" cy="25654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6883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04FC07">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85pt;margin-top:218.5pt;height:20.2pt;width:54.2pt;z-index:251719680;mso-width-relative:page;mso-height-relative:page;" filled="f" stroked="f" coordsize="21600,21600" o:gfxdata="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oHa8x3AAAAAsBAAAPAAAAAAAAAAEAIAAAACIAAABk&#10;cnMvZG93bnJldi54bWxQSwECFAAUAAAACACHTuJAZD0SdzsCAABpBAAADgAAAAAAAAABACAAAAAr&#10;AQAAZHJzL2Uyb0RvYy54bWxQSwUGAAAAAAYABgBZAQAA2AUAAAAA&#10;">
                      <v:fill on="f" focussize="0,0"/>
                      <v:stroke on="f" weight="0.5pt"/>
                      <v:imagedata o:title=""/>
                      <o:lock v:ext="edit" aspectratio="f"/>
                      <v:textbox>
                        <w:txbxContent>
                          <w:p w14:paraId="6C04FC07">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DA002</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4836795</wp:posOffset>
                      </wp:positionH>
                      <wp:positionV relativeFrom="paragraph">
                        <wp:posOffset>1229995</wp:posOffset>
                      </wp:positionV>
                      <wp:extent cx="688340" cy="25654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6883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FC108E">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85pt;margin-top:96.85pt;height:20.2pt;width:54.2pt;z-index:251718656;mso-width-relative:page;mso-height-relative:page;" filled="f" stroked="f" coordsize="21600,21600" o:gfxdata="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iF2X3cAAAACwEAAA8AAAAAAAAAAQAgAAAAIgAAAGRy&#10;cy9kb3ducmV2LnhtbFBLAQIUABQAAAAIAIdO4kDpMgpBOgIAAGkEAAAOAAAAAAAAAAEAIAAAACsB&#10;AABkcnMvZTJvRG9jLnhtbFBLBQYAAAAABgAGAFkBAADXBQAAAAA=&#10;">
                      <v:fill on="f" focussize="0,0"/>
                      <v:stroke on="f" weight="0.5pt"/>
                      <v:imagedata o:title=""/>
                      <o:lock v:ext="edit" aspectratio="f"/>
                      <v:textbox>
                        <w:txbxContent>
                          <w:p w14:paraId="02FC108E">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DA001</w:t>
                            </w:r>
                          </w:p>
                        </w:txbxContent>
                      </v:textbox>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3989070</wp:posOffset>
                      </wp:positionH>
                      <wp:positionV relativeFrom="paragraph">
                        <wp:posOffset>3785235</wp:posOffset>
                      </wp:positionV>
                      <wp:extent cx="115570" cy="128905"/>
                      <wp:effectExtent l="6350" t="6350" r="11430" b="17145"/>
                      <wp:wrapNone/>
                      <wp:docPr id="115" name="椭圆 115"/>
                      <wp:cNvGraphicFramePr/>
                      <a:graphic xmlns:a="http://schemas.openxmlformats.org/drawingml/2006/main">
                        <a:graphicData uri="http://schemas.microsoft.com/office/word/2010/wordprocessingShape">
                          <wps:wsp>
                            <wps:cNvSpPr/>
                            <wps:spPr>
                              <a:xfrm>
                                <a:off x="0" y="0"/>
                                <a:ext cx="115570" cy="128905"/>
                              </a:xfrm>
                              <a:prstGeom prst="ellipse">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4.1pt;margin-top:298.05pt;height:10.15pt;width:9.1pt;z-index:251717632;v-text-anchor:middle;mso-width-relative:page;mso-height-relative:page;" fillcolor="#FFFFFF [3212]" filled="t" stroked="t" coordsize="21600,21600" o:gfxdata="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uh6cv2gAAAAsBAAAPAAAAAAAAAAEAIAAAACIAAABkcnMvZG93&#10;bnJldi54bWxQSwECFAAUAAAACACHTuJAlKzDknACAAD6BAAADgAAAAAAAAABACAAAAApAQAAZHJz&#10;L2Uyb0RvYy54bWxQSwUGAAAAAAYABgBZAQAACwYAAAAA&#10;">
                      <v:fill on="t"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4764405</wp:posOffset>
                      </wp:positionH>
                      <wp:positionV relativeFrom="paragraph">
                        <wp:posOffset>4479290</wp:posOffset>
                      </wp:positionV>
                      <wp:extent cx="115570" cy="128905"/>
                      <wp:effectExtent l="6350" t="6350" r="11430" b="17145"/>
                      <wp:wrapNone/>
                      <wp:docPr id="114" name="椭圆 114"/>
                      <wp:cNvGraphicFramePr/>
                      <a:graphic xmlns:a="http://schemas.openxmlformats.org/drawingml/2006/main">
                        <a:graphicData uri="http://schemas.microsoft.com/office/word/2010/wordprocessingShape">
                          <wps:wsp>
                            <wps:cNvSpPr/>
                            <wps:spPr>
                              <a:xfrm>
                                <a:off x="0" y="0"/>
                                <a:ext cx="115570" cy="128905"/>
                              </a:xfrm>
                              <a:prstGeom prst="ellipse">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5.15pt;margin-top:352.7pt;height:10.15pt;width:9.1pt;z-index:251716608;v-text-anchor:middle;mso-width-relative:page;mso-height-relative:page;" fillcolor="#FFFFFF [3212]" filled="t" stroked="t" coordsize="21600,21600" o:gfxdata="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dNg/L2wAAAAsBAAAPAAAAAAAAAAEAIAAAACIAAABkcnMvZG93&#10;bnJldi54bWxQSwECFAAUAAAACACHTuJASyQbP28CAAD6BAAADgAAAAAAAAABACAAAAAqAQAAZHJz&#10;L2Uyb0RvYy54bWxQSwUGAAAAAAYABgBZAQAACwYAAAAA&#10;">
                      <v:fill on="t"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5281295</wp:posOffset>
                      </wp:positionH>
                      <wp:positionV relativeFrom="paragraph">
                        <wp:posOffset>2976245</wp:posOffset>
                      </wp:positionV>
                      <wp:extent cx="115570" cy="128905"/>
                      <wp:effectExtent l="6350" t="6350" r="11430" b="17145"/>
                      <wp:wrapNone/>
                      <wp:docPr id="113" name="椭圆 113"/>
                      <wp:cNvGraphicFramePr/>
                      <a:graphic xmlns:a="http://schemas.openxmlformats.org/drawingml/2006/main">
                        <a:graphicData uri="http://schemas.microsoft.com/office/word/2010/wordprocessingShape">
                          <wps:wsp>
                            <wps:cNvSpPr/>
                            <wps:spPr>
                              <a:xfrm>
                                <a:off x="0" y="0"/>
                                <a:ext cx="115570" cy="128905"/>
                              </a:xfrm>
                              <a:prstGeom prst="ellipse">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5.85pt;margin-top:234.35pt;height:10.15pt;width:9.1pt;z-index:251715584;v-text-anchor:middle;mso-width-relative:page;mso-height-relative:page;" fillcolor="#FFFFFF [3212]" filled="t" stroked="t" coordsize="21600,21600" o:gfxdata="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BW789sAAAALAQAADwAAAAAAAAABACAAAAAiAAAAZHJzL2Rv&#10;d25yZXYueG1sUEsBAhQAFAAAAAgAh07iQNSS8shwAgAA+gQAAA4AAAAAAAAAAQAgAAAAKgEAAGRy&#10;cy9lMm9Eb2MueG1sUEsFBgAAAAAGAAYAWQEAAAwGAAAAAA==&#10;">
                      <v:fill on="t" focussize="0,0"/>
                      <v:stroke weight="1pt" color="#000000 [3213]" miterlimit="8" joinstyle="miter"/>
                      <v:imagedata o:title=""/>
                      <o:lock v:ext="edit" aspectratio="f"/>
                    </v:shape>
                  </w:pict>
                </mc:Fallback>
              </mc:AlternateContent>
            </w:r>
            <w:r>
              <w:drawing>
                <wp:inline distT="0" distB="0" distL="114300" distR="114300">
                  <wp:extent cx="5606415" cy="7813040"/>
                  <wp:effectExtent l="0" t="0" r="13335" b="1651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29"/>
                          <a:srcRect l="1920" r="2121"/>
                          <a:stretch>
                            <a:fillRect/>
                          </a:stretch>
                        </pic:blipFill>
                        <pic:spPr>
                          <a:xfrm>
                            <a:off x="0" y="0"/>
                            <a:ext cx="5606415" cy="7813040"/>
                          </a:xfrm>
                          <a:prstGeom prst="rect">
                            <a:avLst/>
                          </a:prstGeom>
                          <a:noFill/>
                          <a:ln>
                            <a:noFill/>
                          </a:ln>
                        </pic:spPr>
                      </pic:pic>
                    </a:graphicData>
                  </a:graphic>
                </wp:inline>
              </w:drawing>
            </w:r>
            <w:r>
              <w:rPr>
                <w:sz w:val="24"/>
              </w:rPr>
              <mc:AlternateContent>
                <mc:Choice Requires="wps">
                  <w:drawing>
                    <wp:anchor distT="0" distB="0" distL="114300" distR="114300" simplePos="0" relativeHeight="251714560" behindDoc="0" locked="0" layoutInCell="1" allowOverlap="1">
                      <wp:simplePos x="0" y="0"/>
                      <wp:positionH relativeFrom="column">
                        <wp:posOffset>5020310</wp:posOffset>
                      </wp:positionH>
                      <wp:positionV relativeFrom="paragraph">
                        <wp:posOffset>1415415</wp:posOffset>
                      </wp:positionV>
                      <wp:extent cx="115570" cy="128905"/>
                      <wp:effectExtent l="6350" t="6350" r="11430" b="17145"/>
                      <wp:wrapNone/>
                      <wp:docPr id="112" name="椭圆 112"/>
                      <wp:cNvGraphicFramePr/>
                      <a:graphic xmlns:a="http://schemas.openxmlformats.org/drawingml/2006/main">
                        <a:graphicData uri="http://schemas.microsoft.com/office/word/2010/wordprocessingShape">
                          <wps:wsp>
                            <wps:cNvSpPr/>
                            <wps:spPr>
                              <a:xfrm>
                                <a:off x="2686050" y="3141980"/>
                                <a:ext cx="115570" cy="128905"/>
                              </a:xfrm>
                              <a:prstGeom prst="ellipse">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5.3pt;margin-top:111.45pt;height:10.15pt;width:9.1pt;z-index:251714560;v-text-anchor:middle;mso-width-relative:page;mso-height-relative:page;" fillcolor="#FFFFFF [3212]" filled="t" stroked="t" coordsize="21600,21600" o:gfxdata="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1UOE3bAAAACwEAAA8AAAAAAAAAAQAg&#10;AAAAIgAAAGRycy9kb3ducmV2LnhtbFBLAQIUABQAAAAIAIdO4kBFSOucfQIAAAYFAAAOAAAAAAAA&#10;AAEAIAAAACoBAABkcnMvZTJvRG9jLnhtbFBLBQYAAAAABgAGAFkBAAAZBgAAAAA=&#10;">
                      <v:fill on="t" focussize="0,0"/>
                      <v:stroke weight="1pt" color="#000000 [3213]" miterlimit="8" joinstyle="miter"/>
                      <v:imagedata o:title=""/>
                      <o:lock v:ext="edit" aspectratio="f"/>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3864610</wp:posOffset>
                      </wp:positionH>
                      <wp:positionV relativeFrom="paragraph">
                        <wp:posOffset>3751580</wp:posOffset>
                      </wp:positionV>
                      <wp:extent cx="117475" cy="102235"/>
                      <wp:effectExtent l="9525" t="9525" r="25400" b="21590"/>
                      <wp:wrapNone/>
                      <wp:docPr id="111" name="矩形 111"/>
                      <wp:cNvGraphicFramePr/>
                      <a:graphic xmlns:a="http://schemas.openxmlformats.org/drawingml/2006/main">
                        <a:graphicData uri="http://schemas.microsoft.com/office/word/2010/wordprocessingShape">
                          <wps:wsp>
                            <wps:cNvSpPr/>
                            <wps:spPr>
                              <a:xfrm>
                                <a:off x="0" y="0"/>
                                <a:ext cx="117475" cy="102235"/>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3pt;margin-top:295.4pt;height:8.05pt;width:9.25pt;z-index:251713536;v-text-anchor:middle;mso-width-relative:page;mso-height-relative:page;" filled="f" stroked="t" coordsize="21600,21600" o:gfxdata="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tghhI2AAAAAsBAAAPAAAAAAAAAAEAIAAAACIAAABkcnMvZG93bnJldi54&#10;bWxQSwECFAAUAAAACACHTuJARs3Ls2wCAADOBAAADgAAAAAAAAABACAAAAAnAQAAZHJzL2Uyb0Rv&#10;Yy54bWxQSwUGAAAAAAYABgBZAQAABQYAAAAA&#10;">
                      <v:fill on="f" focussize="0,0"/>
                      <v:stroke weight="1.5pt" color="#00B050 [2404]" miterlimit="8" joinstyle="miter"/>
                      <v:imagedata o:title=""/>
                      <o:lock v:ext="edit" aspectratio="f"/>
                    </v:rect>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4435475</wp:posOffset>
                      </wp:positionH>
                      <wp:positionV relativeFrom="paragraph">
                        <wp:posOffset>4357370</wp:posOffset>
                      </wp:positionV>
                      <wp:extent cx="700405" cy="170180"/>
                      <wp:effectExtent l="9525" t="9525" r="13970" b="10795"/>
                      <wp:wrapNone/>
                      <wp:docPr id="110" name="矩形 110"/>
                      <wp:cNvGraphicFramePr/>
                      <a:graphic xmlns:a="http://schemas.openxmlformats.org/drawingml/2006/main">
                        <a:graphicData uri="http://schemas.microsoft.com/office/word/2010/wordprocessingShape">
                          <wps:wsp>
                            <wps:cNvSpPr/>
                            <wps:spPr>
                              <a:xfrm>
                                <a:off x="0" y="0"/>
                                <a:ext cx="700405" cy="170180"/>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9.25pt;margin-top:343.1pt;height:13.4pt;width:55.15pt;z-index:251712512;v-text-anchor:middle;mso-width-relative:page;mso-height-relative:page;" filled="f" stroked="t" coordsize="21600,21600" o:gfxdata="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Md6j7ZAAAACwEAAA8AAAAAAAAAAQAgAAAAIgAAAGRycy9kb3ducmV2Lnht&#10;bFBLAQIUABQAAAAIAIdO4kD308tcagIAAM4EAAAOAAAAAAAAAAEAIAAAACgBAABkcnMvZTJvRG9j&#10;LnhtbFBLBQYAAAAABgAGAFkBAAAEBgAAAAA=&#10;">
                      <v:fill on="f" focussize="0,0"/>
                      <v:stroke weight="1.5pt" color="#00B050 [2404]" miterlimit="8" joinstyle="miter"/>
                      <v:imagedata o:title=""/>
                      <o:lock v:ext="edit" aspectratio="f"/>
                    </v:rect>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5122545</wp:posOffset>
                      </wp:positionH>
                      <wp:positionV relativeFrom="paragraph">
                        <wp:posOffset>2764790</wp:posOffset>
                      </wp:positionV>
                      <wp:extent cx="184150" cy="516890"/>
                      <wp:effectExtent l="9525" t="9525" r="15875" b="26035"/>
                      <wp:wrapNone/>
                      <wp:docPr id="109" name="矩形 109"/>
                      <wp:cNvGraphicFramePr/>
                      <a:graphic xmlns:a="http://schemas.openxmlformats.org/drawingml/2006/main">
                        <a:graphicData uri="http://schemas.microsoft.com/office/word/2010/wordprocessingShape">
                          <wps:wsp>
                            <wps:cNvSpPr/>
                            <wps:spPr>
                              <a:xfrm>
                                <a:off x="0" y="0"/>
                                <a:ext cx="184150" cy="516890"/>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3.35pt;margin-top:217.7pt;height:40.7pt;width:14.5pt;z-index:251711488;v-text-anchor:middle;mso-width-relative:page;mso-height-relative:page;" filled="f" stroked="t" coordsize="21600,21600" o:gfxdata="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0c9cLaAAAACwEAAA8AAAAAAAAAAQAgAAAAIgAAAGRycy9kb3ducmV2Lnht&#10;bFBLAQIUABQAAAAIAIdO4kBVRZwmaQIAAM4EAAAOAAAAAAAAAAEAIAAAACkBAABkcnMvZTJvRG9j&#10;LnhtbFBLBQYAAAAABgAGAFkBAAAEBgAAAAA=&#10;">
                      <v:fill on="f" focussize="0,0"/>
                      <v:stroke weight="1.5pt" color="#00B050 [2404]" miterlimit="8" joinstyle="miter"/>
                      <v:imagedata o:title=""/>
                      <o:lock v:ext="edit" aspectratio="f"/>
                    </v:rect>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4625340</wp:posOffset>
                      </wp:positionH>
                      <wp:positionV relativeFrom="paragraph">
                        <wp:posOffset>2545080</wp:posOffset>
                      </wp:positionV>
                      <wp:extent cx="589280" cy="1055370"/>
                      <wp:effectExtent l="9525" t="9525" r="10795" b="20955"/>
                      <wp:wrapNone/>
                      <wp:docPr id="90" name="矩形 90"/>
                      <wp:cNvGraphicFramePr/>
                      <a:graphic xmlns:a="http://schemas.openxmlformats.org/drawingml/2006/main">
                        <a:graphicData uri="http://schemas.microsoft.com/office/word/2010/wordprocessingShape">
                          <wps:wsp>
                            <wps:cNvSpPr/>
                            <wps:spPr>
                              <a:xfrm>
                                <a:off x="0" y="0"/>
                                <a:ext cx="589280" cy="105537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18EC5D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造型/浇注</w:t>
                                  </w:r>
                                </w:p>
                                <w:p w14:paraId="721473D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2pt;margin-top:200.4pt;height:83.1pt;width:46.4pt;z-index:251693056;v-text-anchor:middle;mso-width-relative:page;mso-height-relative:page;" filled="f" stroked="t" coordsize="21600,21600" o:gfxdata="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8frOF2AAAAAsBAAAPAAAAAAAAAAEAIAAAACIAAABkcnMvZG93&#10;bnJldi54bWxQSwECFAAUAAAACACHTuJAkcYzaXICAADYBAAADgAAAAAAAAABACAAAAAnAQAAZHJz&#10;L2Uyb0RvYy54bWxQSwUGAAAAAAYABgBZAQAACwYAAAAA&#10;">
                      <v:fill on="f" focussize="0,0"/>
                      <v:stroke weight="1.5pt" color="#FF0000 [2404]" miterlimit="8" joinstyle="miter"/>
                      <v:imagedata o:title=""/>
                      <o:lock v:ext="edit" aspectratio="f"/>
                      <v:textbox>
                        <w:txbxContent>
                          <w:p w14:paraId="018EC5D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造型/浇注</w:t>
                            </w:r>
                          </w:p>
                          <w:p w14:paraId="721473D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区</w:t>
                            </w:r>
                          </w:p>
                        </w:txbxContent>
                      </v:textbox>
                    </v:rect>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4621530</wp:posOffset>
                      </wp:positionH>
                      <wp:positionV relativeFrom="paragraph">
                        <wp:posOffset>1674495</wp:posOffset>
                      </wp:positionV>
                      <wp:extent cx="589280" cy="807085"/>
                      <wp:effectExtent l="9525" t="9525" r="10795" b="21590"/>
                      <wp:wrapNone/>
                      <wp:docPr id="89" name="矩形 89"/>
                      <wp:cNvGraphicFramePr/>
                      <a:graphic xmlns:a="http://schemas.openxmlformats.org/drawingml/2006/main">
                        <a:graphicData uri="http://schemas.microsoft.com/office/word/2010/wordprocessingShape">
                          <wps:wsp>
                            <wps:cNvSpPr/>
                            <wps:spPr>
                              <a:xfrm>
                                <a:off x="5606415" y="2694940"/>
                                <a:ext cx="589280" cy="80708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D4F77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熔</w:t>
                                  </w:r>
                                </w:p>
                                <w:p w14:paraId="0F520B9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炼</w:t>
                                  </w:r>
                                </w:p>
                                <w:p w14:paraId="79CAE38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9pt;margin-top:131.85pt;height:63.55pt;width:46.4pt;z-index:251692032;v-text-anchor:middle;mso-width-relative:page;mso-height-relative:page;" filled="f" stroked="t" coordsize="21600,21600" o:gfxdata="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J+7e7ZAAAACwEAAA8AAAAAAAAAAQAgAAAA&#10;IgAAAGRycy9kb3ducmV2LnhtbFBLAQIUABQAAAAIAIdO4kBlWJsKfAIAAOMEAAAOAAAAAAAAAAEA&#10;IAAAACgBAABkcnMvZTJvRG9jLnhtbFBLBQYAAAAABgAGAFkBAAAWBgAAAAA=&#10;">
                      <v:fill on="f" focussize="0,0"/>
                      <v:stroke weight="1.5pt" color="#FF0000 [2404]" miterlimit="8" joinstyle="miter"/>
                      <v:imagedata o:title=""/>
                      <o:lock v:ext="edit" aspectratio="f"/>
                      <v:textbox>
                        <w:txbxContent>
                          <w:p w14:paraId="6DD4F77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熔</w:t>
                            </w:r>
                          </w:p>
                          <w:p w14:paraId="0F520B9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炼</w:t>
                            </w:r>
                          </w:p>
                          <w:p w14:paraId="79CAE38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区</w:t>
                            </w:r>
                          </w:p>
                        </w:txbxContent>
                      </v:textbox>
                    </v:rect>
                  </w:pict>
                </mc:Fallback>
              </mc:AlternateContent>
            </w:r>
            <w:r>
              <w:rPr>
                <w:sz w:val="24"/>
              </w:rPr>
              <mc:AlternateContent>
                <mc:Choice Requires="wps">
                  <w:drawing>
                    <wp:anchor distT="0" distB="0" distL="114300" distR="114300" simplePos="0" relativeHeight="251710464" behindDoc="0" locked="0" layoutInCell="1" allowOverlap="1">
                      <wp:simplePos x="0" y="0"/>
                      <wp:positionH relativeFrom="column">
                        <wp:posOffset>4888865</wp:posOffset>
                      </wp:positionH>
                      <wp:positionV relativeFrom="paragraph">
                        <wp:posOffset>1503680</wp:posOffset>
                      </wp:positionV>
                      <wp:extent cx="326390" cy="143510"/>
                      <wp:effectExtent l="9525" t="9525" r="26035" b="18415"/>
                      <wp:wrapNone/>
                      <wp:docPr id="108" name="矩形 108"/>
                      <wp:cNvGraphicFramePr/>
                      <a:graphic xmlns:a="http://schemas.openxmlformats.org/drawingml/2006/main">
                        <a:graphicData uri="http://schemas.microsoft.com/office/word/2010/wordprocessingShape">
                          <wps:wsp>
                            <wps:cNvSpPr/>
                            <wps:spPr>
                              <a:xfrm>
                                <a:off x="2336800" y="2931160"/>
                                <a:ext cx="326390" cy="143510"/>
                              </a:xfrm>
                              <a:prstGeom prst="rect">
                                <a:avLst/>
                              </a:prstGeom>
                              <a:noFill/>
                              <a:ln w="1905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4.95pt;margin-top:118.4pt;height:11.3pt;width:25.7pt;z-index:251710464;v-text-anchor:middle;mso-width-relative:page;mso-height-relative:page;" filled="f" stroked="t" coordsize="21600,21600" o:gfxdata="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eBSXPaAAAACwEAAA8AAAAAAAAAAQAgAAAAIgAAAGRy&#10;cy9kb3ducmV2LnhtbFBLAQIUABQAAAAIAIdO4kD5yJYJdQIAANoEAAAOAAAAAAAAAAEAIAAAACkB&#10;AABkcnMvZTJvRG9jLnhtbFBLBQYAAAAABgAGAFkBAAAQBgAAAAA=&#10;">
                      <v:fill on="f" focussize="0,0"/>
                      <v:stroke weight="1.5pt" color="#00B050 [2404]" miterlimit="8" joinstyle="miter"/>
                      <v:imagedata o:title=""/>
                      <o:lock v:ext="edit" aspectratio="f"/>
                    </v:rect>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3430270</wp:posOffset>
                      </wp:positionH>
                      <wp:positionV relativeFrom="paragraph">
                        <wp:posOffset>1633855</wp:posOffset>
                      </wp:positionV>
                      <wp:extent cx="461645" cy="12065"/>
                      <wp:effectExtent l="0" t="48260" r="14605" b="53975"/>
                      <wp:wrapNone/>
                      <wp:docPr id="105" name="直接箭头连接符 105"/>
                      <wp:cNvGraphicFramePr/>
                      <a:graphic xmlns:a="http://schemas.openxmlformats.org/drawingml/2006/main">
                        <a:graphicData uri="http://schemas.microsoft.com/office/word/2010/wordprocessingShape">
                          <wps:wsp>
                            <wps:cNvCnPr/>
                            <wps:spPr>
                              <a:xfrm flipV="1">
                                <a:off x="0" y="0"/>
                                <a:ext cx="461645" cy="1206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70.1pt;margin-top:128.65pt;height:0.95pt;width:36.35pt;z-index:251709440;mso-width-relative:page;mso-height-relative:page;" filled="f" stroked="t" coordsize="21600,21600" o:gfxdata="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G7/53YAAAACwEAAA8AAAAAAAAA&#10;AQAgAAAAIgAAAGRycy9kb3ducmV2LnhtbFBLAQIUABQAAAAIAIdO4kBuyAkFEQIAAPADAAAOAAAA&#10;AAAAAAEAIAAAACcBAABkcnMvZTJvRG9jLnhtbFBLBQYAAAAABgAGAFkBAACq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2738120</wp:posOffset>
                      </wp:positionH>
                      <wp:positionV relativeFrom="paragraph">
                        <wp:posOffset>1513840</wp:posOffset>
                      </wp:positionV>
                      <wp:extent cx="688340" cy="25654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688340"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E36EA8">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6pt;margin-top:119.2pt;height:20.2pt;width:54.2pt;z-index:251706368;mso-width-relative:page;mso-height-relative:page;" filled="f" stroked="f" coordsize="21600,21600" o:gfxdata="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uhr8zcAAAACwEAAA8AAAAAAAAAAQAgAAAAIgAAAGRy&#10;cy9kb3ducmV2LnhtbFBLAQIUABQAAAAIAIdO4kB71TXSOgIAAGkEAAAOAAAAAAAAAAEAIAAAACsB&#10;AABkcnMvZTJvRG9jLnhtbFBLBQYAAAAABgAGAFkBAADXBQAAAAA=&#10;">
                      <v:fill on="f" focussize="0,0"/>
                      <v:stroke on="f" weight="0.5pt"/>
                      <v:imagedata o:title=""/>
                      <o:lock v:ext="edit" aspectratio="f"/>
                      <v:textbox>
                        <w:txbxContent>
                          <w:p w14:paraId="41E36EA8">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危废暂存间</w:t>
                            </w:r>
                          </w:p>
                        </w:txbxContent>
                      </v:textbox>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4422775</wp:posOffset>
                      </wp:positionH>
                      <wp:positionV relativeFrom="paragraph">
                        <wp:posOffset>1273175</wp:posOffset>
                      </wp:positionV>
                      <wp:extent cx="593090" cy="4191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59309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C1E184">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一般固废暂存间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25pt;margin-top:100.25pt;height:33pt;width:46.7pt;z-index:251708416;mso-width-relative:page;mso-height-relative:page;" filled="f" stroked="f" coordsize="21600,21600" o:gfxdata="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D6l0Y2gAAAAsBAAAPAAAAAAAAAAEAIAAAACIAAABk&#10;cnMvZG93bnJldi54bWxQSwECFAAUAAAACACHTuJAxinHtT0CAABpBAAADgAAAAAAAAABACAAAAAp&#10;AQAAZHJzL2Uyb0RvYy54bWxQSwUGAAAAAAYABgBZAQAA2AUAAAAA&#10;">
                      <v:fill on="f" focussize="0,0"/>
                      <v:stroke on="f" weight="0.5pt"/>
                      <v:imagedata o:title=""/>
                      <o:lock v:ext="edit" aspectratio="f"/>
                      <v:textbox>
                        <w:txbxContent>
                          <w:p w14:paraId="2CC1E184">
                            <w:pPr>
                              <w:keepNext w:val="0"/>
                              <w:keepLines w:val="0"/>
                              <w:pageBreakBefore w:val="0"/>
                              <w:widowControl w:val="0"/>
                              <w:kinsoku/>
                              <w:wordWrap/>
                              <w:overflowPunct/>
                              <w:topLinePunct w:val="0"/>
                              <w:bidi w:val="0"/>
                              <w:adjustRightInd/>
                              <w:snapToGrid/>
                              <w:spacing w:line="240" w:lineRule="exact"/>
                              <w:ind w:left="0" w:leftChars="0" w:firstLine="0" w:firstLineChars="0"/>
                              <w:jc w:val="center"/>
                              <w:textAlignment w:val="auto"/>
                              <w:rPr>
                                <w:rFonts w:hint="default" w:eastAsia="宋体"/>
                                <w:color w:val="000000" w:themeColor="text1"/>
                                <w:sz w:val="15"/>
                                <w:szCs w:val="15"/>
                                <w:lang w:val="en-US" w:eastAsia="zh-CN"/>
                                <w14:textFill>
                                  <w14:solidFill>
                                    <w14:schemeClr w14:val="tx1"/>
                                  </w14:solidFill>
                                </w14:textFill>
                              </w:rPr>
                            </w:pPr>
                            <w:r>
                              <w:rPr>
                                <w:rFonts w:hint="eastAsia" w:eastAsia="宋体"/>
                                <w:color w:val="000000" w:themeColor="text1"/>
                                <w:sz w:val="15"/>
                                <w:szCs w:val="15"/>
                                <w:lang w:val="en-US" w:eastAsia="zh-CN"/>
                                <w14:textFill>
                                  <w14:solidFill>
                                    <w14:schemeClr w14:val="tx1"/>
                                  </w14:solidFill>
                                </w14:textFill>
                              </w:rPr>
                              <w:t>一般固废暂存间</w:t>
                            </w:r>
                          </w:p>
                        </w:txbxContent>
                      </v:textbox>
                    </v:shap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4368800</wp:posOffset>
                      </wp:positionH>
                      <wp:positionV relativeFrom="paragraph">
                        <wp:posOffset>1517650</wp:posOffset>
                      </wp:positionV>
                      <wp:extent cx="145415" cy="108585"/>
                      <wp:effectExtent l="0" t="5080" r="6985" b="635"/>
                      <wp:wrapNone/>
                      <wp:docPr id="107" name="直接箭头连接符 107"/>
                      <wp:cNvGraphicFramePr/>
                      <a:graphic xmlns:a="http://schemas.openxmlformats.org/drawingml/2006/main">
                        <a:graphicData uri="http://schemas.microsoft.com/office/word/2010/wordprocessingShape">
                          <wps:wsp>
                            <wps:cNvCnPr>
                              <a:endCxn id="103" idx="3"/>
                            </wps:cNvCnPr>
                            <wps:spPr>
                              <a:xfrm flipH="1">
                                <a:off x="0" y="0"/>
                                <a:ext cx="145415" cy="10858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44pt;margin-top:119.5pt;height:8.55pt;width:11.45pt;z-index:251707392;mso-width-relative:page;mso-height-relative:page;" filled="f" stroked="t" coordsize="21600,21600" o:gfxdata="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2KVAI2QAAAAsBAAAPAAAAAAAAAAEAIAAAACIAAABkcnMvZG93bnJldi54bWxQSwECFAAUAAAA&#10;CACHTuJAP5RwAyYCAAAaBAAADgAAAAAAAAABACAAAAAoAQAAZHJzL2Uyb0RvYy54bWxQSwUGAAAA&#10;AAYABgBZAQAAwA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3919220</wp:posOffset>
                      </wp:positionH>
                      <wp:positionV relativeFrom="paragraph">
                        <wp:posOffset>1517650</wp:posOffset>
                      </wp:positionV>
                      <wp:extent cx="198120" cy="219710"/>
                      <wp:effectExtent l="6350" t="6350" r="24130" b="21590"/>
                      <wp:wrapNone/>
                      <wp:docPr id="102" name="矩形 102"/>
                      <wp:cNvGraphicFramePr/>
                      <a:graphic xmlns:a="http://schemas.openxmlformats.org/drawingml/2006/main">
                        <a:graphicData uri="http://schemas.microsoft.com/office/word/2010/wordprocessingShape">
                          <wps:wsp>
                            <wps:cNvSpPr/>
                            <wps:spPr>
                              <a:xfrm>
                                <a:off x="3239135" y="2715895"/>
                                <a:ext cx="198120" cy="2197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6pt;margin-top:119.5pt;height:17.3pt;width:15.6pt;z-index:251704320;v-text-anchor:middle;mso-width-relative:page;mso-height-relative:page;" filled="f" stroked="t" coordsize="21600,21600" o:gfxdata="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o7HZzaAAAACwEAAA8AAAAAAAAAAQAgAAAAIgAAAGRy&#10;cy9kb3ducmV2LnhtbFBLAQIUABQAAAAIAIdO4kCjC0eTdQIAANoEAAAOAAAAAAAAAAEAIAAAACkB&#10;AABkcnMvZTJvRG9jLnhtbFBLBQYAAAAABgAGAFkBAAAQBg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4170680</wp:posOffset>
                      </wp:positionH>
                      <wp:positionV relativeFrom="paragraph">
                        <wp:posOffset>1516380</wp:posOffset>
                      </wp:positionV>
                      <wp:extent cx="198120" cy="219710"/>
                      <wp:effectExtent l="6350" t="6350" r="24130" b="21590"/>
                      <wp:wrapNone/>
                      <wp:docPr id="103" name="矩形 103"/>
                      <wp:cNvGraphicFramePr/>
                      <a:graphic xmlns:a="http://schemas.openxmlformats.org/drawingml/2006/main">
                        <a:graphicData uri="http://schemas.microsoft.com/office/word/2010/wordprocessingShape">
                          <wps:wsp>
                            <wps:cNvSpPr/>
                            <wps:spPr>
                              <a:xfrm>
                                <a:off x="0" y="0"/>
                                <a:ext cx="198120" cy="2197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4pt;margin-top:119.4pt;height:17.3pt;width:15.6pt;z-index:251705344;v-text-anchor:middle;mso-width-relative:page;mso-height-relative:page;" filled="f" stroked="t" coordsize="21600,21600" o:gfxdata="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bVCZe2gAAAAsBAAAPAAAAAAAAAAEAIAAAACIAAABkcnMvZG93bnJldi54bWxQ&#10;SwECFAAUAAAACACHTuJAJBU3gmcCAADOBAAADgAAAAAAAAABACAAAAApAQAAZHJzL2Uyb0RvYy54&#10;bWxQSwUGAAAAAAYABgBZAQAAAgYAAAAA&#10;">
                      <v:fill on="f" focussize="0,0"/>
                      <v:stroke weight="1pt" color="#000000 [3213]" miterlimit="8" joinstyle="miter"/>
                      <v:imagedata o:title=""/>
                      <o:lock v:ext="edit" aspectratio="f"/>
                    </v:rect>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3589020</wp:posOffset>
                      </wp:positionH>
                      <wp:positionV relativeFrom="paragraph">
                        <wp:posOffset>3914775</wp:posOffset>
                      </wp:positionV>
                      <wp:extent cx="674370" cy="53530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674370" cy="535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30FC09">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color w:val="000000"/>
                                      <w:sz w:val="18"/>
                                      <w:szCs w:val="18"/>
                                      <w:highlight w:val="none"/>
                                      <w:lang w:val="en-US" w:eastAsia="zh-CN"/>
                                    </w:rPr>
                                  </w:pPr>
                                  <w:r>
                                    <w:rPr>
                                      <w:rFonts w:hint="eastAsia"/>
                                      <w:color w:val="000000"/>
                                      <w:sz w:val="18"/>
                                      <w:szCs w:val="18"/>
                                      <w:highlight w:val="none"/>
                                      <w:lang w:val="en-US" w:eastAsia="zh-CN"/>
                                    </w:rPr>
                                    <w:t>全纤维中</w:t>
                                  </w:r>
                                </w:p>
                                <w:p w14:paraId="148DBCF9">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sz w:val="18"/>
                                      <w:szCs w:val="18"/>
                                      <w:highlight w:val="none"/>
                                      <w:lang w:val="en-US" w:eastAsia="zh-CN"/>
                                    </w:rPr>
                                    <w:t>温台车炉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6pt;margin-top:308.25pt;height:42.15pt;width:53.1pt;z-index:251703296;mso-width-relative:page;mso-height-relative:page;" filled="f" stroked="f" coordsize="21600,21600" o:gfxdata="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pub+fcAAAACwEAAA8AAAAAAAAAAQAgAAAAIgAAAGRy&#10;cy9kb3ducmV2LnhtbFBLAQIUABQAAAAIAIdO4kDmR9SmOgIAAGkEAAAOAAAAAAAAAAEAIAAAACsB&#10;AABkcnMvZTJvRG9jLnhtbFBLBQYAAAAABgAGAFkBAADXBQAAAAA=&#10;">
                      <v:fill on="f" focussize="0,0"/>
                      <v:stroke on="f" weight="0.5pt"/>
                      <v:imagedata o:title=""/>
                      <o:lock v:ext="edit" aspectratio="f"/>
                      <v:textbox>
                        <w:txbxContent>
                          <w:p w14:paraId="4F30FC09">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color w:val="000000"/>
                                <w:sz w:val="18"/>
                                <w:szCs w:val="18"/>
                                <w:highlight w:val="none"/>
                                <w:lang w:val="en-US" w:eastAsia="zh-CN"/>
                              </w:rPr>
                            </w:pPr>
                            <w:r>
                              <w:rPr>
                                <w:rFonts w:hint="eastAsia"/>
                                <w:color w:val="000000"/>
                                <w:sz w:val="18"/>
                                <w:szCs w:val="18"/>
                                <w:highlight w:val="none"/>
                                <w:lang w:val="en-US" w:eastAsia="zh-CN"/>
                              </w:rPr>
                              <w:t>全纤维中</w:t>
                            </w:r>
                          </w:p>
                          <w:p w14:paraId="148DBCF9">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sz w:val="18"/>
                                <w:szCs w:val="18"/>
                                <w:highlight w:val="none"/>
                                <w:lang w:val="en-US" w:eastAsia="zh-CN"/>
                              </w:rPr>
                              <w:t>温台车炉</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3509645</wp:posOffset>
                      </wp:positionH>
                      <wp:positionV relativeFrom="paragraph">
                        <wp:posOffset>3462020</wp:posOffset>
                      </wp:positionV>
                      <wp:extent cx="879475" cy="32258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879475" cy="322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1B4090">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吊钩式抛丸机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35pt;margin-top:272.6pt;height:25.4pt;width:69.25pt;z-index:251702272;mso-width-relative:page;mso-height-relative:page;" filled="f" stroked="f" coordsize="21600,21600" o:gfxdata="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&#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H99W7bAAAACwEAAA8AAAAAAAAAAQAgAAAAIgAA&#10;AGRycy9kb3ducmV2LnhtbFBLAQIUABQAAAAIAIdO4kCT2Z8iPgIAAGkEAAAOAAAAAAAAAAEAIAAA&#10;ACoBAABkcnMvZTJvRG9jLnhtbFBLBQYAAAAABgAGAFkBAADaBQAAAAA=&#10;">
                      <v:fill on="f" focussize="0,0"/>
                      <v:stroke on="f" weight="0.5pt"/>
                      <v:imagedata o:title=""/>
                      <o:lock v:ext="edit" aspectratio="f"/>
                      <v:textbox>
                        <w:txbxContent>
                          <w:p w14:paraId="311B4090">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吊钩式抛丸机</w:t>
                            </w:r>
                          </w:p>
                        </w:txbxContent>
                      </v:textbox>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3935730</wp:posOffset>
                      </wp:positionH>
                      <wp:positionV relativeFrom="paragraph">
                        <wp:posOffset>3265805</wp:posOffset>
                      </wp:positionV>
                      <wp:extent cx="879475" cy="32258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879475" cy="322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E8C648">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固定式混砂机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9pt;margin-top:257.15pt;height:25.4pt;width:69.25pt;z-index:251701248;mso-width-relative:page;mso-height-relative:page;" filled="f" stroked="f" coordsize="21600,21600" o:gfxdata="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0dy/l3AAAAAsBAAAPAAAAAAAAAAEAIAAAACIA&#10;AABkcnMvZG93bnJldi54bWxQSwECFAAUAAAACACHTuJA/pnxKj4CAABnBAAADgAAAAAAAAABACAA&#10;AAArAQAAZHJzL2Uyb0RvYy54bWxQSwUGAAAAAAYABgBZAQAA2wUAAAAA&#10;">
                      <v:fill on="f" focussize="0,0"/>
                      <v:stroke on="f" weight="0.5pt"/>
                      <v:imagedata o:title=""/>
                      <o:lock v:ext="edit" aspectratio="f"/>
                      <v:textbox>
                        <w:txbxContent>
                          <w:p w14:paraId="6DE8C648">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固定式混砂机</w:t>
                            </w:r>
                          </w:p>
                        </w:txbxContent>
                      </v:textbox>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4025265</wp:posOffset>
                      </wp:positionH>
                      <wp:positionV relativeFrom="paragraph">
                        <wp:posOffset>2842895</wp:posOffset>
                      </wp:positionV>
                      <wp:extent cx="879475" cy="322580"/>
                      <wp:effectExtent l="0" t="0" r="0" b="0"/>
                      <wp:wrapNone/>
                      <wp:docPr id="98" name="文本框 98"/>
                      <wp:cNvGraphicFramePr/>
                      <a:graphic xmlns:a="http://schemas.openxmlformats.org/drawingml/2006/main">
                        <a:graphicData uri="http://schemas.microsoft.com/office/word/2010/wordprocessingShape">
                          <wps:wsp>
                            <wps:cNvSpPr txBox="1"/>
                            <wps:spPr>
                              <a:xfrm>
                                <a:off x="2477135" y="3338195"/>
                                <a:ext cx="879475" cy="322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A7D4C1">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移动式混砂机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95pt;margin-top:223.85pt;height:25.4pt;width:69.25pt;z-index:251700224;mso-width-relative:page;mso-height-relative:page;" filled="f" stroked="f" coordsize="21600,21600" o:gfxdata="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JDFh/d0AAAALAQAADwAA&#10;AAAAAAABACAAAAAiAAAAZHJzL2Rvd25yZXYueG1sUEsBAhQAFAAAAAgAh07iQMjp+PNKAgAAcwQA&#10;AA4AAAAAAAAAAQAgAAAALAEAAGRycy9lMm9Eb2MueG1sUEsFBgAAAAAGAAYAWQEAAOgFAAAAAA==&#10;">
                      <v:fill on="f" focussize="0,0"/>
                      <v:stroke on="f" weight="0.5pt"/>
                      <v:imagedata o:title=""/>
                      <o:lock v:ext="edit" aspectratio="f"/>
                      <v:textbox>
                        <w:txbxContent>
                          <w:p w14:paraId="6FA7D4C1">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移动式混砂机</w:t>
                            </w:r>
                          </w:p>
                        </w:txbxContent>
                      </v:textbox>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3734435</wp:posOffset>
                      </wp:positionH>
                      <wp:positionV relativeFrom="paragraph">
                        <wp:posOffset>2345690</wp:posOffset>
                      </wp:positionV>
                      <wp:extent cx="545465" cy="675640"/>
                      <wp:effectExtent l="9525" t="9525" r="16510" b="19685"/>
                      <wp:wrapNone/>
                      <wp:docPr id="97" name="矩形 97"/>
                      <wp:cNvGraphicFramePr/>
                      <a:graphic xmlns:a="http://schemas.openxmlformats.org/drawingml/2006/main">
                        <a:graphicData uri="http://schemas.microsoft.com/office/word/2010/wordprocessingShape">
                          <wps:wsp>
                            <wps:cNvSpPr/>
                            <wps:spPr>
                              <a:xfrm>
                                <a:off x="0" y="0"/>
                                <a:ext cx="545465" cy="67564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04489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2"/>
                                      <w:szCs w:val="22"/>
                                      <w:lang w:val="en-US" w:eastAsia="zh-CN"/>
                                      <w14:textFill>
                                        <w14:solidFill>
                                          <w14:schemeClr w14:val="tx1"/>
                                        </w14:solidFill>
                                      </w14:textFill>
                                    </w:rPr>
                                  </w:pPr>
                                  <w:r>
                                    <w:rPr>
                                      <w:rFonts w:hint="eastAsia"/>
                                      <w:color w:val="000000" w:themeColor="text1"/>
                                      <w:sz w:val="22"/>
                                      <w:szCs w:val="22"/>
                                      <w:lang w:val="en-US" w:eastAsia="zh-CN"/>
                                      <w14:textFill>
                                        <w14:solidFill>
                                          <w14:schemeClr w14:val="tx1"/>
                                        </w14:solidFill>
                                      </w14:textFill>
                                    </w:rPr>
                                    <w:t>切割/打磨区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05pt;margin-top:184.7pt;height:53.2pt;width:42.95pt;z-index:251699200;v-text-anchor:middle;mso-width-relative:page;mso-height-relative:page;" filled="f" stroked="t" coordsize="21600,21600" o:gfxdata="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XygS42gAAAAsBAAAPAAAAAAAAAAEAIAAAACIAAABkcnMv&#10;ZG93bnJldi54bWxQSwECFAAUAAAACACHTuJAJ4rMu3MCAADXBAAADgAAAAAAAAABACAAAAApAQAA&#10;ZHJzL2Uyb0RvYy54bWxQSwUGAAAAAAYABgBZAQAADgYAAAAA&#10;">
                      <v:fill on="f" focussize="0,0"/>
                      <v:stroke weight="1.5pt" color="#FF0000 [2404]" miterlimit="8" joinstyle="miter"/>
                      <v:imagedata o:title=""/>
                      <o:lock v:ext="edit" aspectratio="f"/>
                      <v:textbox>
                        <w:txbxContent>
                          <w:p w14:paraId="4D04489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22"/>
                                <w:szCs w:val="22"/>
                                <w:lang w:val="en-US" w:eastAsia="zh-CN"/>
                                <w14:textFill>
                                  <w14:solidFill>
                                    <w14:schemeClr w14:val="tx1"/>
                                  </w14:solidFill>
                                </w14:textFill>
                              </w:rPr>
                            </w:pPr>
                            <w:r>
                              <w:rPr>
                                <w:rFonts w:hint="eastAsia"/>
                                <w:color w:val="000000" w:themeColor="text1"/>
                                <w:sz w:val="22"/>
                                <w:szCs w:val="22"/>
                                <w:lang w:val="en-US" w:eastAsia="zh-CN"/>
                                <w14:textFill>
                                  <w14:solidFill>
                                    <w14:schemeClr w14:val="tx1"/>
                                  </w14:solidFill>
                                </w14:textFill>
                              </w:rPr>
                              <w:t>切割/打磨区</w:t>
                            </w:r>
                          </w:p>
                        </w:txbxContent>
                      </v:textbox>
                    </v:rect>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3753485</wp:posOffset>
                      </wp:positionH>
                      <wp:positionV relativeFrom="paragraph">
                        <wp:posOffset>3561080</wp:posOffset>
                      </wp:positionV>
                      <wp:extent cx="307975" cy="154940"/>
                      <wp:effectExtent l="9525" t="9525" r="25400" b="26035"/>
                      <wp:wrapNone/>
                      <wp:docPr id="95" name="矩形 95"/>
                      <wp:cNvGraphicFramePr/>
                      <a:graphic xmlns:a="http://schemas.openxmlformats.org/drawingml/2006/main">
                        <a:graphicData uri="http://schemas.microsoft.com/office/word/2010/wordprocessingShape">
                          <wps:wsp>
                            <wps:cNvSpPr/>
                            <wps:spPr>
                              <a:xfrm>
                                <a:off x="0" y="0"/>
                                <a:ext cx="307975" cy="15494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55pt;margin-top:280.4pt;height:12.2pt;width:24.25pt;z-index:251698176;v-text-anchor:middle;mso-width-relative:page;mso-height-relative:page;" filled="f" stroked="t" coordsize="21600,21600" o:gfxdata="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ushhNoAAAALAQAADwAAAAAAAAABACAAAAAiAAAAZHJzL2Rvd25yZXYu&#10;eG1sUEsBAhQAFAAAAAgAh07iQBIZo79rAgAAzAQAAA4AAAAAAAAAAQAgAAAAKQEAAGRycy9lMm9E&#10;b2MueG1sUEsFBgAAAAAGAAYAWQEAAAYGAAAAAA==&#10;">
                      <v:fill on="f" focussize="0,0"/>
                      <v:stroke weight="1.5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3747770</wp:posOffset>
                      </wp:positionH>
                      <wp:positionV relativeFrom="paragraph">
                        <wp:posOffset>3943985</wp:posOffset>
                      </wp:positionV>
                      <wp:extent cx="250825" cy="347980"/>
                      <wp:effectExtent l="9525" t="9525" r="25400" b="23495"/>
                      <wp:wrapNone/>
                      <wp:docPr id="94" name="矩形 94"/>
                      <wp:cNvGraphicFramePr/>
                      <a:graphic xmlns:a="http://schemas.openxmlformats.org/drawingml/2006/main">
                        <a:graphicData uri="http://schemas.microsoft.com/office/word/2010/wordprocessingShape">
                          <wps:wsp>
                            <wps:cNvSpPr/>
                            <wps:spPr>
                              <a:xfrm>
                                <a:off x="0" y="0"/>
                                <a:ext cx="250825" cy="34798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1pt;margin-top:310.55pt;height:27.4pt;width:19.75pt;z-index:251697152;v-text-anchor:middle;mso-width-relative:page;mso-height-relative:page;" filled="f" stroked="t" coordsize="21600,21600" o:gfxdata="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zR6ldkAAAALAQAADwAAAAAAAAABACAAAAAiAAAAZHJzL2Rvd25yZXYu&#10;eG1sUEsBAhQAFAAAAAgAh07iQK28jiFsAgAAzAQAAA4AAAAAAAAAAQAgAAAAKAEAAGRycy9lMm9E&#10;b2MueG1sUEsFBgAAAAAGAAYAWQEAAAYGAAAAAA==&#10;">
                      <v:fill on="f" focussize="0,0"/>
                      <v:stroke weight="1.5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4216400</wp:posOffset>
                      </wp:positionH>
                      <wp:positionV relativeFrom="paragraph">
                        <wp:posOffset>3357880</wp:posOffset>
                      </wp:positionV>
                      <wp:extent cx="190500" cy="191135"/>
                      <wp:effectExtent l="9525" t="9525" r="9525" b="27940"/>
                      <wp:wrapNone/>
                      <wp:docPr id="92" name="矩形 92"/>
                      <wp:cNvGraphicFramePr/>
                      <a:graphic xmlns:a="http://schemas.openxmlformats.org/drawingml/2006/main">
                        <a:graphicData uri="http://schemas.microsoft.com/office/word/2010/wordprocessingShape">
                          <wps:wsp>
                            <wps:cNvSpPr/>
                            <wps:spPr>
                              <a:xfrm>
                                <a:off x="0" y="0"/>
                                <a:ext cx="190500" cy="19113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2pt;margin-top:264.4pt;height:15.05pt;width:15pt;z-index:251695104;v-text-anchor:middle;mso-width-relative:page;mso-height-relative:page;" filled="f" stroked="t" coordsize="21600,21600" o:gfxdata="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moix3ZAAAACwEAAA8AAAAAAAAAAQAgAAAAIgAAAGRycy9kb3ducmV2LnhtbFBL&#10;AQIUABQAAAAIAIdO4kAx3gHHZwIAAMwEAAAOAAAAAAAAAAEAIAAAACgBAABkcnMvZTJvRG9jLnht&#10;bFBLBQYAAAAABgAGAFkBAAABBgAAAAA=&#10;">
                      <v:fill on="f" focussize="0,0"/>
                      <v:stroke weight="1.5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4342765</wp:posOffset>
                      </wp:positionH>
                      <wp:positionV relativeFrom="paragraph">
                        <wp:posOffset>2884170</wp:posOffset>
                      </wp:positionV>
                      <wp:extent cx="250825" cy="259715"/>
                      <wp:effectExtent l="6350" t="6350" r="9525" b="19685"/>
                      <wp:wrapNone/>
                      <wp:docPr id="91" name="矩形 91"/>
                      <wp:cNvGraphicFramePr/>
                      <a:graphic xmlns:a="http://schemas.openxmlformats.org/drawingml/2006/main">
                        <a:graphicData uri="http://schemas.microsoft.com/office/word/2010/wordprocessingShape">
                          <wps:wsp>
                            <wps:cNvSpPr/>
                            <wps:spPr>
                              <a:xfrm>
                                <a:off x="5095875" y="3768725"/>
                                <a:ext cx="250825" cy="25971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95pt;margin-top:227.1pt;height:20.45pt;width:19.75pt;z-index:251694080;v-text-anchor:middle;mso-width-relative:page;mso-height-relative:page;" filled="f" stroked="t" coordsize="21600,21600" o:gfxdata="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KnljraAAAACwEAAA8AAAAAAAAAAQAgAAAAIgAA&#10;AGRycy9kb3ducmV2LnhtbFBLAQIUABQAAAAIAIdO4kBBI7HveAIAANgEAAAOAAAAAAAAAAEAIAAA&#10;ACkBAABkcnMvZTJvRG9jLnhtbFBLBQYAAAAABgAGAFkBAAATBgAAAAA=&#10;">
                      <v:fill on="f" focussize="0,0"/>
                      <v:stroke weight="1.5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4140200</wp:posOffset>
                      </wp:positionH>
                      <wp:positionV relativeFrom="paragraph">
                        <wp:posOffset>3873500</wp:posOffset>
                      </wp:positionV>
                      <wp:extent cx="1117600" cy="440690"/>
                      <wp:effectExtent l="9525" t="9525" r="15875" b="26035"/>
                      <wp:wrapNone/>
                      <wp:docPr id="93" name="矩形 93"/>
                      <wp:cNvGraphicFramePr/>
                      <a:graphic xmlns:a="http://schemas.openxmlformats.org/drawingml/2006/main">
                        <a:graphicData uri="http://schemas.microsoft.com/office/word/2010/wordprocessingShape">
                          <wps:wsp>
                            <wps:cNvSpPr/>
                            <wps:spPr>
                              <a:xfrm>
                                <a:off x="4697095" y="4868545"/>
                                <a:ext cx="1117600" cy="44069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C7E42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落砂及砂处理系统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pt;margin-top:305pt;height:34.7pt;width:88pt;z-index:251696128;v-text-anchor:middle;mso-width-relative:page;mso-height-relative:page;" filled="f" stroked="t" coordsize="21600,21600" o:gfxdata="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p9CQ+1wAAAAsBAAAPAAAAAAAAAAEAIAAA&#10;ACIAAABkcnMvZG93bnJldi54bWxQSwECFAAUAAAACACHTuJAxAD5G38CAADkBAAADgAAAAAAAAAB&#10;ACAAAAAmAQAAZHJzL2Uyb0RvYy54bWxQSwUGAAAAAAYABgBZAQAAFwYAAAAA&#10;">
                      <v:fill on="f" focussize="0,0"/>
                      <v:stroke weight="1.5pt" color="#FF0000 [2404]" miterlimit="8" joinstyle="miter"/>
                      <v:imagedata o:title=""/>
                      <o:lock v:ext="edit" aspectratio="f"/>
                      <v:textbox>
                        <w:txbxContent>
                          <w:p w14:paraId="4DC7E42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落砂及砂处理系统</w:t>
                            </w:r>
                          </w:p>
                        </w:txbxContent>
                      </v:textbox>
                    </v:rect>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3608705</wp:posOffset>
                      </wp:positionH>
                      <wp:positionV relativeFrom="paragraph">
                        <wp:posOffset>4685665</wp:posOffset>
                      </wp:positionV>
                      <wp:extent cx="1715770" cy="1146175"/>
                      <wp:effectExtent l="13970" t="13970" r="22860" b="20955"/>
                      <wp:wrapNone/>
                      <wp:docPr id="88" name="矩形 88"/>
                      <wp:cNvGraphicFramePr/>
                      <a:graphic xmlns:a="http://schemas.openxmlformats.org/drawingml/2006/main">
                        <a:graphicData uri="http://schemas.microsoft.com/office/word/2010/wordprocessingShape">
                          <wps:wsp>
                            <wps:cNvSpPr/>
                            <wps:spPr>
                              <a:xfrm>
                                <a:off x="0" y="0"/>
                                <a:ext cx="1715770" cy="1146175"/>
                              </a:xfrm>
                              <a:prstGeom prst="rect">
                                <a:avLst/>
                              </a:prstGeom>
                              <a:solidFill>
                                <a:schemeClr val="bg1"/>
                              </a:solidFill>
                              <a:ln w="28575">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10E6B7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36"/>
                                      <w:szCs w:val="36"/>
                                      <w:lang w:val="en-US" w:eastAsia="zh-CN"/>
                                      <w14:textFill>
                                        <w14:solidFill>
                                          <w14:schemeClr w14:val="tx1"/>
                                        </w14:solidFill>
                                      </w14:textFill>
                                    </w:rPr>
                                  </w:pPr>
                                  <w:r>
                                    <w:rPr>
                                      <w:rFonts w:hint="eastAsia"/>
                                      <w:color w:val="000000" w:themeColor="text1"/>
                                      <w:sz w:val="36"/>
                                      <w:szCs w:val="36"/>
                                      <w:lang w:val="en-US" w:eastAsia="zh-CN"/>
                                      <w14:textFill>
                                        <w14:solidFill>
                                          <w14:schemeClr w14:val="tx1"/>
                                        </w14:solidFill>
                                      </w14:textFill>
                                    </w:rPr>
                                    <w:t>成品库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4.15pt;margin-top:368.95pt;height:90.25pt;width:135.1pt;z-index:251691008;v-text-anchor:middle;mso-width-relative:page;mso-height-relative:page;" fillcolor="#FFFFFF [3212]" filled="t" stroked="t" coordsize="21600,21600" o:gfxdata="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DjqlN0AAAALAQAADwAAAAAAAAAB&#10;ACAAAAAiAAAAZHJzL2Rvd25yZXYueG1sUEsBAhQAFAAAAAgAh07iQFQl5el9AgAAAgUAAA4AAAAA&#10;AAAAAQAgAAAALAEAAGRycy9lMm9Eb2MueG1sUEsFBgAAAAAGAAYAWQEAABsGAAAAAA==&#10;">
                      <v:fill on="t" focussize="0,0"/>
                      <v:stroke weight="2.25pt" color="#0070C0 [2404]" miterlimit="8" joinstyle="miter"/>
                      <v:imagedata o:title=""/>
                      <o:lock v:ext="edit" aspectratio="f"/>
                      <v:textbox>
                        <w:txbxContent>
                          <w:p w14:paraId="210E6B7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36"/>
                                <w:szCs w:val="36"/>
                                <w:lang w:val="en-US" w:eastAsia="zh-CN"/>
                                <w14:textFill>
                                  <w14:solidFill>
                                    <w14:schemeClr w14:val="tx1"/>
                                  </w14:solidFill>
                                </w14:textFill>
                              </w:rPr>
                            </w:pPr>
                            <w:r>
                              <w:rPr>
                                <w:rFonts w:hint="eastAsia"/>
                                <w:color w:val="000000" w:themeColor="text1"/>
                                <w:sz w:val="36"/>
                                <w:szCs w:val="36"/>
                                <w:lang w:val="en-US" w:eastAsia="zh-CN"/>
                                <w14:textFill>
                                  <w14:solidFill>
                                    <w14:schemeClr w14:val="tx1"/>
                                  </w14:solidFill>
                                </w14:textFill>
                              </w:rPr>
                              <w:t>成品库</w:t>
                            </w:r>
                          </w:p>
                        </w:txbxContent>
                      </v:textbox>
                    </v:rect>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3644900</wp:posOffset>
                      </wp:positionH>
                      <wp:positionV relativeFrom="paragraph">
                        <wp:posOffset>1468755</wp:posOffset>
                      </wp:positionV>
                      <wp:extent cx="1681480" cy="3109595"/>
                      <wp:effectExtent l="19050" t="19050" r="33020" b="33655"/>
                      <wp:wrapNone/>
                      <wp:docPr id="86" name="矩形 86"/>
                      <wp:cNvGraphicFramePr/>
                      <a:graphic xmlns:a="http://schemas.openxmlformats.org/drawingml/2006/main">
                        <a:graphicData uri="http://schemas.microsoft.com/office/word/2010/wordprocessingShape">
                          <wps:wsp>
                            <wps:cNvSpPr/>
                            <wps:spPr>
                              <a:xfrm>
                                <a:off x="4785360" y="2626995"/>
                                <a:ext cx="1681480" cy="3109595"/>
                              </a:xfrm>
                              <a:prstGeom prst="rect">
                                <a:avLst/>
                              </a:prstGeom>
                              <a:solidFill>
                                <a:schemeClr val="bg1"/>
                              </a:solidFill>
                              <a:ln w="38100">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pt;margin-top:115.65pt;height:244.85pt;width:132.4pt;z-index:251689984;v-text-anchor:middle;mso-width-relative:page;mso-height-relative:page;" fillcolor="#FFFFFF [3212]" filled="t" stroked="t" coordsize="21600,21600" o:gfxdata="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lxZXi9cAAAALAQAADwAAAAAAAAAB&#10;ACAAAAAiAAAAZHJzL2Rvd25yZXYueG1sUEsBAhQAFAAAAAgAh07iQMtXGtGDAgAAAwUAAA4AAAAA&#10;AAAAAQAgAAAAJgEAAGRycy9lMm9Eb2MueG1sUEsFBgAAAAAGAAYAWQEAABsGAAAAAA==&#10;">
                      <v:fill on="t" focussize="0,0"/>
                      <v:stroke weight="3pt" color="#0070C0 [2404]" miterlimit="8" joinstyle="miter"/>
                      <v:imagedata o:title=""/>
                      <o:lock v:ext="edit" aspectratio="f"/>
                    </v:rect>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3456305</wp:posOffset>
                      </wp:positionH>
                      <wp:positionV relativeFrom="paragraph">
                        <wp:posOffset>706120</wp:posOffset>
                      </wp:positionV>
                      <wp:extent cx="1914525" cy="609600"/>
                      <wp:effectExtent l="13970" t="13970" r="14605" b="24130"/>
                      <wp:wrapNone/>
                      <wp:docPr id="85" name="矩形 85"/>
                      <wp:cNvGraphicFramePr/>
                      <a:graphic xmlns:a="http://schemas.openxmlformats.org/drawingml/2006/main">
                        <a:graphicData uri="http://schemas.microsoft.com/office/word/2010/wordprocessingShape">
                          <wps:wsp>
                            <wps:cNvSpPr/>
                            <wps:spPr>
                              <a:xfrm>
                                <a:off x="4347210" y="1877695"/>
                                <a:ext cx="1914525" cy="609600"/>
                              </a:xfrm>
                              <a:prstGeom prst="rect">
                                <a:avLst/>
                              </a:prstGeom>
                              <a:solidFill>
                                <a:schemeClr val="bg1"/>
                              </a:solidFill>
                              <a:ln w="28575">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2CCE5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36"/>
                                      <w:szCs w:val="36"/>
                                      <w:lang w:val="en-US" w:eastAsia="zh-CN"/>
                                      <w14:textFill>
                                        <w14:solidFill>
                                          <w14:schemeClr w14:val="tx1"/>
                                        </w14:solidFill>
                                      </w14:textFill>
                                    </w:rPr>
                                  </w:pPr>
                                  <w:r>
                                    <w:rPr>
                                      <w:rFonts w:hint="eastAsia"/>
                                      <w:color w:val="000000" w:themeColor="text1"/>
                                      <w:sz w:val="36"/>
                                      <w:szCs w:val="36"/>
                                      <w:lang w:val="en-US" w:eastAsia="zh-CN"/>
                                      <w14:textFill>
                                        <w14:solidFill>
                                          <w14:schemeClr w14:val="tx1"/>
                                        </w14:solidFill>
                                      </w14:textFill>
                                    </w:rPr>
                                    <w:t>原料库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15pt;margin-top:55.6pt;height:48pt;width:150.75pt;z-index:251688960;v-text-anchor:middle;mso-width-relative:page;mso-height-relative:page;" fillcolor="#FFFFFF [3212]" filled="t" stroked="t" coordsize="21600,21600" o:gfxdata="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bPLJi3AAAAAsB&#10;AAAPAAAAAAAAAAEAIAAAACIAAABkcnMvZG93bnJldi54bWxQSwECFAAUAAAACACHTuJAxdcLL4kC&#10;AAANBQAADgAAAAAAAAABACAAAAArAQAAZHJzL2Uyb0RvYy54bWxQSwUGAAAAAAYABgBZAQAAJgYA&#10;AAAA&#10;">
                      <v:fill on="t" focussize="0,0"/>
                      <v:stroke weight="2.25pt" color="#0070C0 [2404]" miterlimit="8" joinstyle="miter"/>
                      <v:imagedata o:title=""/>
                      <o:lock v:ext="edit" aspectratio="f"/>
                      <v:textbox>
                        <w:txbxContent>
                          <w:p w14:paraId="1F2CCE5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000000" w:themeColor="text1"/>
                                <w:sz w:val="36"/>
                                <w:szCs w:val="36"/>
                                <w:lang w:val="en-US" w:eastAsia="zh-CN"/>
                                <w14:textFill>
                                  <w14:solidFill>
                                    <w14:schemeClr w14:val="tx1"/>
                                  </w14:solidFill>
                                </w14:textFill>
                              </w:rPr>
                            </w:pPr>
                            <w:r>
                              <w:rPr>
                                <w:rFonts w:hint="eastAsia"/>
                                <w:color w:val="000000" w:themeColor="text1"/>
                                <w:sz w:val="36"/>
                                <w:szCs w:val="36"/>
                                <w:lang w:val="en-US" w:eastAsia="zh-CN"/>
                                <w14:textFill>
                                  <w14:solidFill>
                                    <w14:schemeClr w14:val="tx1"/>
                                  </w14:solidFill>
                                </w14:textFill>
                              </w:rPr>
                              <w:t>原料库</w:t>
                            </w:r>
                          </w:p>
                        </w:txbxContent>
                      </v:textbox>
                    </v:rect>
                  </w:pict>
                </mc:Fallback>
              </mc:AlternateContent>
            </w:r>
          </w:p>
        </w:tc>
      </w:tr>
      <w:tr w14:paraId="271F8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5000" w:type="pct"/>
            <w:vAlign w:val="center"/>
          </w:tcPr>
          <w:p w14:paraId="6A53AC0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rFonts w:hint="default" w:ascii="Times New Roman" w:hAnsi="Times New Roman" w:eastAsia="黑体" w:cs="Times New Roman"/>
                <w:color w:val="000000" w:themeColor="text1"/>
                <w:sz w:val="24"/>
                <w:szCs w:val="24"/>
                <w:vertAlign w:val="baseline"/>
                <w:lang w:val="en-US" w:eastAsia="zh-CN"/>
                <w14:textFill>
                  <w14:solidFill>
                    <w14:schemeClr w14:val="tx1"/>
                  </w14:solidFill>
                </w14:textFill>
              </w:rPr>
              <w:t>附图3  厂区平面布置图</w:t>
            </w:r>
          </w:p>
        </w:tc>
      </w:tr>
    </w:tbl>
    <w:p w14:paraId="0AE051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0000" w:themeColor="text1"/>
          <w:sz w:val="32"/>
          <w:szCs w:val="32"/>
          <w:lang w:val="en-US" w:eastAsia="zh-CN"/>
          <w14:textFill>
            <w14:solidFill>
              <w14:schemeClr w14:val="tx1"/>
            </w14:solidFill>
          </w14:textFill>
        </w:rPr>
        <w:sectPr>
          <w:pgSz w:w="11906" w:h="16838"/>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EC12E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A1BAD60">
            <w:pPr>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84864" behindDoc="0" locked="0" layoutInCell="1" allowOverlap="1">
                      <wp:simplePos x="0" y="0"/>
                      <wp:positionH relativeFrom="column">
                        <wp:posOffset>3463925</wp:posOffset>
                      </wp:positionH>
                      <wp:positionV relativeFrom="paragraph">
                        <wp:posOffset>2870835</wp:posOffset>
                      </wp:positionV>
                      <wp:extent cx="914400" cy="300990"/>
                      <wp:effectExtent l="92075" t="6350" r="22225" b="302260"/>
                      <wp:wrapNone/>
                      <wp:docPr id="1110" name="矩形标注 63"/>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57083"/>
                                  <a:gd name="adj2" fmla="val 142405"/>
                                </a:avLst>
                              </a:prstGeom>
                              <a:solidFill>
                                <a:srgbClr val="FFFF00"/>
                              </a:solidFill>
                              <a:ln w="12700" cap="flat" cmpd="sng">
                                <a:solidFill>
                                  <a:srgbClr val="000000"/>
                                </a:solidFill>
                                <a:prstDash val="solid"/>
                                <a:miter/>
                                <a:headEnd type="none" w="med" len="med"/>
                                <a:tailEnd type="none" w="med" len="med"/>
                              </a:ln>
                            </wps:spPr>
                            <wps:txbx>
                              <w:txbxContent>
                                <w:p w14:paraId="67954EF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b/>
                                      <w:bCs/>
                                      <w:color w:val="000000"/>
                                    </w:rPr>
                                  </w:pPr>
                                  <w:r>
                                    <w:rPr>
                                      <w:rFonts w:hint="eastAsia"/>
                                      <w:b/>
                                      <w:bCs/>
                                      <w:color w:val="000000"/>
                                    </w:rPr>
                                    <w:t>项目位置</w:t>
                                  </w:r>
                                </w:p>
                              </w:txbxContent>
                            </wps:txbx>
                            <wps:bodyPr anchor="ctr" upright="1"/>
                          </wps:wsp>
                        </a:graphicData>
                      </a:graphic>
                    </wp:anchor>
                  </w:drawing>
                </mc:Choice>
                <mc:Fallback>
                  <w:pict>
                    <v:shape id="矩形标注 63" o:spid="_x0000_s1026" o:spt="61" type="#_x0000_t61" style="position:absolute;left:0pt;margin-left:272.75pt;margin-top:226.05pt;height:23.7pt;width:72pt;z-index:251684864;v-text-anchor:middle;mso-width-relative:page;mso-height-relative:page;" fillcolor="#FFFF00" filled="t" stroked="t" coordsize="21600,21600" o:gfxdata="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wKEKfcAAAACwEAAA8AAAAAAAAA&#10;AQAgAAAAIgAAAGRycy9kb3ducmV2LnhtbFBLAQIUABQAAAAIAIdO4kANkJUZRgIAAJ8EAAAOAAAA&#10;AAAAAAEAIAAAACsBAABkcnMvZTJvRG9jLnhtbFBLBQYAAAAABgAGAFkBAADjBQAAAAA=&#10;" adj="-1530,41559">
                      <v:fill on="t" focussize="0,0"/>
                      <v:stroke weight="1pt" color="#000000" joinstyle="miter"/>
                      <v:imagedata o:title=""/>
                      <o:lock v:ext="edit" aspectratio="f"/>
                      <v:textbox>
                        <w:txbxContent>
                          <w:p w14:paraId="67954EF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b/>
                                <w:bCs/>
                                <w:color w:val="000000"/>
                              </w:rPr>
                            </w:pPr>
                            <w:r>
                              <w:rPr>
                                <w:rFonts w:hint="eastAsia"/>
                                <w:b/>
                                <w:bCs/>
                                <w:color w:val="000000"/>
                              </w:rPr>
                              <w:t>项目位置</w:t>
                            </w:r>
                          </w:p>
                        </w:txbxContent>
                      </v:textbox>
                    </v:shape>
                  </w:pict>
                </mc:Fallback>
              </mc:AlternateContent>
            </w:r>
            <w:r>
              <w:rPr>
                <w:rFonts w:hint="eastAsia"/>
                <w:color w:val="000000" w:themeColor="text1"/>
                <w14:textFill>
                  <w14:solidFill>
                    <w14:schemeClr w14:val="tx1"/>
                  </w14:solidFill>
                </w14:textFill>
              </w:rPr>
              <w:drawing>
                <wp:inline distT="0" distB="0" distL="0" distR="0">
                  <wp:extent cx="8633460" cy="5687695"/>
                  <wp:effectExtent l="0" t="0" r="15240" b="8255"/>
                  <wp:docPr id="1109" name="图片 60" descr="02开发区规划范围图0315"/>
                  <wp:cNvGraphicFramePr/>
                  <a:graphic xmlns:a="http://schemas.openxmlformats.org/drawingml/2006/main">
                    <a:graphicData uri="http://schemas.openxmlformats.org/drawingml/2006/picture">
                      <pic:pic xmlns:pic="http://schemas.openxmlformats.org/drawingml/2006/picture">
                        <pic:nvPicPr>
                          <pic:cNvPr id="1109" name="图片 60" descr="02开发区规划范围图0315"/>
                          <pic:cNvPicPr/>
                        </pic:nvPicPr>
                        <pic:blipFill>
                          <a:blip r:embed="rId30" cstate="print"/>
                          <a:srcRect t="2860" b="3993"/>
                          <a:stretch>
                            <a:fillRect/>
                          </a:stretch>
                        </pic:blipFill>
                        <pic:spPr>
                          <a:xfrm>
                            <a:off x="0" y="0"/>
                            <a:ext cx="8633460" cy="5687695"/>
                          </a:xfrm>
                          <a:prstGeom prst="rect">
                            <a:avLst/>
                          </a:prstGeom>
                        </pic:spPr>
                      </pic:pic>
                    </a:graphicData>
                  </a:graphic>
                </wp:inline>
              </w:drawing>
            </w:r>
          </w:p>
        </w:tc>
      </w:tr>
      <w:tr w14:paraId="6E748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76B6C4A">
            <w:pPr>
              <w:spacing w:line="360" w:lineRule="auto"/>
              <w:jc w:val="center"/>
              <w:rPr>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附图4  项目在镇平县先进制造业开发区发展规划中的位置示意图</w:t>
            </w:r>
          </w:p>
        </w:tc>
      </w:tr>
    </w:tbl>
    <w:p w14:paraId="01B5EAAB">
      <w:pPr>
        <w:jc w:val="center"/>
        <w:rPr>
          <w:rFonts w:hint="eastAsia"/>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9C9D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73FFEB3">
            <w:pPr>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85888" behindDoc="0" locked="0" layoutInCell="1" allowOverlap="1">
                      <wp:simplePos x="0" y="0"/>
                      <wp:positionH relativeFrom="column">
                        <wp:posOffset>1848485</wp:posOffset>
                      </wp:positionH>
                      <wp:positionV relativeFrom="paragraph">
                        <wp:posOffset>3101340</wp:posOffset>
                      </wp:positionV>
                      <wp:extent cx="914400" cy="300990"/>
                      <wp:effectExtent l="6350" t="6350" r="660400" b="92710"/>
                      <wp:wrapNone/>
                      <wp:docPr id="1111" name="矩形标注 64"/>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115833"/>
                                  <a:gd name="adj2" fmla="val 74683"/>
                                </a:avLst>
                              </a:prstGeom>
                              <a:solidFill>
                                <a:srgbClr val="FFFF00"/>
                              </a:solidFill>
                              <a:ln w="12700" cap="flat" cmpd="sng">
                                <a:solidFill>
                                  <a:srgbClr val="000000"/>
                                </a:solidFill>
                                <a:prstDash val="solid"/>
                                <a:miter/>
                                <a:headEnd type="none" w="med" len="med"/>
                                <a:tailEnd type="none" w="med" len="med"/>
                              </a:ln>
                            </wps:spPr>
                            <wps:txbx>
                              <w:txbxContent>
                                <w:p w14:paraId="0DBA2EF8">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wps:txbx>
                            <wps:bodyPr anchor="ctr" upright="1"/>
                          </wps:wsp>
                        </a:graphicData>
                      </a:graphic>
                    </wp:anchor>
                  </w:drawing>
                </mc:Choice>
                <mc:Fallback>
                  <w:pict>
                    <v:shape id="矩形标注 64" o:spid="_x0000_s1026" o:spt="61" type="#_x0000_t61" style="position:absolute;left:0pt;margin-left:145.55pt;margin-top:244.2pt;height:23.7pt;width:72pt;z-index:251685888;v-text-anchor:middle;mso-width-relative:page;mso-height-relative:page;" fillcolor="#FFFF00" filled="t" stroked="t" coordsize="21600,21600" o:gfxdata="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4SySrcAAAACwEAAA8AAAAAAAAAAQAg&#10;AAAAIgAAAGRycy9kb3ducmV2LnhtbFBLAQIUABQAAAAIAIdO4kCqH2d3QwIAAJ4EAAAOAAAAAAAA&#10;AAEAIAAAACsBAABkcnMvZTJvRG9jLnhtbFBLBQYAAAAABgAGAFkBAADgBQAAAAA=&#10;" adj="35820,26932">
                      <v:fill on="t" focussize="0,0"/>
                      <v:stroke weight="1pt" color="#000000" joinstyle="miter"/>
                      <v:imagedata o:title=""/>
                      <o:lock v:ext="edit" aspectratio="f"/>
                      <v:textbox>
                        <w:txbxContent>
                          <w:p w14:paraId="0DBA2EF8">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v:textbox>
                    </v:shape>
                  </w:pict>
                </mc:Fallback>
              </mc:AlternateContent>
            </w:r>
            <w:r>
              <w:rPr>
                <w:rFonts w:hint="eastAsia"/>
                <w:color w:val="000000" w:themeColor="text1"/>
                <w14:textFill>
                  <w14:solidFill>
                    <w14:schemeClr w14:val="tx1"/>
                  </w14:solidFill>
                </w14:textFill>
              </w:rPr>
              <w:drawing>
                <wp:inline distT="0" distB="0" distL="0" distR="0">
                  <wp:extent cx="8633460" cy="5637530"/>
                  <wp:effectExtent l="0" t="0" r="15240" b="1270"/>
                  <wp:docPr id="1112" name="图片 61" descr="06产业功能布局图"/>
                  <wp:cNvGraphicFramePr/>
                  <a:graphic xmlns:a="http://schemas.openxmlformats.org/drawingml/2006/main">
                    <a:graphicData uri="http://schemas.openxmlformats.org/drawingml/2006/picture">
                      <pic:pic xmlns:pic="http://schemas.openxmlformats.org/drawingml/2006/picture">
                        <pic:nvPicPr>
                          <pic:cNvPr id="1112" name="图片 61" descr="06产业功能布局图"/>
                          <pic:cNvPicPr/>
                        </pic:nvPicPr>
                        <pic:blipFill>
                          <a:blip r:embed="rId31" cstate="print"/>
                          <a:srcRect t="1986" b="3941"/>
                          <a:stretch>
                            <a:fillRect/>
                          </a:stretch>
                        </pic:blipFill>
                        <pic:spPr>
                          <a:xfrm>
                            <a:off x="0" y="0"/>
                            <a:ext cx="8633460" cy="5637530"/>
                          </a:xfrm>
                          <a:prstGeom prst="rect">
                            <a:avLst/>
                          </a:prstGeom>
                        </pic:spPr>
                      </pic:pic>
                    </a:graphicData>
                  </a:graphic>
                </wp:inline>
              </w:drawing>
            </w:r>
          </w:p>
        </w:tc>
      </w:tr>
      <w:tr w14:paraId="3F54F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F985753">
            <w:pPr>
              <w:spacing w:line="360" w:lineRule="auto"/>
              <w:jc w:val="center"/>
              <w:rPr>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附图5  项目在镇平县先进制造业开发区产业功能布局图中的位置示意图</w:t>
            </w:r>
          </w:p>
        </w:tc>
      </w:tr>
    </w:tbl>
    <w:p w14:paraId="078CF008">
      <w:pPr>
        <w:jc w:val="center"/>
        <w:rPr>
          <w:rFonts w:hint="eastAsia"/>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27D83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0ABE3444">
            <w:pPr>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86912" behindDoc="0" locked="0" layoutInCell="1" allowOverlap="1">
                      <wp:simplePos x="0" y="0"/>
                      <wp:positionH relativeFrom="column">
                        <wp:posOffset>3439160</wp:posOffset>
                      </wp:positionH>
                      <wp:positionV relativeFrom="paragraph">
                        <wp:posOffset>2931795</wp:posOffset>
                      </wp:positionV>
                      <wp:extent cx="914400" cy="300990"/>
                      <wp:effectExtent l="78105" t="6350" r="17145" b="264160"/>
                      <wp:wrapNone/>
                      <wp:docPr id="1113" name="矩形标注 66"/>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55555"/>
                                  <a:gd name="adj2" fmla="val 128691"/>
                                </a:avLst>
                              </a:prstGeom>
                              <a:solidFill>
                                <a:srgbClr val="FFFF00"/>
                              </a:solidFill>
                              <a:ln w="12700" cap="flat" cmpd="sng">
                                <a:solidFill>
                                  <a:srgbClr val="000000"/>
                                </a:solidFill>
                                <a:prstDash val="solid"/>
                                <a:miter/>
                                <a:headEnd type="none" w="med" len="med"/>
                                <a:tailEnd type="none" w="med" len="med"/>
                              </a:ln>
                            </wps:spPr>
                            <wps:txbx>
                              <w:txbxContent>
                                <w:p w14:paraId="093F052D">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wps:txbx>
                            <wps:bodyPr anchor="ctr" upright="1"/>
                          </wps:wsp>
                        </a:graphicData>
                      </a:graphic>
                    </wp:anchor>
                  </w:drawing>
                </mc:Choice>
                <mc:Fallback>
                  <w:pict>
                    <v:shape id="矩形标注 66" o:spid="_x0000_s1026" o:spt="61" type="#_x0000_t61" style="position:absolute;left:0pt;margin-left:270.8pt;margin-top:230.85pt;height:23.7pt;width:72pt;z-index:251686912;v-text-anchor:middle;mso-width-relative:page;mso-height-relative:page;" fillcolor="#FFFF00" filled="t" stroked="t" coordsize="21600,21600" o:gfxdata="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bcuCi9gAAAALAQAADwAAAAAAAAABACAAAAAi&#10;AAAAZHJzL2Rvd25yZXYueG1sUEsBAhQAFAAAAAgAh07iQJ+5+99DAgAAnwQAAA4AAAAAAAAAAQAg&#10;AAAAJwEAAGRycy9lMm9Eb2MueG1sUEsFBgAAAAAGAAYAWQEAANwFAAAAAA==&#10;" adj="-1200,38597">
                      <v:fill on="t" focussize="0,0"/>
                      <v:stroke weight="1pt" color="#000000" joinstyle="miter"/>
                      <v:imagedata o:title=""/>
                      <o:lock v:ext="edit" aspectratio="f"/>
                      <v:textbox>
                        <w:txbxContent>
                          <w:p w14:paraId="093F052D">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v:textbox>
                    </v:shape>
                  </w:pict>
                </mc:Fallback>
              </mc:AlternateContent>
            </w:r>
            <w:r>
              <w:rPr>
                <w:rFonts w:hint="eastAsia"/>
                <w:color w:val="000000" w:themeColor="text1"/>
                <w14:textFill>
                  <w14:solidFill>
                    <w14:schemeClr w14:val="tx1"/>
                  </w14:solidFill>
                </w14:textFill>
              </w:rPr>
              <w:drawing>
                <wp:inline distT="0" distB="0" distL="0" distR="0">
                  <wp:extent cx="8633460" cy="5636895"/>
                  <wp:effectExtent l="0" t="0" r="15240" b="1905"/>
                  <wp:docPr id="1114" name="图片 65" descr="05用地功能布局图"/>
                  <wp:cNvGraphicFramePr/>
                  <a:graphic xmlns:a="http://schemas.openxmlformats.org/drawingml/2006/main">
                    <a:graphicData uri="http://schemas.openxmlformats.org/drawingml/2006/picture">
                      <pic:pic xmlns:pic="http://schemas.openxmlformats.org/drawingml/2006/picture">
                        <pic:nvPicPr>
                          <pic:cNvPr id="1114" name="图片 65" descr="05用地功能布局图"/>
                          <pic:cNvPicPr/>
                        </pic:nvPicPr>
                        <pic:blipFill>
                          <a:blip r:embed="rId32" cstate="print"/>
                          <a:srcRect t="2860" b="4825"/>
                          <a:stretch>
                            <a:fillRect/>
                          </a:stretch>
                        </pic:blipFill>
                        <pic:spPr>
                          <a:xfrm>
                            <a:off x="0" y="0"/>
                            <a:ext cx="8633460" cy="5636895"/>
                          </a:xfrm>
                          <a:prstGeom prst="rect">
                            <a:avLst/>
                          </a:prstGeom>
                        </pic:spPr>
                      </pic:pic>
                    </a:graphicData>
                  </a:graphic>
                </wp:inline>
              </w:drawing>
            </w:r>
          </w:p>
        </w:tc>
      </w:tr>
      <w:tr w14:paraId="70BC9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207DF9C">
            <w:pPr>
              <w:spacing w:line="360" w:lineRule="auto"/>
              <w:jc w:val="center"/>
              <w:rPr>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附图6  项目在镇平县先进制造业开发区用地功能布局图中的位置示意图</w:t>
            </w:r>
          </w:p>
        </w:tc>
      </w:tr>
    </w:tbl>
    <w:p w14:paraId="44B28C55">
      <w:pPr>
        <w:jc w:val="center"/>
        <w:rPr>
          <w:rFonts w:hint="eastAsia"/>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4DA49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3F3083B3">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87936" behindDoc="0" locked="0" layoutInCell="1" allowOverlap="1">
                      <wp:simplePos x="0" y="0"/>
                      <wp:positionH relativeFrom="column">
                        <wp:posOffset>3439160</wp:posOffset>
                      </wp:positionH>
                      <wp:positionV relativeFrom="paragraph">
                        <wp:posOffset>2963545</wp:posOffset>
                      </wp:positionV>
                      <wp:extent cx="914400" cy="300990"/>
                      <wp:effectExtent l="78105" t="6350" r="17145" b="264160"/>
                      <wp:wrapNone/>
                      <wp:docPr id="76" name="矩形标注 66"/>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55555"/>
                                  <a:gd name="adj2" fmla="val 128691"/>
                                </a:avLst>
                              </a:prstGeom>
                              <a:solidFill>
                                <a:srgbClr val="FFFF00"/>
                              </a:solidFill>
                              <a:ln w="12700" cap="flat" cmpd="sng">
                                <a:solidFill>
                                  <a:srgbClr val="000000"/>
                                </a:solidFill>
                                <a:prstDash val="solid"/>
                                <a:miter/>
                                <a:headEnd type="none" w="med" len="med"/>
                                <a:tailEnd type="none" w="med" len="med"/>
                              </a:ln>
                            </wps:spPr>
                            <wps:txbx>
                              <w:txbxContent>
                                <w:p w14:paraId="13D198BC">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wps:txbx>
                            <wps:bodyPr anchor="ctr" upright="1"/>
                          </wps:wsp>
                        </a:graphicData>
                      </a:graphic>
                    </wp:anchor>
                  </w:drawing>
                </mc:Choice>
                <mc:Fallback>
                  <w:pict>
                    <v:shape id="矩形标注 66" o:spid="_x0000_s1026" o:spt="61" type="#_x0000_t61" style="position:absolute;left:0pt;margin-left:270.8pt;margin-top:233.35pt;height:23.7pt;width:72pt;z-index:251687936;v-text-anchor:middle;mso-width-relative:page;mso-height-relative:page;" fillcolor="#FFFF00" filled="t" stroked="t" coordsize="21600,21600" o:gfxdata="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KzUbTXAAAACwEAAA8AAAAAAAAAAQAgAAAAIgAA&#10;AGRycy9kb3ducmV2LnhtbFBLAQIUABQAAAAIAIdO4kAmxcvyQgIAAJ0EAAAOAAAAAAAAAAEAIAAA&#10;ACYBAABkcnMvZTJvRG9jLnhtbFBLBQYAAAAABgAGAFkBAADaBQAAAAA=&#10;" adj="-1200,38597">
                      <v:fill on="t" focussize="0,0"/>
                      <v:stroke weight="1pt" color="#000000" joinstyle="miter"/>
                      <v:imagedata o:title=""/>
                      <o:lock v:ext="edit" aspectratio="f"/>
                      <v:textbox>
                        <w:txbxContent>
                          <w:p w14:paraId="13D198BC">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b/>
                                <w:bCs/>
                                <w:color w:val="000000"/>
                              </w:rPr>
                            </w:pPr>
                            <w:r>
                              <w:rPr>
                                <w:rFonts w:hint="eastAsia"/>
                                <w:b/>
                                <w:bCs/>
                                <w:color w:val="000000"/>
                              </w:rPr>
                              <w:t>项目位置</w:t>
                            </w:r>
                          </w:p>
                        </w:txbxContent>
                      </v:textbox>
                    </v:shape>
                  </w:pict>
                </mc:Fallback>
              </mc:AlternateContent>
            </w:r>
            <w:r>
              <w:rPr>
                <w:rFonts w:hint="eastAsia"/>
                <w:color w:val="000000" w:themeColor="text1"/>
                <w:sz w:val="24"/>
                <w14:textFill>
                  <w14:solidFill>
                    <w14:schemeClr w14:val="tx1"/>
                  </w14:solidFill>
                </w14:textFill>
              </w:rPr>
              <w:drawing>
                <wp:inline distT="0" distB="0" distL="0" distR="0">
                  <wp:extent cx="8633460" cy="5671185"/>
                  <wp:effectExtent l="0" t="0" r="15240" b="5715"/>
                  <wp:docPr id="1116" name="图片 62" descr="09污水工程规划图_1"/>
                  <wp:cNvGraphicFramePr/>
                  <a:graphic xmlns:a="http://schemas.openxmlformats.org/drawingml/2006/main">
                    <a:graphicData uri="http://schemas.openxmlformats.org/drawingml/2006/picture">
                      <pic:pic xmlns:pic="http://schemas.openxmlformats.org/drawingml/2006/picture">
                        <pic:nvPicPr>
                          <pic:cNvPr id="1116" name="图片 62" descr="09污水工程规划图_1"/>
                          <pic:cNvPicPr/>
                        </pic:nvPicPr>
                        <pic:blipFill>
                          <a:blip r:embed="rId33" cstate="print"/>
                          <a:srcRect t="2329" b="4794"/>
                          <a:stretch>
                            <a:fillRect/>
                          </a:stretch>
                        </pic:blipFill>
                        <pic:spPr>
                          <a:xfrm>
                            <a:off x="0" y="0"/>
                            <a:ext cx="8633460" cy="5671185"/>
                          </a:xfrm>
                          <a:prstGeom prst="rect">
                            <a:avLst/>
                          </a:prstGeom>
                        </pic:spPr>
                      </pic:pic>
                    </a:graphicData>
                  </a:graphic>
                </wp:inline>
              </w:drawing>
            </w:r>
          </w:p>
        </w:tc>
      </w:tr>
      <w:tr w14:paraId="7C7FF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4E271CD0">
            <w:pPr>
              <w:jc w:val="center"/>
              <w:rPr>
                <w:color w:val="000000" w:themeColor="text1"/>
                <w:sz w:val="24"/>
                <w14:textFill>
                  <w14:solidFill>
                    <w14:schemeClr w14:val="tx1"/>
                  </w14:solidFill>
                </w14:textFill>
              </w:rPr>
            </w:pPr>
            <w:r>
              <w:rPr>
                <w:rFonts w:hint="default" w:ascii="Times New Roman" w:hAnsi="Times New Roman" w:eastAsia="黑体" w:cs="Times New Roman"/>
                <w:b w:val="0"/>
                <w:bCs w:val="0"/>
                <w:color w:val="000000" w:themeColor="text1"/>
                <w:sz w:val="24"/>
                <w14:textFill>
                  <w14:solidFill>
                    <w14:schemeClr w14:val="tx1"/>
                  </w14:solidFill>
                </w14:textFill>
              </w:rPr>
              <w:t>附图7  项目在镇平县先进制造业开发区污水工程规划图中的位置示意图</w:t>
            </w:r>
          </w:p>
        </w:tc>
      </w:tr>
    </w:tbl>
    <w:p w14:paraId="603911B3">
      <w:pPr>
        <w:jc w:val="center"/>
        <w:rPr>
          <w:rFonts w:hint="eastAsia"/>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992"/>
      </w:tblGrid>
      <w:tr w14:paraId="1D6D90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3A512DC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pPr>
          </w:p>
          <w:p w14:paraId="44A8387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pPr>
            <w:r>
              <w:rPr>
                <w:color w:val="000000" w:themeColor="text1"/>
                <w14:textFill>
                  <w14:solidFill>
                    <w14:schemeClr w14:val="tx1"/>
                  </w14:solidFill>
                </w14:textFill>
              </w:rPr>
              <w:drawing>
                <wp:anchor distT="0" distB="0" distL="114300" distR="114300" simplePos="0" relativeHeight="251676672" behindDoc="0" locked="0" layoutInCell="1" allowOverlap="1">
                  <wp:simplePos x="0" y="0"/>
                  <wp:positionH relativeFrom="column">
                    <wp:posOffset>8202930</wp:posOffset>
                  </wp:positionH>
                  <wp:positionV relativeFrom="paragraph">
                    <wp:posOffset>35560</wp:posOffset>
                  </wp:positionV>
                  <wp:extent cx="615315" cy="840105"/>
                  <wp:effectExtent l="0" t="0" r="13335" b="17145"/>
                  <wp:wrapNone/>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26"/>
                          <a:stretch>
                            <a:fillRect/>
                          </a:stretch>
                        </pic:blipFill>
                        <pic:spPr>
                          <a:xfrm>
                            <a:off x="0" y="0"/>
                            <a:ext cx="615315" cy="840105"/>
                          </a:xfrm>
                          <a:prstGeom prst="rect">
                            <a:avLst/>
                          </a:prstGeom>
                          <a:noFill/>
                          <a:ln>
                            <a:noFill/>
                          </a:ln>
                        </pic:spPr>
                      </pic:pic>
                    </a:graphicData>
                  </a:graphic>
                </wp:anchor>
              </w:drawing>
            </w:r>
            <w:r>
              <w:drawing>
                <wp:inline distT="0" distB="0" distL="114300" distR="114300">
                  <wp:extent cx="8891270" cy="4364990"/>
                  <wp:effectExtent l="0" t="0" r="5080" b="1651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34"/>
                          <a:srcRect r="1926"/>
                          <a:stretch>
                            <a:fillRect/>
                          </a:stretch>
                        </pic:blipFill>
                        <pic:spPr>
                          <a:xfrm>
                            <a:off x="0" y="0"/>
                            <a:ext cx="8891270" cy="4364990"/>
                          </a:xfrm>
                          <a:prstGeom prst="rect">
                            <a:avLst/>
                          </a:prstGeom>
                          <a:noFill/>
                          <a:ln>
                            <a:noFill/>
                          </a:ln>
                        </pic:spPr>
                      </pic:pic>
                    </a:graphicData>
                  </a:graphic>
                </wp:inline>
              </w:drawing>
            </w:r>
          </w:p>
          <w:p w14:paraId="1B53221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lang w:val="en-US" w:eastAsia="zh-CN"/>
              </w:rPr>
            </w:pPr>
          </w:p>
        </w:tc>
      </w:tr>
      <w:tr w14:paraId="43674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5000" w:type="pct"/>
            <w:vAlign w:val="center"/>
          </w:tcPr>
          <w:p w14:paraId="057F5A3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000000" w:themeColor="text1"/>
                <w:sz w:val="24"/>
                <w:szCs w:val="24"/>
                <w:vertAlign w:val="baseline"/>
                <w:lang w:val="en-US" w:eastAsia="zh-CN"/>
                <w14:textFill>
                  <w14:solidFill>
                    <w14:schemeClr w14:val="tx1"/>
                  </w14:solidFill>
                </w14:textFill>
              </w:rPr>
            </w:pPr>
            <w:r>
              <w:rPr>
                <w:rFonts w:hint="default" w:ascii="Times New Roman" w:hAnsi="Times New Roman" w:eastAsia="黑体" w:cs="Times New Roman"/>
                <w:color w:val="000000" w:themeColor="text1"/>
                <w:sz w:val="24"/>
                <w:szCs w:val="24"/>
                <w:vertAlign w:val="baseline"/>
                <w:lang w:val="en-US" w:eastAsia="zh-CN"/>
                <w14:textFill>
                  <w14:solidFill>
                    <w14:schemeClr w14:val="tx1"/>
                  </w14:solidFill>
                </w14:textFill>
              </w:rPr>
              <w:t>附图</w:t>
            </w:r>
            <w:r>
              <w:rPr>
                <w:rFonts w:hint="eastAsia" w:eastAsia="黑体" w:cs="Times New Roman"/>
                <w:color w:val="000000" w:themeColor="text1"/>
                <w:sz w:val="24"/>
                <w:szCs w:val="24"/>
                <w:vertAlign w:val="baseline"/>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vertAlign w:val="baseline"/>
                <w:lang w:val="en-US" w:eastAsia="zh-CN"/>
                <w14:textFill>
                  <w14:solidFill>
                    <w14:schemeClr w14:val="tx1"/>
                  </w14:solidFill>
                </w14:textFill>
              </w:rPr>
              <w:t xml:space="preserve">  项目与河南省三线一单综合信息应用平台中位置示意图</w:t>
            </w:r>
          </w:p>
        </w:tc>
      </w:tr>
    </w:tbl>
    <w:p w14:paraId="6E6A10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0000" w:themeColor="text1"/>
          <w:sz w:val="32"/>
          <w:szCs w:val="32"/>
          <w:lang w:val="en-US" w:eastAsia="zh-CN"/>
          <w14:textFill>
            <w14:solidFill>
              <w14:schemeClr w14:val="tx1"/>
            </w14:solidFill>
          </w14:textFill>
        </w:rPr>
        <w:sectPr>
          <w:pgSz w:w="16838" w:h="11906" w:orient="landscape"/>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530"/>
      </w:tblGrid>
      <w:tr w14:paraId="1948DF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530" w:type="dxa"/>
            <w:vAlign w:val="center"/>
          </w:tcPr>
          <w:p w14:paraId="20D9AB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vertAlign w:val="baseline"/>
                <w:lang w:eastAsia="zh-CN"/>
                <w14:textFill>
                  <w14:solidFill>
                    <w14:schemeClr w14:val="tx1"/>
                  </w14:solidFill>
                </w14:textFill>
              </w:rPr>
            </w:pPr>
            <w:r>
              <w:rPr>
                <w:rFonts w:hint="default" w:ascii="Times New Roman" w:hAnsi="Times New Roman" w:eastAsia="宋体" w:cs="Times New Roman"/>
                <w:sz w:val="24"/>
                <w:szCs w:val="24"/>
                <w:lang w:val="en-US" w:eastAsia="zh-CN"/>
              </w:rPr>
              <w:drawing>
                <wp:inline distT="0" distB="0" distL="114300" distR="114300">
                  <wp:extent cx="2616200" cy="1961515"/>
                  <wp:effectExtent l="0" t="0" r="12700" b="635"/>
                  <wp:docPr id="27" name="图片 27" descr="961107ef13d5e0d6df828ac98a8b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61107ef13d5e0d6df828ac98a8b6821"/>
                          <pic:cNvPicPr>
                            <a:picLocks noChangeAspect="1"/>
                          </pic:cNvPicPr>
                        </pic:nvPicPr>
                        <pic:blipFill>
                          <a:blip r:embed="rId35"/>
                          <a:stretch>
                            <a:fillRect/>
                          </a:stretch>
                        </pic:blipFill>
                        <pic:spPr>
                          <a:xfrm>
                            <a:off x="0" y="0"/>
                            <a:ext cx="2616200" cy="1961515"/>
                          </a:xfrm>
                          <a:prstGeom prst="rect">
                            <a:avLst/>
                          </a:prstGeom>
                        </pic:spPr>
                      </pic:pic>
                    </a:graphicData>
                  </a:graphic>
                </wp:inline>
              </w:drawing>
            </w:r>
          </w:p>
        </w:tc>
        <w:tc>
          <w:tcPr>
            <w:tcW w:w="4530" w:type="dxa"/>
            <w:vAlign w:val="center"/>
          </w:tcPr>
          <w:p w14:paraId="5807B1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vertAlign w:val="baseline"/>
                <w:lang w:eastAsia="zh-CN"/>
                <w14:textFill>
                  <w14:solidFill>
                    <w14:schemeClr w14:val="tx1"/>
                  </w14:solidFill>
                </w14:textFill>
              </w:rPr>
            </w:pPr>
            <w:r>
              <w:rPr>
                <w:rFonts w:hint="eastAsia" w:ascii="Times New Roman" w:hAnsi="Times New Roman" w:eastAsia="宋体" w:cs="Times New Roman"/>
                <w:sz w:val="24"/>
                <w:szCs w:val="24"/>
                <w:lang w:val="en-US" w:eastAsia="zh-CN"/>
              </w:rPr>
              <w:drawing>
                <wp:inline distT="0" distB="0" distL="114300" distR="114300">
                  <wp:extent cx="2680335" cy="1926590"/>
                  <wp:effectExtent l="0" t="0" r="5715" b="16510"/>
                  <wp:docPr id="28" name="图片 28" descr="5c8125edb9a28ea028f4051525bd7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c8125edb9a28ea028f4051525bd71ba"/>
                          <pic:cNvPicPr>
                            <a:picLocks noChangeAspect="1"/>
                          </pic:cNvPicPr>
                        </pic:nvPicPr>
                        <pic:blipFill>
                          <a:blip r:embed="rId36"/>
                          <a:srcRect t="13783" b="21670"/>
                          <a:stretch>
                            <a:fillRect/>
                          </a:stretch>
                        </pic:blipFill>
                        <pic:spPr>
                          <a:xfrm>
                            <a:off x="0" y="0"/>
                            <a:ext cx="2680335" cy="1926590"/>
                          </a:xfrm>
                          <a:prstGeom prst="rect">
                            <a:avLst/>
                          </a:prstGeom>
                        </pic:spPr>
                      </pic:pic>
                    </a:graphicData>
                  </a:graphic>
                </wp:inline>
              </w:drawing>
            </w:r>
          </w:p>
        </w:tc>
      </w:tr>
      <w:tr w14:paraId="0E042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530" w:type="dxa"/>
            <w:vAlign w:val="center"/>
          </w:tcPr>
          <w:p w14:paraId="287982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东厂界</w:t>
            </w:r>
          </w:p>
        </w:tc>
        <w:tc>
          <w:tcPr>
            <w:tcW w:w="4530" w:type="dxa"/>
            <w:vAlign w:val="center"/>
          </w:tcPr>
          <w:p w14:paraId="60C331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南厂界</w:t>
            </w:r>
          </w:p>
        </w:tc>
      </w:tr>
      <w:tr w14:paraId="655EC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530" w:type="dxa"/>
            <w:vAlign w:val="center"/>
          </w:tcPr>
          <w:p w14:paraId="3A6B65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vertAlign w:val="baseline"/>
                <w:lang w:eastAsia="zh-CN"/>
                <w14:textFill>
                  <w14:solidFill>
                    <w14:schemeClr w14:val="tx1"/>
                  </w14:solidFill>
                </w14:textFill>
              </w:rPr>
            </w:pPr>
            <w:r>
              <w:rPr>
                <w:rFonts w:hint="eastAsia" w:ascii="Times New Roman" w:hAnsi="Times New Roman" w:eastAsia="宋体" w:cs="Times New Roman"/>
                <w:sz w:val="24"/>
                <w:szCs w:val="24"/>
                <w:lang w:val="en-US" w:eastAsia="zh-CN"/>
              </w:rPr>
              <w:drawing>
                <wp:inline distT="0" distB="0" distL="114300" distR="114300">
                  <wp:extent cx="2619375" cy="2026920"/>
                  <wp:effectExtent l="0" t="0" r="9525" b="11430"/>
                  <wp:docPr id="29" name="图片 29" descr="95387b7b99333df29a7f1b14c8593f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95387b7b99333df29a7f1b14c8593fbe"/>
                          <pic:cNvPicPr>
                            <a:picLocks noChangeAspect="1"/>
                          </pic:cNvPicPr>
                        </pic:nvPicPr>
                        <pic:blipFill>
                          <a:blip r:embed="rId37"/>
                          <a:srcRect t="6834" b="30898"/>
                          <a:stretch>
                            <a:fillRect/>
                          </a:stretch>
                        </pic:blipFill>
                        <pic:spPr>
                          <a:xfrm>
                            <a:off x="0" y="0"/>
                            <a:ext cx="2619375" cy="2026920"/>
                          </a:xfrm>
                          <a:prstGeom prst="rect">
                            <a:avLst/>
                          </a:prstGeom>
                        </pic:spPr>
                      </pic:pic>
                    </a:graphicData>
                  </a:graphic>
                </wp:inline>
              </w:drawing>
            </w:r>
          </w:p>
        </w:tc>
        <w:tc>
          <w:tcPr>
            <w:tcW w:w="4530" w:type="dxa"/>
            <w:vAlign w:val="center"/>
          </w:tcPr>
          <w:p w14:paraId="6C98A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vertAlign w:val="baseline"/>
                <w:lang w:eastAsia="zh-CN"/>
                <w14:textFill>
                  <w14:solidFill>
                    <w14:schemeClr w14:val="tx1"/>
                  </w14:solidFill>
                </w14:textFill>
              </w:rPr>
            </w:pPr>
            <w:r>
              <w:rPr>
                <w:rFonts w:hint="default" w:ascii="Times New Roman" w:hAnsi="Times New Roman" w:eastAsia="宋体" w:cs="Times New Roman"/>
                <w:sz w:val="24"/>
                <w:szCs w:val="24"/>
                <w:lang w:val="en-US" w:eastAsia="zh-CN"/>
              </w:rPr>
              <w:drawing>
                <wp:inline distT="0" distB="0" distL="114300" distR="114300">
                  <wp:extent cx="2677795" cy="2075815"/>
                  <wp:effectExtent l="0" t="0" r="8255" b="635"/>
                  <wp:docPr id="1" name="图片 1" descr="89a4a685eed52d266cb8f928975081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9a4a685eed52d266cb8f928975081ec"/>
                          <pic:cNvPicPr>
                            <a:picLocks noChangeAspect="1"/>
                          </pic:cNvPicPr>
                        </pic:nvPicPr>
                        <pic:blipFill>
                          <a:blip r:embed="rId38"/>
                          <a:srcRect t="19224" b="22682"/>
                          <a:stretch>
                            <a:fillRect/>
                          </a:stretch>
                        </pic:blipFill>
                        <pic:spPr>
                          <a:xfrm>
                            <a:off x="0" y="0"/>
                            <a:ext cx="2677795" cy="2075815"/>
                          </a:xfrm>
                          <a:prstGeom prst="rect">
                            <a:avLst/>
                          </a:prstGeom>
                        </pic:spPr>
                      </pic:pic>
                    </a:graphicData>
                  </a:graphic>
                </wp:inline>
              </w:drawing>
            </w:r>
          </w:p>
        </w:tc>
      </w:tr>
      <w:tr w14:paraId="4B9514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530" w:type="dxa"/>
            <w:vAlign w:val="center"/>
          </w:tcPr>
          <w:p w14:paraId="599E5F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西厂界</w:t>
            </w:r>
          </w:p>
        </w:tc>
        <w:tc>
          <w:tcPr>
            <w:tcW w:w="4530" w:type="dxa"/>
            <w:vAlign w:val="center"/>
          </w:tcPr>
          <w:p w14:paraId="64E93A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北厂界</w:t>
            </w:r>
          </w:p>
        </w:tc>
      </w:tr>
      <w:tr w14:paraId="71537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060" w:type="dxa"/>
            <w:gridSpan w:val="2"/>
            <w:vAlign w:val="center"/>
          </w:tcPr>
          <w:p w14:paraId="3786BB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vertAlign w:val="baseline"/>
                <w:lang w:val="en-US" w:eastAsia="zh-CN"/>
                <w14:textFill>
                  <w14:solidFill>
                    <w14:schemeClr w14:val="tx1"/>
                  </w14:solidFill>
                </w14:textFill>
              </w:rPr>
            </w:pPr>
            <w:r>
              <w:rPr>
                <w:rFonts w:hint="default" w:ascii="Times New Roman" w:hAnsi="Times New Roman" w:eastAsia="黑体" w:cs="Times New Roman"/>
                <w:b w:val="0"/>
                <w:bCs w:val="0"/>
                <w:color w:val="000000" w:themeColor="text1"/>
                <w:vertAlign w:val="baseline"/>
                <w:lang w:val="en-US" w:eastAsia="zh-CN"/>
                <w14:textFill>
                  <w14:solidFill>
                    <w14:schemeClr w14:val="tx1"/>
                  </w14:solidFill>
                </w14:textFill>
              </w:rPr>
              <w:t>附图</w:t>
            </w:r>
            <w:r>
              <w:rPr>
                <w:rFonts w:hint="eastAsia" w:eastAsia="黑体" w:cs="Times New Roman"/>
                <w:b w:val="0"/>
                <w:bCs w:val="0"/>
                <w:color w:val="000000" w:themeColor="text1"/>
                <w:vertAlign w:val="baseline"/>
                <w:lang w:val="en-US" w:eastAsia="zh-CN"/>
                <w14:textFill>
                  <w14:solidFill>
                    <w14:schemeClr w14:val="tx1"/>
                  </w14:solidFill>
                </w14:textFill>
              </w:rPr>
              <w:t>9</w:t>
            </w:r>
            <w:r>
              <w:rPr>
                <w:rFonts w:hint="default" w:ascii="Times New Roman" w:hAnsi="Times New Roman" w:eastAsia="黑体" w:cs="Times New Roman"/>
                <w:b w:val="0"/>
                <w:bCs w:val="0"/>
                <w:color w:val="000000" w:themeColor="text1"/>
                <w:vertAlign w:val="baseline"/>
                <w:lang w:val="en-US" w:eastAsia="zh-CN"/>
                <w14:textFill>
                  <w14:solidFill>
                    <w14:schemeClr w14:val="tx1"/>
                  </w14:solidFill>
                </w14:textFill>
              </w:rPr>
              <w:t xml:space="preserve">  现场照片</w:t>
            </w:r>
          </w:p>
        </w:tc>
      </w:tr>
    </w:tbl>
    <w:p w14:paraId="1FF1833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0000" w:themeColor="text1"/>
          <w:sz w:val="32"/>
          <w:szCs w:val="32"/>
          <w:lang w:val="en-US" w:eastAsia="zh-CN"/>
          <w14:textFill>
            <w14:solidFill>
              <w14:schemeClr w14:val="tx1"/>
            </w14:solidFill>
          </w14:textFill>
        </w:rPr>
        <w:sectPr>
          <w:pgSz w:w="11906" w:h="16838"/>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4A56D2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color w:val="000000" w:themeColor="text1"/>
          <w:sz w:val="32"/>
          <w:szCs w:val="32"/>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附件1</w:t>
      </w:r>
    </w:p>
    <w:p w14:paraId="7C6CC4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color w:val="000000" w:themeColor="text1"/>
          <w:sz w:val="40"/>
          <w:szCs w:val="32"/>
          <w14:textFill>
            <w14:solidFill>
              <w14:schemeClr w14:val="tx1"/>
            </w14:solidFill>
          </w14:textFill>
        </w:rPr>
      </w:pPr>
      <w:r>
        <w:rPr>
          <w:rFonts w:hint="eastAsia"/>
          <w:b/>
          <w:color w:val="000000" w:themeColor="text1"/>
          <w:sz w:val="40"/>
          <w:szCs w:val="32"/>
          <w14:textFill>
            <w14:solidFill>
              <w14:schemeClr w14:val="tx1"/>
            </w14:solidFill>
          </w14:textFill>
        </w:rPr>
        <w:t>委</w:t>
      </w:r>
      <w:r>
        <w:rPr>
          <w:b/>
          <w:color w:val="000000" w:themeColor="text1"/>
          <w:sz w:val="40"/>
          <w:szCs w:val="32"/>
          <w14:textFill>
            <w14:solidFill>
              <w14:schemeClr w14:val="tx1"/>
            </w14:solidFill>
          </w14:textFill>
        </w:rPr>
        <w:t xml:space="preserve"> </w:t>
      </w:r>
      <w:r>
        <w:rPr>
          <w:rFonts w:hint="eastAsia"/>
          <w:b/>
          <w:color w:val="000000" w:themeColor="text1"/>
          <w:sz w:val="40"/>
          <w:szCs w:val="32"/>
          <w14:textFill>
            <w14:solidFill>
              <w14:schemeClr w14:val="tx1"/>
            </w14:solidFill>
          </w14:textFill>
        </w:rPr>
        <w:t>托</w:t>
      </w:r>
      <w:r>
        <w:rPr>
          <w:b/>
          <w:color w:val="000000" w:themeColor="text1"/>
          <w:sz w:val="40"/>
          <w:szCs w:val="32"/>
          <w14:textFill>
            <w14:solidFill>
              <w14:schemeClr w14:val="tx1"/>
            </w14:solidFill>
          </w14:textFill>
        </w:rPr>
        <w:t xml:space="preserve"> </w:t>
      </w:r>
      <w:r>
        <w:rPr>
          <w:rFonts w:hint="eastAsia"/>
          <w:b/>
          <w:color w:val="000000" w:themeColor="text1"/>
          <w:sz w:val="40"/>
          <w:szCs w:val="32"/>
          <w14:textFill>
            <w14:solidFill>
              <w14:schemeClr w14:val="tx1"/>
            </w14:solidFill>
          </w14:textFill>
        </w:rPr>
        <w:t>书</w:t>
      </w:r>
    </w:p>
    <w:p w14:paraId="28B122D0">
      <w:pPr>
        <w:jc w:val="center"/>
        <w:rPr>
          <w:b/>
          <w:color w:val="000000" w:themeColor="text1"/>
          <w:sz w:val="40"/>
          <w:szCs w:val="32"/>
          <w14:textFill>
            <w14:solidFill>
              <w14:schemeClr w14:val="tx1"/>
            </w14:solidFill>
          </w14:textFill>
        </w:rPr>
      </w:pPr>
    </w:p>
    <w:p w14:paraId="0880FC3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eastAsia="楷体"/>
          <w:color w:val="000000" w:themeColor="text1"/>
          <w:sz w:val="32"/>
          <w:szCs w:val="32"/>
          <w14:textFill>
            <w14:solidFill>
              <w14:schemeClr w14:val="tx1"/>
            </w14:solidFill>
          </w14:textFill>
        </w:rPr>
      </w:pPr>
      <w:r>
        <w:rPr>
          <w:rFonts w:hint="eastAsia" w:eastAsia="楷体"/>
          <w:color w:val="000000" w:themeColor="text1"/>
          <w:sz w:val="32"/>
          <w:szCs w:val="32"/>
          <w14:textFill>
            <w14:solidFill>
              <w14:schemeClr w14:val="tx1"/>
            </w14:solidFill>
          </w14:textFill>
        </w:rPr>
        <w:t>南阳市益诚环保科技有限公司</w:t>
      </w:r>
      <w:r>
        <w:rPr>
          <w:rFonts w:eastAsia="楷体"/>
          <w:color w:val="000000" w:themeColor="text1"/>
          <w:sz w:val="32"/>
          <w:szCs w:val="32"/>
          <w14:textFill>
            <w14:solidFill>
              <w14:schemeClr w14:val="tx1"/>
            </w14:solidFill>
          </w14:textFill>
        </w:rPr>
        <w:t>：</w:t>
      </w:r>
    </w:p>
    <w:p w14:paraId="0320F64F">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eastAsia="楷体"/>
          <w:color w:val="000000" w:themeColor="text1"/>
          <w:sz w:val="32"/>
          <w:szCs w:val="32"/>
          <w14:textFill>
            <w14:solidFill>
              <w14:schemeClr w14:val="tx1"/>
            </w14:solidFill>
          </w14:textFill>
        </w:rPr>
      </w:pPr>
      <w:r>
        <w:rPr>
          <w:rFonts w:eastAsia="楷体"/>
          <w:color w:val="000000" w:themeColor="text1"/>
          <w:sz w:val="32"/>
          <w:szCs w:val="32"/>
          <w14:textFill>
            <w14:solidFill>
              <w14:schemeClr w14:val="tx1"/>
            </w14:solidFill>
          </w14:textFill>
        </w:rPr>
        <w:t>根据《中华人民共和国环境影响评价法》、《建设项目环境保护管理条例》等相关法律规定，我公司需要开展</w:t>
      </w:r>
      <w:r>
        <w:rPr>
          <w:rFonts w:hint="eastAsia" w:eastAsia="楷体"/>
          <w:color w:val="000000" w:themeColor="text1"/>
          <w:sz w:val="32"/>
          <w:szCs w:val="32"/>
          <w:lang w:eastAsia="zh-CN"/>
          <w14:textFill>
            <w14:solidFill>
              <w14:schemeClr w14:val="tx1"/>
            </w14:solidFill>
          </w14:textFill>
        </w:rPr>
        <w:t>“</w:t>
      </w:r>
      <w:r>
        <w:rPr>
          <w:rFonts w:hint="eastAsia" w:eastAsia="楷体"/>
          <w:color w:val="000000" w:themeColor="text1"/>
          <w:sz w:val="32"/>
          <w:szCs w:val="32"/>
          <w:lang w:val="en-US" w:eastAsia="zh-CN"/>
          <w14:textFill>
            <w14:solidFill>
              <w14:schemeClr w14:val="tx1"/>
            </w14:solidFill>
          </w14:textFill>
        </w:rPr>
        <w:t>南阳恒卓机械制造有限公司机械制造设备生产项目”</w:t>
      </w:r>
      <w:r>
        <w:rPr>
          <w:rFonts w:eastAsia="楷体"/>
          <w:color w:val="000000" w:themeColor="text1"/>
          <w:sz w:val="32"/>
          <w:szCs w:val="32"/>
          <w14:textFill>
            <w14:solidFill>
              <w14:schemeClr w14:val="tx1"/>
            </w14:solidFill>
          </w14:textFill>
        </w:rPr>
        <w:t>环境影响评价工作，现委托贵公司进行，望尽快开展工作。工作中具体事宜，由双方共同协商解决。</w:t>
      </w:r>
    </w:p>
    <w:p w14:paraId="2FFEF36A">
      <w:pPr>
        <w:adjustRightInd w:val="0"/>
        <w:snapToGrid w:val="0"/>
        <w:spacing w:line="360" w:lineRule="auto"/>
        <w:ind w:firstLine="420"/>
        <w:rPr>
          <w:color w:val="000000" w:themeColor="text1"/>
          <w:sz w:val="32"/>
          <w:szCs w:val="32"/>
          <w14:textFill>
            <w14:solidFill>
              <w14:schemeClr w14:val="tx1"/>
            </w14:solidFill>
          </w14:textFill>
        </w:rPr>
      </w:pPr>
    </w:p>
    <w:p w14:paraId="61BA4F15">
      <w:pPr>
        <w:adjustRightInd w:val="0"/>
        <w:snapToGrid w:val="0"/>
        <w:spacing w:line="360" w:lineRule="auto"/>
        <w:rPr>
          <w:rFonts w:ascii="楷体" w:hAnsi="楷体" w:eastAsia="楷体"/>
          <w:color w:val="000000" w:themeColor="text1"/>
          <w:sz w:val="32"/>
          <w:szCs w:val="32"/>
          <w14:textFill>
            <w14:solidFill>
              <w14:schemeClr w14:val="tx1"/>
            </w14:solidFill>
          </w14:textFill>
        </w:rPr>
      </w:pPr>
    </w:p>
    <w:p w14:paraId="726F6BAD">
      <w:pPr>
        <w:adjustRightInd w:val="0"/>
        <w:snapToGrid w:val="0"/>
        <w:ind w:firstLine="4480" w:firstLineChars="1400"/>
        <w:jc w:val="right"/>
        <w:rPr>
          <w:rFonts w:ascii="楷体" w:hAnsi="楷体" w:eastAsia="楷体"/>
          <w:color w:val="000000" w:themeColor="text1"/>
          <w:sz w:val="32"/>
          <w:szCs w:val="32"/>
          <w14:textFill>
            <w14:solidFill>
              <w14:schemeClr w14:val="tx1"/>
            </w14:solidFill>
          </w14:textFill>
        </w:rPr>
      </w:pPr>
      <w:r>
        <w:rPr>
          <w:rFonts w:hint="eastAsia" w:ascii="楷体" w:hAnsi="楷体" w:eastAsia="楷体"/>
          <w:color w:val="000000" w:themeColor="text1"/>
          <w:sz w:val="32"/>
          <w:szCs w:val="32"/>
          <w14:textFill>
            <w14:solidFill>
              <w14:schemeClr w14:val="tx1"/>
            </w14:solidFill>
          </w14:textFill>
        </w:rPr>
        <w:t xml:space="preserve">     </w:t>
      </w:r>
      <w:r>
        <w:rPr>
          <w:rFonts w:ascii="楷体" w:hAnsi="楷体" w:eastAsia="楷体"/>
          <w:color w:val="000000" w:themeColor="text1"/>
          <w:sz w:val="32"/>
          <w:szCs w:val="32"/>
          <w14:textFill>
            <w14:solidFill>
              <w14:schemeClr w14:val="tx1"/>
            </w14:solidFill>
          </w14:textFill>
        </w:rPr>
        <w:t>(</w:t>
      </w:r>
      <w:r>
        <w:rPr>
          <w:rFonts w:hint="eastAsia" w:ascii="楷体" w:hAnsi="楷体" w:eastAsia="楷体"/>
          <w:color w:val="000000" w:themeColor="text1"/>
          <w:sz w:val="32"/>
          <w:szCs w:val="32"/>
          <w14:textFill>
            <w14:solidFill>
              <w14:schemeClr w14:val="tx1"/>
            </w14:solidFill>
          </w14:textFill>
        </w:rPr>
        <w:t>公司盖章</w:t>
      </w:r>
      <w:r>
        <w:rPr>
          <w:rFonts w:ascii="楷体" w:hAnsi="楷体" w:eastAsia="楷体"/>
          <w:color w:val="000000" w:themeColor="text1"/>
          <w:sz w:val="32"/>
          <w:szCs w:val="32"/>
          <w14:textFill>
            <w14:solidFill>
              <w14:schemeClr w14:val="tx1"/>
            </w14:solidFill>
          </w14:textFill>
        </w:rPr>
        <w:t>)</w:t>
      </w:r>
    </w:p>
    <w:p w14:paraId="00D5F419">
      <w:pPr>
        <w:bidi w:val="0"/>
        <w:ind w:left="0" w:leftChars="0" w:firstLine="0" w:firstLineChars="0"/>
        <w:jc w:val="right"/>
        <w:rPr>
          <w:rFonts w:hint="eastAsia" w:eastAsia="楷体"/>
          <w:color w:val="000000" w:themeColor="text1"/>
          <w:sz w:val="32"/>
          <w:szCs w:val="32"/>
          <w14:textFill>
            <w14:solidFill>
              <w14:schemeClr w14:val="tx1"/>
            </w14:solidFill>
          </w14:textFill>
        </w:rPr>
        <w:sectPr>
          <w:pgSz w:w="11906" w:h="16838"/>
          <w:pgMar w:top="1531" w:right="1531" w:bottom="153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eastAsia="楷体"/>
          <w:color w:val="000000" w:themeColor="text1"/>
          <w:sz w:val="32"/>
          <w:szCs w:val="32"/>
          <w14:textFill>
            <w14:solidFill>
              <w14:schemeClr w14:val="tx1"/>
            </w14:solidFill>
          </w14:textFill>
        </w:rPr>
        <w:t>202</w:t>
      </w:r>
      <w:r>
        <w:rPr>
          <w:rFonts w:hint="eastAsia" w:eastAsia="楷体"/>
          <w:color w:val="000000" w:themeColor="text1"/>
          <w:sz w:val="32"/>
          <w:szCs w:val="32"/>
          <w:lang w:val="en-US" w:eastAsia="zh-CN"/>
          <w14:textFill>
            <w14:solidFill>
              <w14:schemeClr w14:val="tx1"/>
            </w14:solidFill>
          </w14:textFill>
        </w:rPr>
        <w:t>6</w:t>
      </w:r>
      <w:r>
        <w:rPr>
          <w:rFonts w:hint="eastAsia" w:eastAsia="楷体"/>
          <w:color w:val="000000" w:themeColor="text1"/>
          <w:sz w:val="32"/>
          <w:szCs w:val="32"/>
          <w14:textFill>
            <w14:solidFill>
              <w14:schemeClr w14:val="tx1"/>
            </w14:solidFill>
          </w14:textFill>
        </w:rPr>
        <w:t>年</w:t>
      </w:r>
      <w:r>
        <w:rPr>
          <w:rFonts w:hint="eastAsia" w:eastAsia="楷体"/>
          <w:color w:val="000000" w:themeColor="text1"/>
          <w:sz w:val="32"/>
          <w:szCs w:val="32"/>
          <w:lang w:val="en-US" w:eastAsia="zh-CN"/>
          <w14:textFill>
            <w14:solidFill>
              <w14:schemeClr w14:val="tx1"/>
            </w14:solidFill>
          </w14:textFill>
        </w:rPr>
        <w:t>1</w:t>
      </w:r>
      <w:r>
        <w:rPr>
          <w:rFonts w:hint="eastAsia" w:eastAsia="楷体"/>
          <w:color w:val="000000" w:themeColor="text1"/>
          <w:sz w:val="32"/>
          <w:szCs w:val="32"/>
          <w14:textFill>
            <w14:solidFill>
              <w14:schemeClr w14:val="tx1"/>
            </w14:solidFill>
          </w14:textFill>
        </w:rPr>
        <w:t>月</w:t>
      </w:r>
      <w:r>
        <w:rPr>
          <w:rFonts w:hint="eastAsia" w:eastAsia="楷体"/>
          <w:color w:val="000000" w:themeColor="text1"/>
          <w:sz w:val="32"/>
          <w:szCs w:val="32"/>
          <w:lang w:val="en-US" w:eastAsia="zh-CN"/>
          <w14:textFill>
            <w14:solidFill>
              <w14:schemeClr w14:val="tx1"/>
            </w14:solidFill>
          </w14:textFill>
        </w:rPr>
        <w:t>12</w:t>
      </w:r>
      <w:r>
        <w:rPr>
          <w:rFonts w:hint="eastAsia" w:eastAsia="楷体"/>
          <w:color w:val="000000" w:themeColor="text1"/>
          <w:sz w:val="32"/>
          <w:szCs w:val="32"/>
          <w14:textFill>
            <w14:solidFill>
              <w14:schemeClr w14:val="tx1"/>
            </w14:solidFill>
          </w14:textFill>
        </w:rPr>
        <w:t>日</w:t>
      </w:r>
    </w:p>
    <w:p w14:paraId="26F1BB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color w:val="000000" w:themeColor="text1"/>
          <w:sz w:val="32"/>
          <w:szCs w:val="32"/>
          <w:lang w:val="en-US"/>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附件2  备案证明</w:t>
      </w:r>
    </w:p>
    <w:p w14:paraId="382E097B">
      <w:pPr>
        <w:ind w:left="0" w:leftChars="0" w:firstLine="0" w:firstLineChars="0"/>
      </w:pPr>
      <w:r>
        <w:drawing>
          <wp:inline distT="0" distB="0" distL="114300" distR="114300">
            <wp:extent cx="5815965" cy="8195945"/>
            <wp:effectExtent l="0" t="0" r="13335" b="1460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9"/>
                    <a:srcRect t="915" r="624"/>
                    <a:stretch>
                      <a:fillRect/>
                    </a:stretch>
                  </pic:blipFill>
                  <pic:spPr>
                    <a:xfrm>
                      <a:off x="0" y="0"/>
                      <a:ext cx="5815965" cy="8195945"/>
                    </a:xfrm>
                    <a:prstGeom prst="rect">
                      <a:avLst/>
                    </a:prstGeom>
                    <a:noFill/>
                    <a:ln>
                      <a:noFill/>
                    </a:ln>
                  </pic:spPr>
                </pic:pic>
              </a:graphicData>
            </a:graphic>
          </wp:inline>
        </w:drawing>
      </w:r>
    </w:p>
    <w:p w14:paraId="532FD100">
      <w:pPr>
        <w:ind w:left="0" w:leftChars="0" w:firstLine="0" w:firstLineChars="0"/>
        <w:sectPr>
          <w:pgSz w:w="11906" w:h="16838"/>
          <w:pgMar w:top="1440" w:right="1440" w:bottom="1440" w:left="1440" w:header="851" w:footer="992" w:gutter="0"/>
          <w:cols w:space="0" w:num="1"/>
          <w:rtlGutter w:val="0"/>
          <w:docGrid w:type="lines" w:linePitch="312" w:charSpace="0"/>
        </w:sectPr>
      </w:pPr>
    </w:p>
    <w:p w14:paraId="6A9B4E5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color w:val="000000" w:themeColor="text1"/>
          <w:sz w:val="32"/>
          <w:szCs w:val="32"/>
          <w:lang w:val="en-US"/>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附件3  入驻证明</w:t>
      </w:r>
    </w:p>
    <w:p w14:paraId="6F245663">
      <w:pPr>
        <w:ind w:left="0" w:leftChars="0" w:firstLine="0" w:firstLineChars="0"/>
        <w:rPr>
          <w:rFonts w:hint="eastAsia" w:eastAsia="宋体"/>
          <w:lang w:val="en-US" w:eastAsia="zh-CN"/>
        </w:rPr>
        <w:sectPr>
          <w:pgSz w:w="11906" w:h="16838"/>
          <w:pgMar w:top="1440" w:right="1440" w:bottom="1440" w:left="1440" w:header="851" w:footer="992" w:gutter="0"/>
          <w:cols w:space="0" w:num="1"/>
          <w:rtlGutter w:val="0"/>
          <w:docGrid w:type="lines" w:linePitch="312" w:charSpace="0"/>
        </w:sectPr>
      </w:pPr>
      <w:r>
        <w:rPr>
          <w:rFonts w:hint="eastAsia" w:eastAsia="宋体"/>
          <w:lang w:val="en-US" w:eastAsia="zh-CN"/>
        </w:rPr>
        <w:drawing>
          <wp:inline distT="0" distB="0" distL="114300" distR="114300">
            <wp:extent cx="5720715" cy="7895590"/>
            <wp:effectExtent l="0" t="0" r="13335" b="10160"/>
            <wp:docPr id="30" name="图片 30" descr="7e70c9f133760e8d24400658a6a06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e70c9f133760e8d24400658a6a06c8a"/>
                    <pic:cNvPicPr>
                      <a:picLocks noChangeAspect="1"/>
                    </pic:cNvPicPr>
                  </pic:nvPicPr>
                  <pic:blipFill>
                    <a:blip r:embed="rId40"/>
                    <a:stretch>
                      <a:fillRect/>
                    </a:stretch>
                  </pic:blipFill>
                  <pic:spPr>
                    <a:xfrm>
                      <a:off x="0" y="0"/>
                      <a:ext cx="5720715" cy="7895590"/>
                    </a:xfrm>
                    <a:prstGeom prst="rect">
                      <a:avLst/>
                    </a:prstGeom>
                  </pic:spPr>
                </pic:pic>
              </a:graphicData>
            </a:graphic>
          </wp:inline>
        </w:drawing>
      </w:r>
    </w:p>
    <w:p w14:paraId="4536EE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color w:val="000000" w:themeColor="text1"/>
          <w:sz w:val="32"/>
          <w:szCs w:val="32"/>
          <w:lang w:val="en-US"/>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附件4  原辅材料MSDS</w:t>
      </w: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42"/>
      </w:tblGrid>
      <w:tr w14:paraId="48B4E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1E5B73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vertAlign w:val="baseline"/>
                <w:lang w:val="en-US" w:eastAsia="zh-CN"/>
              </w:rPr>
            </w:pPr>
            <w:r>
              <w:drawing>
                <wp:inline distT="0" distB="0" distL="114300" distR="114300">
                  <wp:extent cx="5591175" cy="7896225"/>
                  <wp:effectExtent l="0" t="0" r="9525" b="9525"/>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41"/>
                          <a:stretch>
                            <a:fillRect/>
                          </a:stretch>
                        </pic:blipFill>
                        <pic:spPr>
                          <a:xfrm>
                            <a:off x="0" y="0"/>
                            <a:ext cx="5591175" cy="7896225"/>
                          </a:xfrm>
                          <a:prstGeom prst="rect">
                            <a:avLst/>
                          </a:prstGeom>
                          <a:noFill/>
                          <a:ln>
                            <a:noFill/>
                          </a:ln>
                        </pic:spPr>
                      </pic:pic>
                    </a:graphicData>
                  </a:graphic>
                </wp:inline>
              </w:drawing>
            </w:r>
          </w:p>
        </w:tc>
      </w:tr>
      <w:tr w14:paraId="26D18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79CFAC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vertAlign w:val="baseline"/>
                <w:lang w:val="en-US" w:eastAsia="zh-CN"/>
              </w:rPr>
            </w:pPr>
            <w:r>
              <w:drawing>
                <wp:inline distT="0" distB="0" distL="114300" distR="114300">
                  <wp:extent cx="5581650" cy="7924800"/>
                  <wp:effectExtent l="0" t="0" r="0" b="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pic:cNvPicPr>
                        </pic:nvPicPr>
                        <pic:blipFill>
                          <a:blip r:embed="rId42"/>
                          <a:stretch>
                            <a:fillRect/>
                          </a:stretch>
                        </pic:blipFill>
                        <pic:spPr>
                          <a:xfrm>
                            <a:off x="0" y="0"/>
                            <a:ext cx="5581650" cy="7924800"/>
                          </a:xfrm>
                          <a:prstGeom prst="rect">
                            <a:avLst/>
                          </a:prstGeom>
                          <a:noFill/>
                          <a:ln>
                            <a:noFill/>
                          </a:ln>
                        </pic:spPr>
                      </pic:pic>
                    </a:graphicData>
                  </a:graphic>
                </wp:inline>
              </w:drawing>
            </w:r>
          </w:p>
        </w:tc>
      </w:tr>
      <w:tr w14:paraId="1C0162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3BD5B3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vertAlign w:val="baseline"/>
                <w:lang w:val="en-US" w:eastAsia="zh-CN"/>
              </w:rPr>
            </w:pPr>
          </w:p>
        </w:tc>
      </w:tr>
      <w:tr w14:paraId="50FB6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6902A4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r>
      <w:tr w14:paraId="342A2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25A794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r>
      <w:tr w14:paraId="445B3A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5BC1EE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5562600" cy="7905750"/>
                  <wp:effectExtent l="0" t="0" r="0" b="0"/>
                  <wp:docPr id="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
                          <pic:cNvPicPr>
                            <a:picLocks noChangeAspect="1"/>
                          </pic:cNvPicPr>
                        </pic:nvPicPr>
                        <pic:blipFill>
                          <a:blip r:embed="rId43"/>
                          <a:stretch>
                            <a:fillRect/>
                          </a:stretch>
                        </pic:blipFill>
                        <pic:spPr>
                          <a:xfrm>
                            <a:off x="0" y="0"/>
                            <a:ext cx="5562600" cy="7905750"/>
                          </a:xfrm>
                          <a:prstGeom prst="rect">
                            <a:avLst/>
                          </a:prstGeom>
                          <a:noFill/>
                          <a:ln>
                            <a:noFill/>
                          </a:ln>
                        </pic:spPr>
                      </pic:pic>
                    </a:graphicData>
                  </a:graphic>
                </wp:inline>
              </w:drawing>
            </w:r>
            <w:r>
              <w:drawing>
                <wp:inline distT="0" distB="0" distL="114300" distR="114300">
                  <wp:extent cx="5572125" cy="7934325"/>
                  <wp:effectExtent l="0" t="0" r="9525" b="9525"/>
                  <wp:docPr id="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
                          <pic:cNvPicPr>
                            <a:picLocks noChangeAspect="1"/>
                          </pic:cNvPicPr>
                        </pic:nvPicPr>
                        <pic:blipFill>
                          <a:blip r:embed="rId44"/>
                          <a:stretch>
                            <a:fillRect/>
                          </a:stretch>
                        </pic:blipFill>
                        <pic:spPr>
                          <a:xfrm>
                            <a:off x="0" y="0"/>
                            <a:ext cx="5572125" cy="7934325"/>
                          </a:xfrm>
                          <a:prstGeom prst="rect">
                            <a:avLst/>
                          </a:prstGeom>
                          <a:noFill/>
                          <a:ln>
                            <a:noFill/>
                          </a:ln>
                        </pic:spPr>
                      </pic:pic>
                    </a:graphicData>
                  </a:graphic>
                </wp:inline>
              </w:drawing>
            </w:r>
            <w:r>
              <w:drawing>
                <wp:inline distT="0" distB="0" distL="114300" distR="114300">
                  <wp:extent cx="5600700" cy="7915275"/>
                  <wp:effectExtent l="0" t="0" r="0" b="9525"/>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45"/>
                          <a:stretch>
                            <a:fillRect/>
                          </a:stretch>
                        </pic:blipFill>
                        <pic:spPr>
                          <a:xfrm>
                            <a:off x="0" y="0"/>
                            <a:ext cx="5600700" cy="7915275"/>
                          </a:xfrm>
                          <a:prstGeom prst="rect">
                            <a:avLst/>
                          </a:prstGeom>
                          <a:noFill/>
                          <a:ln>
                            <a:noFill/>
                          </a:ln>
                        </pic:spPr>
                      </pic:pic>
                    </a:graphicData>
                  </a:graphic>
                </wp:inline>
              </w:drawing>
            </w:r>
            <w:r>
              <w:drawing>
                <wp:inline distT="0" distB="0" distL="114300" distR="114300">
                  <wp:extent cx="5591175" cy="7915275"/>
                  <wp:effectExtent l="0" t="0" r="9525" b="9525"/>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46"/>
                          <a:stretch>
                            <a:fillRect/>
                          </a:stretch>
                        </pic:blipFill>
                        <pic:spPr>
                          <a:xfrm>
                            <a:off x="0" y="0"/>
                            <a:ext cx="5591175" cy="7915275"/>
                          </a:xfrm>
                          <a:prstGeom prst="rect">
                            <a:avLst/>
                          </a:prstGeom>
                          <a:noFill/>
                          <a:ln>
                            <a:noFill/>
                          </a:ln>
                        </pic:spPr>
                      </pic:pic>
                    </a:graphicData>
                  </a:graphic>
                </wp:inline>
              </w:drawing>
            </w:r>
          </w:p>
        </w:tc>
      </w:tr>
      <w:tr w14:paraId="5560E6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5F21BA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6065520" cy="8541385"/>
                  <wp:effectExtent l="0" t="0" r="11430" b="1206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47"/>
                          <a:stretch>
                            <a:fillRect/>
                          </a:stretch>
                        </pic:blipFill>
                        <pic:spPr>
                          <a:xfrm>
                            <a:off x="0" y="0"/>
                            <a:ext cx="6065520" cy="8541385"/>
                          </a:xfrm>
                          <a:prstGeom prst="rect">
                            <a:avLst/>
                          </a:prstGeom>
                          <a:noFill/>
                          <a:ln>
                            <a:noFill/>
                          </a:ln>
                        </pic:spPr>
                      </pic:pic>
                    </a:graphicData>
                  </a:graphic>
                </wp:inline>
              </w:drawing>
            </w:r>
          </w:p>
        </w:tc>
      </w:tr>
      <w:tr w14:paraId="2FBE9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2738F9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6026785" cy="8509635"/>
                  <wp:effectExtent l="0" t="0" r="12065" b="57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48"/>
                          <a:stretch>
                            <a:fillRect/>
                          </a:stretch>
                        </pic:blipFill>
                        <pic:spPr>
                          <a:xfrm>
                            <a:off x="0" y="0"/>
                            <a:ext cx="6026785" cy="8509635"/>
                          </a:xfrm>
                          <a:prstGeom prst="rect">
                            <a:avLst/>
                          </a:prstGeom>
                          <a:noFill/>
                          <a:ln>
                            <a:noFill/>
                          </a:ln>
                        </pic:spPr>
                      </pic:pic>
                    </a:graphicData>
                  </a:graphic>
                </wp:inline>
              </w:drawing>
            </w:r>
          </w:p>
        </w:tc>
      </w:tr>
      <w:tr w14:paraId="73268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5921D6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5961380" cy="8413115"/>
                  <wp:effectExtent l="0" t="0" r="1270" b="698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49"/>
                          <a:stretch>
                            <a:fillRect/>
                          </a:stretch>
                        </pic:blipFill>
                        <pic:spPr>
                          <a:xfrm>
                            <a:off x="0" y="0"/>
                            <a:ext cx="5961380" cy="8413115"/>
                          </a:xfrm>
                          <a:prstGeom prst="rect">
                            <a:avLst/>
                          </a:prstGeom>
                          <a:noFill/>
                          <a:ln>
                            <a:noFill/>
                          </a:ln>
                        </pic:spPr>
                      </pic:pic>
                    </a:graphicData>
                  </a:graphic>
                </wp:inline>
              </w:drawing>
            </w:r>
          </w:p>
        </w:tc>
      </w:tr>
      <w:tr w14:paraId="44FF49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44263C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5963285" cy="8450580"/>
                  <wp:effectExtent l="0" t="0" r="18415" b="762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50"/>
                          <a:stretch>
                            <a:fillRect/>
                          </a:stretch>
                        </pic:blipFill>
                        <pic:spPr>
                          <a:xfrm>
                            <a:off x="0" y="0"/>
                            <a:ext cx="5963285" cy="8450580"/>
                          </a:xfrm>
                          <a:prstGeom prst="rect">
                            <a:avLst/>
                          </a:prstGeom>
                          <a:noFill/>
                          <a:ln>
                            <a:noFill/>
                          </a:ln>
                        </pic:spPr>
                      </pic:pic>
                    </a:graphicData>
                  </a:graphic>
                </wp:inline>
              </w:drawing>
            </w:r>
          </w:p>
        </w:tc>
      </w:tr>
      <w:tr w14:paraId="3B32A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773591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5984875" cy="8501380"/>
                  <wp:effectExtent l="0" t="0" r="15875" b="1397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51"/>
                          <a:stretch>
                            <a:fillRect/>
                          </a:stretch>
                        </pic:blipFill>
                        <pic:spPr>
                          <a:xfrm>
                            <a:off x="0" y="0"/>
                            <a:ext cx="5984875" cy="8501380"/>
                          </a:xfrm>
                          <a:prstGeom prst="rect">
                            <a:avLst/>
                          </a:prstGeom>
                          <a:noFill/>
                          <a:ln>
                            <a:noFill/>
                          </a:ln>
                        </pic:spPr>
                      </pic:pic>
                    </a:graphicData>
                  </a:graphic>
                </wp:inline>
              </w:drawing>
            </w:r>
          </w:p>
        </w:tc>
      </w:tr>
      <w:tr w14:paraId="4807D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2BD3FB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rPr>
                <w:highlight w:val="none"/>
              </w:rPr>
              <w:drawing>
                <wp:inline distT="0" distB="0" distL="114300" distR="114300">
                  <wp:extent cx="5827395" cy="7696200"/>
                  <wp:effectExtent l="0" t="0" r="1905"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52"/>
                          <a:stretch>
                            <a:fillRect/>
                          </a:stretch>
                        </pic:blipFill>
                        <pic:spPr>
                          <a:xfrm>
                            <a:off x="0" y="0"/>
                            <a:ext cx="5827395" cy="7696200"/>
                          </a:xfrm>
                          <a:prstGeom prst="rect">
                            <a:avLst/>
                          </a:prstGeom>
                          <a:noFill/>
                          <a:ln>
                            <a:noFill/>
                          </a:ln>
                        </pic:spPr>
                      </pic:pic>
                    </a:graphicData>
                  </a:graphic>
                </wp:inline>
              </w:drawing>
            </w:r>
          </w:p>
        </w:tc>
      </w:tr>
      <w:tr w14:paraId="2B401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0F6BAD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highlight w:val="none"/>
              </w:rPr>
              <w:drawing>
                <wp:inline distT="0" distB="0" distL="114300" distR="114300">
                  <wp:extent cx="5698490" cy="7678420"/>
                  <wp:effectExtent l="0" t="0" r="16510" b="1778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53"/>
                          <a:stretch>
                            <a:fillRect/>
                          </a:stretch>
                        </pic:blipFill>
                        <pic:spPr>
                          <a:xfrm>
                            <a:off x="0" y="0"/>
                            <a:ext cx="5698490" cy="7678420"/>
                          </a:xfrm>
                          <a:prstGeom prst="rect">
                            <a:avLst/>
                          </a:prstGeom>
                          <a:noFill/>
                          <a:ln>
                            <a:noFill/>
                          </a:ln>
                        </pic:spPr>
                      </pic:pic>
                    </a:graphicData>
                  </a:graphic>
                </wp:inline>
              </w:drawing>
            </w:r>
          </w:p>
        </w:tc>
      </w:tr>
      <w:tr w14:paraId="70366D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1015A3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highlight w:val="none"/>
              </w:rPr>
              <w:drawing>
                <wp:inline distT="0" distB="0" distL="114300" distR="114300">
                  <wp:extent cx="5850255" cy="8205470"/>
                  <wp:effectExtent l="0" t="0" r="17145" b="508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54"/>
                          <a:stretch>
                            <a:fillRect/>
                          </a:stretch>
                        </pic:blipFill>
                        <pic:spPr>
                          <a:xfrm>
                            <a:off x="0" y="0"/>
                            <a:ext cx="5850255" cy="8205470"/>
                          </a:xfrm>
                          <a:prstGeom prst="rect">
                            <a:avLst/>
                          </a:prstGeom>
                          <a:noFill/>
                          <a:ln>
                            <a:noFill/>
                          </a:ln>
                        </pic:spPr>
                      </pic:pic>
                    </a:graphicData>
                  </a:graphic>
                </wp:inline>
              </w:drawing>
            </w:r>
          </w:p>
        </w:tc>
      </w:tr>
      <w:tr w14:paraId="543EE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3B3843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highlight w:val="none"/>
              </w:rPr>
              <w:drawing>
                <wp:inline distT="0" distB="0" distL="114300" distR="114300">
                  <wp:extent cx="5843905" cy="8138795"/>
                  <wp:effectExtent l="0" t="0" r="4445" b="1460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55"/>
                          <a:stretch>
                            <a:fillRect/>
                          </a:stretch>
                        </pic:blipFill>
                        <pic:spPr>
                          <a:xfrm>
                            <a:off x="0" y="0"/>
                            <a:ext cx="5843905" cy="8138795"/>
                          </a:xfrm>
                          <a:prstGeom prst="rect">
                            <a:avLst/>
                          </a:prstGeom>
                          <a:noFill/>
                          <a:ln>
                            <a:noFill/>
                          </a:ln>
                        </pic:spPr>
                      </pic:pic>
                    </a:graphicData>
                  </a:graphic>
                </wp:inline>
              </w:drawing>
            </w:r>
          </w:p>
        </w:tc>
      </w:tr>
      <w:tr w14:paraId="75618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1AC7B2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highlight w:val="none"/>
              </w:rPr>
              <w:drawing>
                <wp:inline distT="0" distB="0" distL="114300" distR="114300">
                  <wp:extent cx="5864225" cy="8089265"/>
                  <wp:effectExtent l="0" t="0" r="3175" b="698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56"/>
                          <a:stretch>
                            <a:fillRect/>
                          </a:stretch>
                        </pic:blipFill>
                        <pic:spPr>
                          <a:xfrm>
                            <a:off x="0" y="0"/>
                            <a:ext cx="5864225" cy="8089265"/>
                          </a:xfrm>
                          <a:prstGeom prst="rect">
                            <a:avLst/>
                          </a:prstGeom>
                          <a:noFill/>
                          <a:ln>
                            <a:noFill/>
                          </a:ln>
                        </pic:spPr>
                      </pic:pic>
                    </a:graphicData>
                  </a:graphic>
                </wp:inline>
              </w:drawing>
            </w:r>
          </w:p>
        </w:tc>
      </w:tr>
    </w:tbl>
    <w:p w14:paraId="4E1C56DB">
      <w:pPr>
        <w:ind w:left="0" w:leftChars="0" w:firstLine="0" w:firstLineChars="0"/>
        <w:rPr>
          <w:rFonts w:hint="eastAsia" w:eastAsia="宋体"/>
          <w:lang w:val="en-US" w:eastAsia="zh-CN"/>
        </w:rPr>
      </w:pPr>
    </w:p>
    <w:p w14:paraId="12464407">
      <w:pPr>
        <w:ind w:left="0" w:leftChars="0" w:firstLine="0" w:firstLineChars="0"/>
        <w:rPr>
          <w:rFonts w:hint="eastAsia" w:eastAsia="宋体"/>
          <w:lang w:val="en-US" w:eastAsia="zh-CN"/>
        </w:rPr>
        <w:sectPr>
          <w:pgSz w:w="11906" w:h="16838"/>
          <w:pgMar w:top="1440" w:right="1440" w:bottom="1440" w:left="1440" w:header="851" w:footer="992" w:gutter="0"/>
          <w:cols w:space="0" w:num="1"/>
          <w:rtlGutter w:val="0"/>
          <w:docGrid w:type="lines" w:linePitch="312" w:charSpace="0"/>
        </w:sectPr>
      </w:pPr>
    </w:p>
    <w:p w14:paraId="424CFF43">
      <w:pPr>
        <w:ind w:left="0" w:leftChars="0" w:firstLine="0" w:firstLineChars="0"/>
        <w:rPr>
          <w:rFonts w:hint="eastAsia"/>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附件5  租赁协议</w:t>
      </w:r>
    </w:p>
    <w:p w14:paraId="61841B3A">
      <w:pPr>
        <w:ind w:left="0" w:leftChars="0" w:firstLine="0" w:firstLineChars="0"/>
        <w:rPr>
          <w:rFonts w:hint="eastAsia"/>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drawing>
          <wp:inline distT="0" distB="0" distL="114300" distR="114300">
            <wp:extent cx="5725795" cy="8098155"/>
            <wp:effectExtent l="0" t="0" r="8255" b="17145"/>
            <wp:docPr id="120" name="图片 120" descr="60604292576012229042d1a776c79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60604292576012229042d1a776c79e29"/>
                    <pic:cNvPicPr>
                      <a:picLocks noChangeAspect="1"/>
                    </pic:cNvPicPr>
                  </pic:nvPicPr>
                  <pic:blipFill>
                    <a:blip r:embed="rId57"/>
                    <a:stretch>
                      <a:fillRect/>
                    </a:stretch>
                  </pic:blipFill>
                  <pic:spPr>
                    <a:xfrm>
                      <a:off x="0" y="0"/>
                      <a:ext cx="5725795" cy="8098155"/>
                    </a:xfrm>
                    <a:prstGeom prst="rect">
                      <a:avLst/>
                    </a:prstGeom>
                  </pic:spPr>
                </pic:pic>
              </a:graphicData>
            </a:graphic>
          </wp:inline>
        </w:drawing>
      </w:r>
    </w:p>
    <w:p w14:paraId="0340C3EF">
      <w:pPr>
        <w:ind w:left="0" w:leftChars="0" w:firstLine="0" w:firstLineChars="0"/>
        <w:rPr>
          <w:rFonts w:hint="eastAsia"/>
          <w:color w:val="000000" w:themeColor="text1"/>
          <w:sz w:val="32"/>
          <w:szCs w:val="32"/>
          <w:lang w:val="en-US" w:eastAsia="zh-CN"/>
          <w14:textFill>
            <w14:solidFill>
              <w14:schemeClr w14:val="tx1"/>
            </w14:solidFill>
          </w14:textFill>
        </w:rPr>
        <w:sectPr>
          <w:pgSz w:w="11906" w:h="16838"/>
          <w:pgMar w:top="1440" w:right="1440" w:bottom="1440" w:left="1440" w:header="851" w:footer="992" w:gutter="0"/>
          <w:cols w:space="0" w:num="1"/>
          <w:rtlGutter w:val="0"/>
          <w:docGrid w:type="lines" w:linePitch="312" w:charSpace="0"/>
        </w:sectPr>
      </w:pPr>
      <w:r>
        <w:rPr>
          <w:rFonts w:hint="eastAsia"/>
          <w:color w:val="000000" w:themeColor="text1"/>
          <w:sz w:val="32"/>
          <w:szCs w:val="32"/>
          <w:lang w:val="en-US" w:eastAsia="zh-CN"/>
          <w14:textFill>
            <w14:solidFill>
              <w14:schemeClr w14:val="tx1"/>
            </w14:solidFill>
          </w14:textFill>
        </w:rPr>
        <w:drawing>
          <wp:inline distT="0" distB="0" distL="114300" distR="114300">
            <wp:extent cx="5725795" cy="8107680"/>
            <wp:effectExtent l="0" t="0" r="8255" b="7620"/>
            <wp:docPr id="121" name="图片 121" descr="5b75fedc955bf641be3ed19e1a6ea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5b75fedc955bf641be3ed19e1a6ea356"/>
                    <pic:cNvPicPr>
                      <a:picLocks noChangeAspect="1"/>
                    </pic:cNvPicPr>
                  </pic:nvPicPr>
                  <pic:blipFill>
                    <a:blip r:embed="rId58"/>
                    <a:stretch>
                      <a:fillRect/>
                    </a:stretch>
                  </pic:blipFill>
                  <pic:spPr>
                    <a:xfrm>
                      <a:off x="0" y="0"/>
                      <a:ext cx="5725795" cy="8107680"/>
                    </a:xfrm>
                    <a:prstGeom prst="rect">
                      <a:avLst/>
                    </a:prstGeom>
                  </pic:spPr>
                </pic:pic>
              </a:graphicData>
            </a:graphic>
          </wp:inline>
        </w:drawing>
      </w:r>
      <w:r>
        <w:rPr>
          <w:rFonts w:hint="eastAsia"/>
          <w:color w:val="000000" w:themeColor="text1"/>
          <w:sz w:val="32"/>
          <w:szCs w:val="32"/>
          <w:lang w:val="en-US" w:eastAsia="zh-CN"/>
          <w14:textFill>
            <w14:solidFill>
              <w14:schemeClr w14:val="tx1"/>
            </w14:solidFill>
          </w14:textFill>
        </w:rPr>
        <w:drawing>
          <wp:inline distT="0" distB="0" distL="114300" distR="114300">
            <wp:extent cx="5725795" cy="8112125"/>
            <wp:effectExtent l="0" t="0" r="8255" b="3175"/>
            <wp:docPr id="122" name="图片 122" descr="055120035bc16c02ede3ba06b4f6d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055120035bc16c02ede3ba06b4f6dba9"/>
                    <pic:cNvPicPr>
                      <a:picLocks noChangeAspect="1"/>
                    </pic:cNvPicPr>
                  </pic:nvPicPr>
                  <pic:blipFill>
                    <a:blip r:embed="rId59"/>
                    <a:stretch>
                      <a:fillRect/>
                    </a:stretch>
                  </pic:blipFill>
                  <pic:spPr>
                    <a:xfrm>
                      <a:off x="0" y="0"/>
                      <a:ext cx="5725795" cy="8112125"/>
                    </a:xfrm>
                    <a:prstGeom prst="rect">
                      <a:avLst/>
                    </a:prstGeom>
                  </pic:spPr>
                </pic:pic>
              </a:graphicData>
            </a:graphic>
          </wp:inline>
        </w:drawing>
      </w:r>
    </w:p>
    <w:p w14:paraId="023E3F2F">
      <w:pPr>
        <w:ind w:left="0" w:leftChars="0" w:firstLine="0" w:firstLineChars="0"/>
        <w:rPr>
          <w:rFonts w:hint="eastAsia"/>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附件6  营业执照</w:t>
      </w:r>
    </w:p>
    <w:p w14:paraId="08BAC77A">
      <w:pPr>
        <w:ind w:left="0" w:leftChars="0" w:firstLine="0" w:firstLineChars="0"/>
        <w:rPr>
          <w:rFonts w:hint="default"/>
          <w:lang w:val="en-US" w:eastAsia="zh-CN"/>
        </w:rPr>
        <w:sectPr>
          <w:pgSz w:w="16838" w:h="11906" w:orient="landscape"/>
          <w:pgMar w:top="1440" w:right="1440" w:bottom="1440" w:left="1440" w:header="851" w:footer="992" w:gutter="0"/>
          <w:cols w:space="0" w:num="1"/>
          <w:rtlGutter w:val="0"/>
          <w:docGrid w:type="lines" w:linePitch="312" w:charSpace="0"/>
        </w:sectPr>
      </w:pPr>
      <w:r>
        <w:rPr>
          <w:rFonts w:hint="default"/>
          <w:lang w:val="en-US" w:eastAsia="zh-CN"/>
        </w:rPr>
        <w:drawing>
          <wp:inline distT="0" distB="0" distL="114300" distR="114300">
            <wp:extent cx="8459470" cy="5304790"/>
            <wp:effectExtent l="0" t="0" r="17780" b="10160"/>
            <wp:docPr id="7" name="图片 7"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营业执照"/>
                    <pic:cNvPicPr>
                      <a:picLocks noChangeAspect="1"/>
                    </pic:cNvPicPr>
                  </pic:nvPicPr>
                  <pic:blipFill>
                    <a:blip r:embed="rId60"/>
                    <a:stretch>
                      <a:fillRect/>
                    </a:stretch>
                  </pic:blipFill>
                  <pic:spPr>
                    <a:xfrm>
                      <a:off x="0" y="0"/>
                      <a:ext cx="8459470" cy="5304790"/>
                    </a:xfrm>
                    <a:prstGeom prst="rect">
                      <a:avLst/>
                    </a:prstGeom>
                  </pic:spPr>
                </pic:pic>
              </a:graphicData>
            </a:graphic>
          </wp:inline>
        </w:drawing>
      </w:r>
    </w:p>
    <w:p w14:paraId="0516C922">
      <w:pPr>
        <w:ind w:left="0" w:leftChars="0" w:firstLine="0" w:firstLineChars="0"/>
        <w:rPr>
          <w:rFonts w:hint="default"/>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附件7  法人身份证</w:t>
      </w: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42"/>
      </w:tblGrid>
      <w:tr w14:paraId="78BD6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0DF599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p>
          <w:p w14:paraId="52533F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default"/>
                <w:lang w:val="en-US" w:eastAsia="zh-CN"/>
              </w:rPr>
              <w:drawing>
                <wp:inline distT="0" distB="0" distL="114300" distR="114300">
                  <wp:extent cx="4257675" cy="2693670"/>
                  <wp:effectExtent l="0" t="0" r="9525" b="11430"/>
                  <wp:docPr id="8" name="图片 8" descr="407a9e92acb81c710aac3592095ae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07a9e92acb81c710aac3592095ae384"/>
                          <pic:cNvPicPr>
                            <a:picLocks noChangeAspect="1"/>
                          </pic:cNvPicPr>
                        </pic:nvPicPr>
                        <pic:blipFill>
                          <a:blip r:embed="rId61"/>
                          <a:stretch>
                            <a:fillRect/>
                          </a:stretch>
                        </pic:blipFill>
                        <pic:spPr>
                          <a:xfrm>
                            <a:off x="0" y="0"/>
                            <a:ext cx="4257675" cy="2693670"/>
                          </a:xfrm>
                          <a:prstGeom prst="rect">
                            <a:avLst/>
                          </a:prstGeom>
                        </pic:spPr>
                      </pic:pic>
                    </a:graphicData>
                  </a:graphic>
                </wp:inline>
              </w:drawing>
            </w:r>
          </w:p>
          <w:p w14:paraId="022DDE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p>
        </w:tc>
      </w:tr>
      <w:tr w14:paraId="739A3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21B35B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val="en-US" w:eastAsia="zh-CN"/>
              </w:rPr>
            </w:pPr>
          </w:p>
          <w:p w14:paraId="21929B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rPr>
                <w:rFonts w:hint="default"/>
                <w:lang w:val="en-US" w:eastAsia="zh-CN"/>
              </w:rPr>
              <w:drawing>
                <wp:inline distT="0" distB="0" distL="114300" distR="114300">
                  <wp:extent cx="4174490" cy="2693035"/>
                  <wp:effectExtent l="0" t="0" r="16510" b="12065"/>
                  <wp:docPr id="9" name="图片 9" descr="c9d02ceb409d1bc8527ece5e830f9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9d02ceb409d1bc8527ece5e830f9e1b"/>
                          <pic:cNvPicPr>
                            <a:picLocks noChangeAspect="1"/>
                          </pic:cNvPicPr>
                        </pic:nvPicPr>
                        <pic:blipFill>
                          <a:blip r:embed="rId62"/>
                          <a:stretch>
                            <a:fillRect/>
                          </a:stretch>
                        </pic:blipFill>
                        <pic:spPr>
                          <a:xfrm>
                            <a:off x="0" y="0"/>
                            <a:ext cx="4174490" cy="2693035"/>
                          </a:xfrm>
                          <a:prstGeom prst="rect">
                            <a:avLst/>
                          </a:prstGeom>
                        </pic:spPr>
                      </pic:pic>
                    </a:graphicData>
                  </a:graphic>
                </wp:inline>
              </w:drawing>
            </w:r>
          </w:p>
        </w:tc>
      </w:tr>
    </w:tbl>
    <w:p w14:paraId="3B4D55CF">
      <w:pPr>
        <w:ind w:left="0" w:leftChars="0" w:firstLine="0" w:firstLineChars="0"/>
        <w:rPr>
          <w:rFonts w:hint="default"/>
          <w:lang w:val="en-US" w:eastAsia="zh-CN"/>
        </w:rPr>
        <w:sectPr>
          <w:pgSz w:w="11906" w:h="16838"/>
          <w:pgMar w:top="1440" w:right="1440" w:bottom="1440" w:left="1440" w:header="851" w:footer="992" w:gutter="0"/>
          <w:cols w:space="0" w:num="1"/>
          <w:rtlGutter w:val="0"/>
          <w:docGrid w:type="lines" w:linePitch="312" w:charSpace="0"/>
        </w:sectPr>
      </w:pPr>
    </w:p>
    <w:p w14:paraId="4C30DDF1">
      <w:pPr>
        <w:ind w:left="0" w:leftChars="0" w:firstLine="0" w:firstLineChars="0"/>
        <w:rPr>
          <w:rFonts w:hint="default"/>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附件8  河南省三线一单项目智能研判分析报告</w:t>
      </w:r>
    </w:p>
    <w:tbl>
      <w:tblPr>
        <w:tblStyle w:val="2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42"/>
      </w:tblGrid>
      <w:tr w14:paraId="2A280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3C34F6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33415" cy="8128635"/>
                  <wp:effectExtent l="0" t="0" r="635" b="571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63"/>
                          <a:stretch>
                            <a:fillRect/>
                          </a:stretch>
                        </pic:blipFill>
                        <pic:spPr>
                          <a:xfrm>
                            <a:off x="0" y="0"/>
                            <a:ext cx="5733415" cy="8128635"/>
                          </a:xfrm>
                          <a:prstGeom prst="rect">
                            <a:avLst/>
                          </a:prstGeom>
                          <a:noFill/>
                          <a:ln>
                            <a:noFill/>
                          </a:ln>
                        </pic:spPr>
                      </pic:pic>
                    </a:graphicData>
                  </a:graphic>
                </wp:inline>
              </w:drawing>
            </w:r>
          </w:p>
        </w:tc>
      </w:tr>
      <w:tr w14:paraId="5DB0D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069D4C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808980" cy="8211820"/>
                  <wp:effectExtent l="0" t="0" r="1270" b="17780"/>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64"/>
                          <a:stretch>
                            <a:fillRect/>
                          </a:stretch>
                        </pic:blipFill>
                        <pic:spPr>
                          <a:xfrm>
                            <a:off x="0" y="0"/>
                            <a:ext cx="5808980" cy="8211820"/>
                          </a:xfrm>
                          <a:prstGeom prst="rect">
                            <a:avLst/>
                          </a:prstGeom>
                          <a:noFill/>
                          <a:ln>
                            <a:noFill/>
                          </a:ln>
                        </pic:spPr>
                      </pic:pic>
                    </a:graphicData>
                  </a:graphic>
                </wp:inline>
              </w:drawing>
            </w:r>
          </w:p>
        </w:tc>
      </w:tr>
      <w:tr w14:paraId="0FD86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0214E8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10555" cy="8084185"/>
                  <wp:effectExtent l="0" t="0" r="4445" b="1206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65"/>
                          <a:stretch>
                            <a:fillRect/>
                          </a:stretch>
                        </pic:blipFill>
                        <pic:spPr>
                          <a:xfrm>
                            <a:off x="0" y="0"/>
                            <a:ext cx="5710555" cy="8084185"/>
                          </a:xfrm>
                          <a:prstGeom prst="rect">
                            <a:avLst/>
                          </a:prstGeom>
                          <a:noFill/>
                          <a:ln>
                            <a:noFill/>
                          </a:ln>
                        </pic:spPr>
                      </pic:pic>
                    </a:graphicData>
                  </a:graphic>
                </wp:inline>
              </w:drawing>
            </w:r>
          </w:p>
        </w:tc>
      </w:tr>
      <w:tr w14:paraId="6A203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46CC51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90565" cy="8157210"/>
                  <wp:effectExtent l="0" t="0" r="635" b="1524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66"/>
                          <a:stretch>
                            <a:fillRect/>
                          </a:stretch>
                        </pic:blipFill>
                        <pic:spPr>
                          <a:xfrm>
                            <a:off x="0" y="0"/>
                            <a:ext cx="5790565" cy="8157210"/>
                          </a:xfrm>
                          <a:prstGeom prst="rect">
                            <a:avLst/>
                          </a:prstGeom>
                          <a:noFill/>
                          <a:ln>
                            <a:noFill/>
                          </a:ln>
                        </pic:spPr>
                      </pic:pic>
                    </a:graphicData>
                  </a:graphic>
                </wp:inline>
              </w:drawing>
            </w:r>
          </w:p>
        </w:tc>
      </w:tr>
      <w:tr w14:paraId="3F0D7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666975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90565" cy="8143240"/>
                  <wp:effectExtent l="0" t="0" r="635" b="1016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67"/>
                          <a:stretch>
                            <a:fillRect/>
                          </a:stretch>
                        </pic:blipFill>
                        <pic:spPr>
                          <a:xfrm>
                            <a:off x="0" y="0"/>
                            <a:ext cx="5790565" cy="8143240"/>
                          </a:xfrm>
                          <a:prstGeom prst="rect">
                            <a:avLst/>
                          </a:prstGeom>
                          <a:noFill/>
                          <a:ln>
                            <a:noFill/>
                          </a:ln>
                        </pic:spPr>
                      </pic:pic>
                    </a:graphicData>
                  </a:graphic>
                </wp:inline>
              </w:drawing>
            </w:r>
          </w:p>
        </w:tc>
      </w:tr>
      <w:tr w14:paraId="7BF0B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25FBBE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61355" cy="8162290"/>
                  <wp:effectExtent l="0" t="0" r="10795" b="1016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68"/>
                          <a:stretch>
                            <a:fillRect/>
                          </a:stretch>
                        </pic:blipFill>
                        <pic:spPr>
                          <a:xfrm>
                            <a:off x="0" y="0"/>
                            <a:ext cx="5761355" cy="8162290"/>
                          </a:xfrm>
                          <a:prstGeom prst="rect">
                            <a:avLst/>
                          </a:prstGeom>
                          <a:noFill/>
                          <a:ln>
                            <a:noFill/>
                          </a:ln>
                        </pic:spPr>
                      </pic:pic>
                    </a:graphicData>
                  </a:graphic>
                </wp:inline>
              </w:drawing>
            </w:r>
          </w:p>
        </w:tc>
      </w:tr>
      <w:tr w14:paraId="3734C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23F6A4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15000" cy="8054975"/>
                  <wp:effectExtent l="0" t="0" r="0" b="3175"/>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69"/>
                          <a:stretch>
                            <a:fillRect/>
                          </a:stretch>
                        </pic:blipFill>
                        <pic:spPr>
                          <a:xfrm>
                            <a:off x="0" y="0"/>
                            <a:ext cx="5715000" cy="8054975"/>
                          </a:xfrm>
                          <a:prstGeom prst="rect">
                            <a:avLst/>
                          </a:prstGeom>
                          <a:noFill/>
                          <a:ln>
                            <a:noFill/>
                          </a:ln>
                        </pic:spPr>
                      </pic:pic>
                    </a:graphicData>
                  </a:graphic>
                </wp:inline>
              </w:drawing>
            </w:r>
          </w:p>
        </w:tc>
      </w:tr>
      <w:tr w14:paraId="26E82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105B31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32780" cy="8075295"/>
                  <wp:effectExtent l="0" t="0" r="1270" b="1905"/>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70"/>
                          <a:stretch>
                            <a:fillRect/>
                          </a:stretch>
                        </pic:blipFill>
                        <pic:spPr>
                          <a:xfrm>
                            <a:off x="0" y="0"/>
                            <a:ext cx="5732780" cy="8075295"/>
                          </a:xfrm>
                          <a:prstGeom prst="rect">
                            <a:avLst/>
                          </a:prstGeom>
                          <a:noFill/>
                          <a:ln>
                            <a:noFill/>
                          </a:ln>
                        </pic:spPr>
                      </pic:pic>
                    </a:graphicData>
                  </a:graphic>
                </wp:inline>
              </w:drawing>
            </w:r>
          </w:p>
        </w:tc>
      </w:tr>
      <w:tr w14:paraId="3C23D5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23FBF3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90565" cy="8209915"/>
                  <wp:effectExtent l="0" t="0" r="635" b="63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71"/>
                          <a:stretch>
                            <a:fillRect/>
                          </a:stretch>
                        </pic:blipFill>
                        <pic:spPr>
                          <a:xfrm>
                            <a:off x="0" y="0"/>
                            <a:ext cx="5790565" cy="8209915"/>
                          </a:xfrm>
                          <a:prstGeom prst="rect">
                            <a:avLst/>
                          </a:prstGeom>
                          <a:noFill/>
                          <a:ln>
                            <a:noFill/>
                          </a:ln>
                        </pic:spPr>
                      </pic:pic>
                    </a:graphicData>
                  </a:graphic>
                </wp:inline>
              </w:drawing>
            </w:r>
          </w:p>
        </w:tc>
      </w:tr>
      <w:tr w14:paraId="37C153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42" w:type="dxa"/>
            <w:vAlign w:val="center"/>
          </w:tcPr>
          <w:p w14:paraId="46712C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51195" cy="8086090"/>
                  <wp:effectExtent l="0" t="0" r="1905" b="1016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72"/>
                          <a:stretch>
                            <a:fillRect/>
                          </a:stretch>
                        </pic:blipFill>
                        <pic:spPr>
                          <a:xfrm>
                            <a:off x="0" y="0"/>
                            <a:ext cx="5751195" cy="8086090"/>
                          </a:xfrm>
                          <a:prstGeom prst="rect">
                            <a:avLst/>
                          </a:prstGeom>
                          <a:noFill/>
                          <a:ln>
                            <a:noFill/>
                          </a:ln>
                        </pic:spPr>
                      </pic:pic>
                    </a:graphicData>
                  </a:graphic>
                </wp:inline>
              </w:drawing>
            </w:r>
          </w:p>
        </w:tc>
      </w:tr>
      <w:tr w14:paraId="5503D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42" w:type="dxa"/>
            <w:vAlign w:val="center"/>
          </w:tcPr>
          <w:p w14:paraId="7F1059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vertAlign w:val="baseline"/>
                <w:lang w:val="en-US" w:eastAsia="zh-CN"/>
              </w:rPr>
            </w:pPr>
            <w:r>
              <w:drawing>
                <wp:inline distT="0" distB="0" distL="114300" distR="114300">
                  <wp:extent cx="5751830" cy="8101965"/>
                  <wp:effectExtent l="0" t="0" r="1270" b="1333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73"/>
                          <a:stretch>
                            <a:fillRect/>
                          </a:stretch>
                        </pic:blipFill>
                        <pic:spPr>
                          <a:xfrm>
                            <a:off x="0" y="0"/>
                            <a:ext cx="5751830" cy="8101965"/>
                          </a:xfrm>
                          <a:prstGeom prst="rect">
                            <a:avLst/>
                          </a:prstGeom>
                          <a:noFill/>
                          <a:ln>
                            <a:noFill/>
                          </a:ln>
                        </pic:spPr>
                      </pic:pic>
                    </a:graphicData>
                  </a:graphic>
                </wp:inline>
              </w:drawing>
            </w:r>
          </w:p>
        </w:tc>
      </w:tr>
    </w:tbl>
    <w:p w14:paraId="577ABE73">
      <w:pPr>
        <w:ind w:left="0" w:leftChars="0" w:firstLine="0" w:firstLineChars="0"/>
        <w:rPr>
          <w:rFonts w:hint="default"/>
          <w:lang w:val="en-US" w:eastAsia="zh-CN"/>
        </w:rPr>
      </w:pPr>
    </w:p>
    <w:sectPr>
      <w:pgSz w:w="11906" w:h="16838"/>
      <w:pgMar w:top="1440" w:right="1440" w:bottom="1440" w:left="1440" w:header="851" w:footer="992" w:gutter="0"/>
      <w:cols w:space="0" w:num="1"/>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AECA8E18-AB8E-49A3-9D50-978E4C081267}"/>
  </w:font>
  <w:font w:name="黑体">
    <w:panose1 w:val="02010609060101010101"/>
    <w:charset w:val="86"/>
    <w:family w:val="auto"/>
    <w:pitch w:val="default"/>
    <w:sig w:usb0="800002BF" w:usb1="38CF7CFA" w:usb2="00000016" w:usb3="00000000" w:csb0="00040001" w:csb1="00000000"/>
    <w:embedRegular r:id="rId2" w:fontKey="{86C16E8B-8D82-43CC-A2FF-60773E937DE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627918E4-7C5A-42BE-9B56-2FB4173EF572}"/>
  </w:font>
  <w:font w:name="Tahoma">
    <w:panose1 w:val="020B0604030504040204"/>
    <w:charset w:val="00"/>
    <w:family w:val="swiss"/>
    <w:pitch w:val="default"/>
    <w:sig w:usb0="E1002EFF" w:usb1="C000605B" w:usb2="00000029" w:usb3="00000000" w:csb0="200101FF" w:csb1="20280000"/>
    <w:embedRegular r:id="rId4" w:fontKey="{80846B85-E9F2-4F9B-8290-BB811EC3F41B}"/>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Impact">
    <w:panose1 w:val="020B0806030902050204"/>
    <w:charset w:val="00"/>
    <w:family w:val="swiss"/>
    <w:pitch w:val="default"/>
    <w:sig w:usb0="00000287" w:usb1="00000000" w:usb2="00000000" w:usb3="00000000" w:csb0="2000009F" w:csb1="DFD7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5" w:fontKey="{75B5F4CA-B63E-4850-9190-AC14DD3ABB94}"/>
  </w:font>
  <w:font w:name="MingLiU">
    <w:altName w:val="PMingLiU-ExtB"/>
    <w:panose1 w:val="02010609000101010101"/>
    <w:charset w:val="88"/>
    <w:family w:val="modern"/>
    <w:pitch w:val="default"/>
    <w:sig w:usb0="00000000" w:usb1="00000000" w:usb2="00000010" w:usb3="00000000" w:csb0="00100000" w:csb1="00000000"/>
  </w:font>
  <w:font w:name="方正小标宋_GBK">
    <w:panose1 w:val="02000000000000000000"/>
    <w:charset w:val="86"/>
    <w:family w:val="script"/>
    <w:pitch w:val="default"/>
    <w:sig w:usb0="A00002BF" w:usb1="38CF7CFA" w:usb2="00082016" w:usb3="00000000" w:csb0="00040001" w:csb1="00000000"/>
    <w:embedRegular r:id="rId6" w:fontKey="{9D981BF5-7781-4716-BA81-60C8C09981BD}"/>
  </w:font>
  <w:font w:name="楷体_GB2312">
    <w:altName w:val="楷体"/>
    <w:panose1 w:val="02010609030101010101"/>
    <w:charset w:val="86"/>
    <w:family w:val="modern"/>
    <w:pitch w:val="default"/>
    <w:sig w:usb0="00000000" w:usb1="00000000" w:usb2="00000000" w:usb3="00000000" w:csb0="00040000" w:csb1="00000000"/>
    <w:embedRegular r:id="rId7" w:fontKey="{65D0E8AB-AEEE-496C-A382-76567E4B347C}"/>
  </w:font>
  <w:font w:name="楷体">
    <w:panose1 w:val="02010609060101010101"/>
    <w:charset w:val="86"/>
    <w:family w:val="auto"/>
    <w:pitch w:val="default"/>
    <w:sig w:usb0="800002BF" w:usb1="38CF7CFA" w:usb2="00000016" w:usb3="00000000" w:csb0="00040001" w:csb1="00000000"/>
    <w:embedRegular r:id="rId8" w:fontKey="{9CDDA1AD-5580-4FA9-85EE-4E6E4C9C1DC2}"/>
  </w:font>
  <w:font w:name="Wingdings 2">
    <w:panose1 w:val="05020102010507070707"/>
    <w:charset w:val="02"/>
    <w:family w:val="roman"/>
    <w:pitch w:val="default"/>
    <w:sig w:usb0="00000000" w:usb1="00000000" w:usb2="00000000" w:usb3="00000000" w:csb0="80000000" w:csb1="00000000"/>
    <w:embedRegular r:id="rId9" w:fontKey="{EBB9AB1D-0237-4282-A1AF-8E8C568026BC}"/>
  </w:font>
  <w:font w:name="Cambria Math">
    <w:panose1 w:val="02040503050406030204"/>
    <w:charset w:val="00"/>
    <w:family w:val="roman"/>
    <w:pitch w:val="default"/>
    <w:sig w:usb0="E00006FF" w:usb1="420024FF" w:usb2="02000000" w:usb3="00000000" w:csb0="2000019F" w:csb1="00000000"/>
    <w:embedRegular r:id="rId10" w:fontKey="{5BA0111F-21DA-41CC-9A6F-C7DD53F693C0}"/>
  </w:font>
  <w:font w:name="Helvetica">
    <w:altName w:val="Arial"/>
    <w:panose1 w:val="00000000000000000000"/>
    <w:charset w:val="00"/>
    <w:family w:val="auto"/>
    <w:pitch w:val="default"/>
    <w:sig w:usb0="00000000" w:usb1="00000000" w:usb2="00000000" w:usb3="00000000" w:csb0="00040001" w:csb1="00000000"/>
    <w:embedRegular r:id="rId11" w:fontKey="{B9B9A555-E396-41CA-A8CE-3B7438D266A7}"/>
  </w:font>
  <w:font w:name="TimesNewRomanPSMT">
    <w:altName w:val="Times New Roman"/>
    <w:panose1 w:val="00000000000000000000"/>
    <w:charset w:val="80"/>
    <w:family w:val="auto"/>
    <w:pitch w:val="default"/>
    <w:sig w:usb0="00000000" w:usb1="00000000" w:usb2="00000010" w:usb3="00000000" w:csb0="00020000" w:csb1="00000000"/>
    <w:embedRegular r:id="rId12" w:fontKey="{877DCBBB-71D3-422E-B0BB-9673BFD05403}"/>
  </w:font>
  <w:font w:name="KSOF2BE21744">
    <w:panose1 w:val="02020500000000000000"/>
    <w:charset w:val="88"/>
    <w:family w:val="auto"/>
    <w:pitch w:val="default"/>
    <w:sig w:usb0="00000001" w:usb1="00000000"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7C70">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F2ACA6">
    <w:pPr>
      <w:pStyle w:val="1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2FA938">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VLIzM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FSyMzNAIAAGUEAAAOAAAAAAAAAAEAIAAAAB8BAABkcnMvZTJvRG9jLnhtbFBL&#10;BQYAAAAABgAGAFkBAADFBQAAAAA=&#10;">
              <v:fill on="f" focussize="0,0"/>
              <v:stroke on="f" weight="0.5pt"/>
              <v:imagedata o:title=""/>
              <o:lock v:ext="edit" aspectratio="f"/>
              <v:textbox inset="0mm,0mm,0mm,0mm" style="mso-fit-shape-to-text:t;">
                <w:txbxContent>
                  <w:p w14:paraId="452FA938">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CB2E6E">
    <w:pPr>
      <w:pStyle w:val="18"/>
      <w:ind w:right="360" w:firstLine="360"/>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DC7439C">
                          <w:pPr>
                            <w:pStyle w:val="18"/>
                          </w:pPr>
                          <w:r>
                            <w:fldChar w:fldCharType="begin"/>
                          </w:r>
                          <w:r>
                            <w:instrText xml:space="preserve"> PAGE  \* MERGEFORMAT </w:instrText>
                          </w:r>
                          <w:r>
                            <w:fldChar w:fldCharType="separate"/>
                          </w:r>
                          <w:r>
                            <w:t>161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K/GM2rOAQAAqQMAAA4AAAAAAAAAAQAgAAAAHgEAAGRycy9l&#10;Mm9Eb2MueG1sUEsFBgAAAAAGAAYAWQEAAF4FAAAAAA==&#10;">
              <v:fill on="f" focussize="0,0"/>
              <v:stroke on="f"/>
              <v:imagedata o:title=""/>
              <o:lock v:ext="edit" aspectratio="f"/>
              <v:textbox inset="0mm,0mm,0mm,0mm" style="mso-fit-shape-to-text:t;">
                <w:txbxContent>
                  <w:p w14:paraId="2DC7439C">
                    <w:pPr>
                      <w:pStyle w:val="18"/>
                    </w:pPr>
                    <w:r>
                      <w:fldChar w:fldCharType="begin"/>
                    </w:r>
                    <w:r>
                      <w:instrText xml:space="preserve"> PAGE  \* MERGEFORMAT </w:instrText>
                    </w:r>
                    <w:r>
                      <w:fldChar w:fldCharType="separate"/>
                    </w:r>
                    <w:r>
                      <w:t>161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B0DD19">
    <w:pPr>
      <w:pStyle w:val="18"/>
      <w:jc w:val="center"/>
    </w:pPr>
    <w:r>
      <w:fldChar w:fldCharType="begin"/>
    </w:r>
    <w:r>
      <w:instrText xml:space="preserve">PAGE   \* MERGEFORMAT</w:instrText>
    </w:r>
    <w:r>
      <w:fldChar w:fldCharType="separate"/>
    </w:r>
    <w:r>
      <w:rPr>
        <w:lang w:val="zh-CN"/>
      </w:rPr>
      <w:t>2</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C3283">
    <w:pPr>
      <w:pStyle w:val="18"/>
      <w:jc w:val="cente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4E3FDC">
                          <w:pPr>
                            <w:pStyle w:val="18"/>
                          </w:pPr>
                          <w:r>
                            <w:fldChar w:fldCharType="begin"/>
                          </w:r>
                          <w:r>
                            <w:instrText xml:space="preserve"> PAGE  \* MERGEFORMAT </w:instrText>
                          </w:r>
                          <w:r>
                            <w:fldChar w:fldCharType="separate"/>
                          </w:r>
                          <w:r>
                            <w:t>iv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2B4E3FDC">
                    <w:pPr>
                      <w:pStyle w:val="18"/>
                    </w:pPr>
                    <w:r>
                      <w:fldChar w:fldCharType="begin"/>
                    </w:r>
                    <w:r>
                      <w:instrText xml:space="preserve"> PAGE  \* MERGEFORMAT </w:instrText>
                    </w:r>
                    <w:r>
                      <w:fldChar w:fldCharType="separate"/>
                    </w:r>
                    <w:r>
                      <w:t>iv</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E500D">
    <w:pPr>
      <w:pStyle w:val="18"/>
      <w:jc w:val="center"/>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84065F3">
                          <w:pPr>
                            <w:pStyle w:val="18"/>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rMQ5AgAAc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s/rMQ5AgAAcQQAAA4AAAAAAAAAAQAgAAAAHwEAAGRycy9lMm9Eb2Mu&#10;eG1sUEsFBgAAAAAGAAYAWQEAAMoFAAAAAA==&#10;">
              <v:fill on="f" focussize="0,0"/>
              <v:stroke on="f" weight="0.5pt"/>
              <v:imagedata o:title=""/>
              <o:lock v:ext="edit" aspectratio="f"/>
              <v:textbox inset="0mm,0mm,0mm,0mm" style="mso-fit-shape-to-text:t;">
                <w:txbxContent>
                  <w:p w14:paraId="184065F3">
                    <w:pPr>
                      <w:pStyle w:val="18"/>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10252">
    <w:pPr>
      <w:pStyle w:val="1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1065E">
    <w:pPr>
      <w:pStyle w:val="18"/>
      <w:jc w:val="center"/>
    </w:pPr>
    <w: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7560F3E">
                          <w:pPr>
                            <w:pStyle w:val="18"/>
                            <w:jc w:val="center"/>
                          </w:pPr>
                          <w:r>
                            <w:fldChar w:fldCharType="begin"/>
                          </w:r>
                          <w:r>
                            <w:instrText xml:space="preserve">PAGE   \* MERGEFORMAT</w:instrText>
                          </w:r>
                          <w:r>
                            <w:fldChar w:fldCharType="separate"/>
                          </w:r>
                          <w:r>
                            <w:rPr>
                              <w:lang w:val="zh-CN"/>
                            </w:rP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aQC/86AgAAcQ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2kAv/OgIAAHEEAAAOAAAAAAAAAAEAIAAAAB8BAABkcnMvZTJvRG9j&#10;LnhtbFBLBQYAAAAABgAGAFkBAADLBQAAAAA=&#10;">
              <v:fill on="f" focussize="0,0"/>
              <v:stroke on="f" weight="0.5pt"/>
              <v:imagedata o:title=""/>
              <o:lock v:ext="edit" aspectratio="f"/>
              <v:textbox inset="0mm,0mm,0mm,0mm" style="mso-fit-shape-to-text:t;">
                <w:txbxContent>
                  <w:p w14:paraId="47560F3E">
                    <w:pPr>
                      <w:pStyle w:val="18"/>
                      <w:jc w:val="center"/>
                    </w:pPr>
                    <w:r>
                      <w:fldChar w:fldCharType="begin"/>
                    </w:r>
                    <w:r>
                      <w:instrText xml:space="preserve">PAGE   \* MERGEFORMAT</w:instrText>
                    </w:r>
                    <w:r>
                      <w:fldChar w:fldCharType="separate"/>
                    </w:r>
                    <w:r>
                      <w:rPr>
                        <w:lang w:val="zh-CN"/>
                      </w:rPr>
                      <w:t>79</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7DFE38">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536D9">
    <w:pPr>
      <w:pStyle w:val="19"/>
      <w:tabs>
        <w:tab w:val="clear" w:pos="4153"/>
      </w:tabs>
      <w:ind w:firstLine="341" w:firstLineChars="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8D20288"/>
    <w:rsid w:val="0A353D58"/>
    <w:rsid w:val="0D01259F"/>
    <w:rsid w:val="12013065"/>
    <w:rsid w:val="14F76B5C"/>
    <w:rsid w:val="16CE4F2C"/>
    <w:rsid w:val="1AA72BF2"/>
    <w:rsid w:val="1AAD2FD7"/>
    <w:rsid w:val="200163E2"/>
    <w:rsid w:val="212733E0"/>
    <w:rsid w:val="212B072C"/>
    <w:rsid w:val="215D246D"/>
    <w:rsid w:val="217A696B"/>
    <w:rsid w:val="23C36769"/>
    <w:rsid w:val="2A037518"/>
    <w:rsid w:val="2A2F435B"/>
    <w:rsid w:val="325B5A1A"/>
    <w:rsid w:val="3727461F"/>
    <w:rsid w:val="37C0630C"/>
    <w:rsid w:val="38624A88"/>
    <w:rsid w:val="38796AD2"/>
    <w:rsid w:val="3AC31ED1"/>
    <w:rsid w:val="3B1249A8"/>
    <w:rsid w:val="3C550D03"/>
    <w:rsid w:val="419D4206"/>
    <w:rsid w:val="4359067E"/>
    <w:rsid w:val="487D6509"/>
    <w:rsid w:val="4A513648"/>
    <w:rsid w:val="4BA75E5D"/>
    <w:rsid w:val="4CBA727B"/>
    <w:rsid w:val="4F225CE3"/>
    <w:rsid w:val="4FB22261"/>
    <w:rsid w:val="509212F9"/>
    <w:rsid w:val="519B7D0C"/>
    <w:rsid w:val="58503CFA"/>
    <w:rsid w:val="58ED4F64"/>
    <w:rsid w:val="5CBA16BC"/>
    <w:rsid w:val="60412A1A"/>
    <w:rsid w:val="60B6585D"/>
    <w:rsid w:val="65A333D2"/>
    <w:rsid w:val="6A5E73BB"/>
    <w:rsid w:val="6A842147"/>
    <w:rsid w:val="6ACE412E"/>
    <w:rsid w:val="731E47E6"/>
    <w:rsid w:val="77827E93"/>
    <w:rsid w:val="77883B36"/>
    <w:rsid w:val="78D92BAF"/>
    <w:rsid w:val="79FD6043"/>
    <w:rsid w:val="7AE7775C"/>
    <w:rsid w:val="7B89447D"/>
    <w:rsid w:val="7E4349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99"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56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autoSpaceDE w:val="0"/>
      <w:autoSpaceDN w:val="0"/>
      <w:spacing w:before="2" w:beforeLines="0" w:beforeAutospacing="0" w:after="0" w:afterLines="0" w:afterAutospacing="0" w:line="240" w:lineRule="auto"/>
      <w:ind w:firstLine="0" w:firstLineChars="0"/>
      <w:outlineLvl w:val="0"/>
    </w:pPr>
    <w:rPr>
      <w:rFonts w:ascii="Times New Roman" w:hAnsi="Times New Roman" w:eastAsia="黑体" w:cs="Times New Roman"/>
      <w:kern w:val="44"/>
      <w:sz w:val="30"/>
    </w:rPr>
  </w:style>
  <w:style w:type="paragraph" w:styleId="3">
    <w:name w:val="heading 2"/>
    <w:basedOn w:val="1"/>
    <w:next w:val="1"/>
    <w:semiHidden/>
    <w:unhideWhenUsed/>
    <w:qFormat/>
    <w:uiPriority w:val="0"/>
    <w:pPr>
      <w:keepNext/>
      <w:keepLines/>
      <w:autoSpaceDE w:val="0"/>
      <w:autoSpaceDN w:val="0"/>
      <w:spacing w:beforeLines="0" w:beforeAutospacing="0" w:afterLines="0" w:afterAutospacing="0" w:line="360" w:lineRule="auto"/>
      <w:ind w:firstLine="0" w:firstLineChars="0"/>
      <w:outlineLvl w:val="1"/>
    </w:pPr>
    <w:rPr>
      <w:rFonts w:ascii="Times New Roman" w:hAnsi="Times New Roman" w:eastAsia="宋体" w:cs="Times New Roman"/>
      <w:b/>
      <w:sz w:val="30"/>
      <w:szCs w:val="24"/>
    </w:rPr>
  </w:style>
  <w:style w:type="paragraph" w:styleId="4">
    <w:name w:val="heading 3"/>
    <w:basedOn w:val="1"/>
    <w:next w:val="1"/>
    <w:semiHidden/>
    <w:unhideWhenUsed/>
    <w:qFormat/>
    <w:uiPriority w:val="0"/>
    <w:pPr>
      <w:keepNext/>
      <w:keepLines/>
      <w:autoSpaceDE w:val="0"/>
      <w:autoSpaceDN w:val="0"/>
      <w:spacing w:beforeLines="0" w:beforeAutospacing="0" w:afterLines="0" w:afterAutospacing="0" w:line="360" w:lineRule="auto"/>
      <w:ind w:firstLine="0" w:firstLineChars="0"/>
      <w:outlineLvl w:val="2"/>
    </w:pPr>
    <w:rPr>
      <w:rFonts w:ascii="Times New Roman" w:hAnsi="Times New Roman" w:eastAsia="宋体"/>
      <w:b/>
      <w:sz w:val="24"/>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ascii="Times New Roman" w:hAnsi="Times New Roman" w:eastAsia="宋体" w:cs="Times New Roman"/>
      <w:b/>
    </w:rPr>
  </w:style>
  <w:style w:type="character" w:default="1" w:styleId="30">
    <w:name w:val="Default Paragraph Font"/>
    <w:semiHidden/>
    <w:qFormat/>
    <w:uiPriority w:val="0"/>
  </w:style>
  <w:style w:type="table" w:default="1" w:styleId="28">
    <w:name w:val="Normal Table"/>
    <w:autoRedefine/>
    <w:semiHidden/>
    <w:qFormat/>
    <w:uiPriority w:val="0"/>
    <w:tblPr>
      <w:tblCellMar>
        <w:top w:w="0" w:type="dxa"/>
        <w:left w:w="108" w:type="dxa"/>
        <w:bottom w:w="0" w:type="dxa"/>
        <w:right w:w="108" w:type="dxa"/>
      </w:tblCellMar>
    </w:tblPr>
  </w:style>
  <w:style w:type="paragraph" w:styleId="6">
    <w:name w:val="Normal Indent"/>
    <w:basedOn w:val="1"/>
    <w:qFormat/>
    <w:uiPriority w:val="0"/>
    <w:pPr>
      <w:ind w:firstLine="200" w:firstLineChars="200"/>
    </w:pPr>
    <w:rPr>
      <w:sz w:val="28"/>
      <w:szCs w:val="24"/>
    </w:rPr>
  </w:style>
  <w:style w:type="paragraph" w:styleId="7">
    <w:name w:val="annotation text"/>
    <w:basedOn w:val="1"/>
    <w:qFormat/>
    <w:uiPriority w:val="0"/>
    <w:pPr>
      <w:jc w:val="left"/>
    </w:pPr>
  </w:style>
  <w:style w:type="paragraph" w:styleId="8">
    <w:name w:val="Salutation"/>
    <w:basedOn w:val="1"/>
    <w:next w:val="1"/>
    <w:unhideWhenUsed/>
    <w:qFormat/>
    <w:uiPriority w:val="99"/>
  </w:style>
  <w:style w:type="paragraph" w:styleId="9">
    <w:name w:val="Body Text"/>
    <w:basedOn w:val="1"/>
    <w:next w:val="1"/>
    <w:qFormat/>
    <w:uiPriority w:val="0"/>
    <w:pPr>
      <w:spacing w:line="520" w:lineRule="exact"/>
      <w:ind w:firstLine="961" w:firstLineChars="200"/>
      <w:jc w:val="left"/>
    </w:pPr>
    <w:rPr>
      <w:rFonts w:cs="宋体"/>
      <w:sz w:val="24"/>
      <w:szCs w:val="28"/>
      <w:lang w:val="zh-CN" w:bidi="zh-CN"/>
    </w:rPr>
  </w:style>
  <w:style w:type="paragraph" w:styleId="10">
    <w:name w:val="Body Text Indent"/>
    <w:basedOn w:val="1"/>
    <w:next w:val="11"/>
    <w:qFormat/>
    <w:uiPriority w:val="0"/>
    <w:pPr>
      <w:spacing w:after="120" w:afterLines="0" w:afterAutospacing="0"/>
      <w:ind w:left="420" w:leftChars="200"/>
    </w:pPr>
  </w:style>
  <w:style w:type="paragraph" w:styleId="11">
    <w:name w:val="toc 9"/>
    <w:basedOn w:val="1"/>
    <w:next w:val="1"/>
    <w:qFormat/>
    <w:uiPriority w:val="39"/>
    <w:pPr>
      <w:ind w:left="1680"/>
      <w:jc w:val="left"/>
    </w:pPr>
    <w:rPr>
      <w:sz w:val="20"/>
      <w:szCs w:val="20"/>
    </w:rPr>
  </w:style>
  <w:style w:type="paragraph" w:styleId="12">
    <w:name w:val="Block Text"/>
    <w:basedOn w:val="1"/>
    <w:qFormat/>
    <w:uiPriority w:val="99"/>
    <w:pPr>
      <w:spacing w:line="480" w:lineRule="exact"/>
      <w:ind w:left="100" w:right="111" w:firstLine="556"/>
    </w:pPr>
    <w:rPr>
      <w:sz w:val="28"/>
      <w:szCs w:val="20"/>
    </w:rPr>
  </w:style>
  <w:style w:type="paragraph" w:styleId="13">
    <w:name w:val="toc 3"/>
    <w:basedOn w:val="1"/>
    <w:next w:val="1"/>
    <w:qFormat/>
    <w:uiPriority w:val="0"/>
    <w:pPr>
      <w:ind w:left="840" w:leftChars="400"/>
    </w:pPr>
  </w:style>
  <w:style w:type="paragraph" w:styleId="14">
    <w:name w:val="Plain Text"/>
    <w:basedOn w:val="1"/>
    <w:qFormat/>
    <w:uiPriority w:val="0"/>
    <w:rPr>
      <w:rFonts w:ascii="宋体" w:hAnsi="Courier New"/>
    </w:rPr>
  </w:style>
  <w:style w:type="paragraph" w:styleId="15">
    <w:name w:val="toc 8"/>
    <w:basedOn w:val="1"/>
    <w:next w:val="1"/>
    <w:qFormat/>
    <w:uiPriority w:val="0"/>
    <w:pPr>
      <w:ind w:left="1470"/>
      <w:jc w:val="left"/>
    </w:pPr>
    <w:rPr>
      <w:sz w:val="20"/>
      <w:szCs w:val="20"/>
    </w:rPr>
  </w:style>
  <w:style w:type="paragraph" w:styleId="16">
    <w:name w:val="Body Text Indent 2"/>
    <w:basedOn w:val="1"/>
    <w:next w:val="17"/>
    <w:qFormat/>
    <w:uiPriority w:val="0"/>
    <w:pPr>
      <w:spacing w:line="360" w:lineRule="auto"/>
      <w:ind w:firstLine="540"/>
    </w:pPr>
    <w:rPr>
      <w:sz w:val="24"/>
    </w:rPr>
  </w:style>
  <w:style w:type="paragraph" w:styleId="17">
    <w:name w:val="Body Text First Indent 2"/>
    <w:basedOn w:val="1"/>
    <w:next w:val="1"/>
    <w:qFormat/>
    <w:uiPriority w:val="0"/>
    <w:pPr>
      <w:ind w:firstLine="420" w:firstLineChars="200"/>
    </w:pPr>
  </w:style>
  <w:style w:type="paragraph" w:styleId="18">
    <w:name w:val="footer"/>
    <w:basedOn w:val="1"/>
    <w:qFormat/>
    <w:uiPriority w:val="0"/>
    <w:pPr>
      <w:tabs>
        <w:tab w:val="center" w:pos="4153"/>
        <w:tab w:val="right" w:pos="8306"/>
      </w:tabs>
      <w:snapToGrid w:val="0"/>
      <w:jc w:val="left"/>
    </w:pPr>
    <w:rPr>
      <w:kern w:val="0"/>
      <w:sz w:val="18"/>
      <w:szCs w:val="20"/>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toc 1"/>
    <w:basedOn w:val="1"/>
    <w:next w:val="1"/>
    <w:qFormat/>
    <w:uiPriority w:val="0"/>
  </w:style>
  <w:style w:type="paragraph" w:styleId="21">
    <w:name w:val="index heading"/>
    <w:basedOn w:val="1"/>
    <w:next w:val="22"/>
    <w:qFormat/>
    <w:uiPriority w:val="0"/>
    <w:rPr>
      <w:szCs w:val="20"/>
    </w:rPr>
  </w:style>
  <w:style w:type="paragraph" w:styleId="22">
    <w:name w:val="index 1"/>
    <w:basedOn w:val="1"/>
    <w:next w:val="1"/>
    <w:qFormat/>
    <w:uiPriority w:val="0"/>
    <w:pPr>
      <w:widowControl/>
      <w:adjustRightInd w:val="0"/>
      <w:snapToGrid w:val="0"/>
      <w:spacing w:line="0" w:lineRule="atLeast"/>
      <w:jc w:val="center"/>
    </w:pPr>
    <w:rPr>
      <w:kern w:val="0"/>
      <w:szCs w:val="24"/>
      <w:lang w:eastAsia="en-US" w:bidi="en-US"/>
    </w:rPr>
  </w:style>
  <w:style w:type="paragraph" w:styleId="23">
    <w:name w:val="List"/>
    <w:basedOn w:val="1"/>
    <w:qFormat/>
    <w:uiPriority w:val="0"/>
    <w:pPr>
      <w:ind w:left="200" w:hanging="200" w:hangingChars="200"/>
    </w:pPr>
  </w:style>
  <w:style w:type="paragraph" w:styleId="24">
    <w:name w:val="toc 2"/>
    <w:basedOn w:val="1"/>
    <w:next w:val="1"/>
    <w:qFormat/>
    <w:uiPriority w:val="0"/>
    <w:pPr>
      <w:ind w:left="420" w:leftChars="200"/>
    </w:pPr>
  </w:style>
  <w:style w:type="paragraph" w:styleId="25">
    <w:name w:val="Body Text 2"/>
    <w:basedOn w:val="1"/>
    <w:qFormat/>
    <w:uiPriority w:val="0"/>
    <w:pPr>
      <w:spacing w:line="360" w:lineRule="auto"/>
      <w:ind w:firstLine="506" w:firstLineChars="200"/>
      <w:jc w:val="left"/>
    </w:pPr>
    <w:rPr>
      <w:rFonts w:eastAsia="宋体" w:cs="Times New Roman"/>
      <w:szCs w:val="20"/>
    </w:rPr>
  </w:style>
  <w:style w:type="paragraph" w:styleId="26">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7">
    <w:name w:val="Body Text First Indent"/>
    <w:basedOn w:val="9"/>
    <w:next w:val="1"/>
    <w:qFormat/>
    <w:uiPriority w:val="99"/>
    <w:pPr>
      <w:spacing w:after="120"/>
      <w:ind w:firstLine="420" w:firstLineChars="100"/>
    </w:pPr>
    <w:rPr>
      <w:sz w:val="21"/>
    </w:r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annotation reference"/>
    <w:basedOn w:val="30"/>
    <w:qFormat/>
    <w:uiPriority w:val="0"/>
    <w:rPr>
      <w:rFonts w:ascii="Tahoma" w:hAnsi="Tahoma"/>
      <w:sz w:val="21"/>
    </w:rPr>
  </w:style>
  <w:style w:type="paragraph" w:customStyle="1" w:styleId="32">
    <w:name w:val="表头"/>
    <w:basedOn w:val="23"/>
    <w:next w:val="23"/>
    <w:link w:val="34"/>
    <w:qFormat/>
    <w:uiPriority w:val="0"/>
    <w:pPr>
      <w:snapToGrid w:val="0"/>
      <w:spacing w:line="360" w:lineRule="auto"/>
      <w:ind w:left="0" w:firstLine="0" w:firstLineChars="0"/>
      <w:jc w:val="center"/>
    </w:pPr>
    <w:rPr>
      <w:rFonts w:ascii="Times New Roman" w:hAnsi="Times New Roman" w:eastAsia="黑体" w:cs="宋体"/>
      <w:snapToGrid w:val="0"/>
      <w:color w:val="000000"/>
      <w:spacing w:val="6"/>
      <w:kern w:val="10"/>
      <w:szCs w:val="20"/>
    </w:rPr>
  </w:style>
  <w:style w:type="paragraph" w:customStyle="1" w:styleId="33">
    <w:name w:val="表格"/>
    <w:basedOn w:val="14"/>
    <w:next w:val="1"/>
    <w:qFormat/>
    <w:uiPriority w:val="0"/>
    <w:pPr>
      <w:adjustRightInd w:val="0"/>
      <w:snapToGrid w:val="0"/>
      <w:spacing w:line="240" w:lineRule="auto"/>
      <w:ind w:firstLine="0"/>
      <w:jc w:val="center"/>
    </w:pPr>
    <w:rPr>
      <w:rFonts w:ascii="Times New Roman" w:hAnsi="Times New Roman"/>
      <w:kern w:val="0"/>
      <w:sz w:val="21"/>
      <w:szCs w:val="20"/>
    </w:rPr>
  </w:style>
  <w:style w:type="character" w:customStyle="1" w:styleId="34">
    <w:name w:val="表头 Char"/>
    <w:link w:val="32"/>
    <w:qFormat/>
    <w:uiPriority w:val="0"/>
    <w:rPr>
      <w:rFonts w:ascii="Times New Roman" w:hAnsi="Times New Roman" w:eastAsia="黑体" w:cs="宋体"/>
      <w:snapToGrid w:val="0"/>
      <w:color w:val="000000"/>
      <w:spacing w:val="6"/>
      <w:kern w:val="10"/>
      <w:sz w:val="24"/>
      <w:szCs w:val="20"/>
      <w:lang w:val="en-US" w:eastAsia="zh-CN" w:bidi="ar-SA"/>
    </w:rPr>
  </w:style>
  <w:style w:type="paragraph" w:customStyle="1" w:styleId="35">
    <w:name w:val="表格内"/>
    <w:basedOn w:val="1"/>
    <w:qFormat/>
    <w:uiPriority w:val="0"/>
    <w:pPr>
      <w:spacing w:line="240" w:lineRule="auto"/>
      <w:ind w:firstLine="0" w:firstLineChars="0"/>
      <w:jc w:val="center"/>
    </w:pPr>
    <w:rPr>
      <w:rFonts w:hint="eastAsia"/>
      <w:sz w:val="21"/>
      <w:szCs w:val="21"/>
    </w:rPr>
  </w:style>
  <w:style w:type="paragraph" w:customStyle="1" w:styleId="36">
    <w:name w:val="文章表格"/>
    <w:basedOn w:val="1"/>
    <w:autoRedefine/>
    <w:qFormat/>
    <w:uiPriority w:val="0"/>
    <w:pPr>
      <w:adjustRightInd w:val="0"/>
      <w:snapToGrid w:val="0"/>
      <w:spacing w:line="240" w:lineRule="auto"/>
      <w:ind w:firstLine="0" w:firstLineChars="0"/>
      <w:jc w:val="center"/>
    </w:pPr>
    <w:rPr>
      <w:rFonts w:ascii="Times New Roman" w:hAnsi="Times New Roman"/>
      <w:sz w:val="21"/>
      <w:szCs w:val="21"/>
    </w:rPr>
  </w:style>
  <w:style w:type="paragraph" w:customStyle="1" w:styleId="37">
    <w:name w:val="Table Text"/>
    <w:basedOn w:val="1"/>
    <w:semiHidden/>
    <w:qFormat/>
    <w:uiPriority w:val="0"/>
    <w:rPr>
      <w:rFonts w:ascii="宋体" w:hAnsi="宋体" w:eastAsia="宋体" w:cs="宋体"/>
      <w:sz w:val="24"/>
      <w:szCs w:val="24"/>
      <w:lang w:val="en-US" w:eastAsia="en-US" w:bidi="ar-SA"/>
    </w:rPr>
  </w:style>
  <w:style w:type="character" w:customStyle="1" w:styleId="38">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39">
    <w:name w:val="报告表  段"/>
    <w:basedOn w:val="1"/>
    <w:qFormat/>
    <w:uiPriority w:val="0"/>
    <w:pPr>
      <w:adjustRightInd w:val="0"/>
      <w:spacing w:line="360" w:lineRule="auto"/>
      <w:ind w:firstLine="505"/>
      <w:textAlignment w:val="baseline"/>
    </w:pPr>
    <w:rPr>
      <w:rFonts w:ascii="宋体"/>
      <w:kern w:val="0"/>
      <w:sz w:val="24"/>
    </w:rPr>
  </w:style>
  <w:style w:type="paragraph" w:customStyle="1" w:styleId="40">
    <w:name w:val="表内 定"/>
    <w:basedOn w:val="1"/>
    <w:qFormat/>
    <w:uiPriority w:val="0"/>
    <w:rPr>
      <w:rFonts w:cs="Times New Roman"/>
      <w:color w:val="000000"/>
    </w:rPr>
  </w:style>
  <w:style w:type="paragraph" w:customStyle="1" w:styleId="41">
    <w:name w:val="p19"/>
    <w:basedOn w:val="1"/>
    <w:autoRedefine/>
    <w:qFormat/>
    <w:uiPriority w:val="0"/>
    <w:pPr>
      <w:widowControl/>
      <w:spacing w:before="50" w:line="360" w:lineRule="auto"/>
      <w:ind w:firstLine="482"/>
    </w:pPr>
    <w:rPr>
      <w:kern w:val="0"/>
      <w:sz w:val="24"/>
      <w:szCs w:val="24"/>
    </w:rPr>
  </w:style>
  <w:style w:type="paragraph" w:customStyle="1" w:styleId="42">
    <w:name w:val="小标题"/>
    <w:basedOn w:val="1"/>
    <w:autoRedefine/>
    <w:qFormat/>
    <w:uiPriority w:val="0"/>
    <w:pPr>
      <w:adjustRightInd w:val="0"/>
      <w:spacing w:beforeLines="50" w:after="48"/>
      <w:ind w:firstLine="480" w:firstLineChars="200"/>
      <w:textAlignment w:val="baseline"/>
    </w:pPr>
    <w:rPr>
      <w:rFonts w:ascii="宋体"/>
      <w:b/>
      <w:bCs/>
      <w:color w:val="000000"/>
      <w:kern w:val="0"/>
      <w:sz w:val="24"/>
      <w:u w:val="single"/>
    </w:rPr>
  </w:style>
  <w:style w:type="paragraph" w:styleId="43">
    <w:name w:val="No Spacing"/>
    <w:basedOn w:val="44"/>
    <w:qFormat/>
    <w:uiPriority w:val="1"/>
    <w:pPr>
      <w:spacing w:line="300" w:lineRule="exact"/>
      <w:jc w:val="center"/>
    </w:pPr>
    <w:rPr>
      <w:szCs w:val="21"/>
    </w:rPr>
  </w:style>
  <w:style w:type="paragraph" w:customStyle="1" w:styleId="44">
    <w:name w:val="无间隔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5">
    <w:name w:val="表格 32"/>
    <w:basedOn w:val="1"/>
    <w:qFormat/>
    <w:uiPriority w:val="0"/>
    <w:pPr>
      <w:autoSpaceDE w:val="0"/>
      <w:autoSpaceDN w:val="0"/>
      <w:adjustRightInd w:val="0"/>
      <w:jc w:val="center"/>
      <w:textAlignment w:val="baseline"/>
    </w:pPr>
    <w:rPr>
      <w:rFonts w:ascii="宋体" w:hAnsi="Impact" w:eastAsia="宋体" w:cs="Times New Roman"/>
      <w:kern w:val="24"/>
      <w:sz w:val="24"/>
      <w:szCs w:val="20"/>
    </w:rPr>
  </w:style>
  <w:style w:type="paragraph" w:customStyle="1" w:styleId="46">
    <w:name w:val="表格文字"/>
    <w:basedOn w:val="1"/>
    <w:qFormat/>
    <w:uiPriority w:val="0"/>
    <w:pPr>
      <w:jc w:val="center"/>
    </w:pPr>
    <w:rPr>
      <w:rFonts w:eastAsia="宋体" w:cs="Times New Roman"/>
      <w:kern w:val="44"/>
      <w:sz w:val="21"/>
      <w:szCs w:val="20"/>
    </w:rPr>
  </w:style>
  <w:style w:type="paragraph" w:customStyle="1" w:styleId="47">
    <w:name w:val="Default"/>
    <w:basedOn w:val="48"/>
    <w:next w:val="49"/>
    <w:qFormat/>
    <w:uiPriority w:val="0"/>
    <w:pPr>
      <w:widowControl w:val="0"/>
      <w:autoSpaceDE w:val="0"/>
      <w:autoSpaceDN w:val="0"/>
      <w:adjustRightInd w:val="0"/>
    </w:pPr>
    <w:rPr>
      <w:rFonts w:ascii="微软雅黑" w:eastAsia="微软雅黑" w:cs="微软雅黑" w:hAnsiTheme="minorHAnsi"/>
      <w:color w:val="000000"/>
      <w:kern w:val="0"/>
      <w:sz w:val="24"/>
    </w:rPr>
  </w:style>
  <w:style w:type="paragraph" w:customStyle="1" w:styleId="48">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9">
    <w:name w:val="Char Char Char Char Char Char Char Char Char Char Char Char Char"/>
    <w:basedOn w:val="1"/>
    <w:next w:val="50"/>
    <w:qFormat/>
    <w:uiPriority w:val="0"/>
  </w:style>
  <w:style w:type="paragraph" w:customStyle="1" w:styleId="50">
    <w:name w:val="point101"/>
    <w:basedOn w:val="1"/>
    <w:next w:val="51"/>
    <w:qFormat/>
    <w:uiPriority w:val="0"/>
    <w:pPr>
      <w:widowControl/>
      <w:spacing w:before="100" w:beforeAutospacing="1" w:after="100" w:afterAutospacing="1" w:line="390" w:lineRule="atLeast"/>
      <w:jc w:val="left"/>
    </w:pPr>
    <w:rPr>
      <w:rFonts w:hAnsi="宋体" w:cs="宋体"/>
      <w:kern w:val="0"/>
      <w:sz w:val="18"/>
      <w:szCs w:val="18"/>
    </w:rPr>
  </w:style>
  <w:style w:type="paragraph" w:customStyle="1" w:styleId="51">
    <w:name w:val="样式1"/>
    <w:basedOn w:val="19"/>
    <w:next w:val="52"/>
    <w:qFormat/>
    <w:uiPriority w:val="0"/>
  </w:style>
  <w:style w:type="paragraph" w:customStyle="1" w:styleId="52">
    <w:name w:val="标题样式2"/>
    <w:basedOn w:val="3"/>
    <w:next w:val="26"/>
    <w:qFormat/>
    <w:uiPriority w:val="0"/>
    <w:pPr>
      <w:adjustRightInd w:val="0"/>
      <w:jc w:val="left"/>
      <w:textAlignment w:val="baseline"/>
    </w:pPr>
    <w:rPr>
      <w:rFonts w:ascii="黑体"/>
      <w:kern w:val="0"/>
      <w:sz w:val="24"/>
    </w:rPr>
  </w:style>
  <w:style w:type="paragraph" w:customStyle="1" w:styleId="53">
    <w:name w:val="报告书正文"/>
    <w:basedOn w:val="1"/>
    <w:qFormat/>
    <w:uiPriority w:val="0"/>
    <w:pPr>
      <w:autoSpaceDE w:val="0"/>
      <w:autoSpaceDN w:val="0"/>
      <w:spacing w:line="520" w:lineRule="exact"/>
      <w:ind w:firstLine="200" w:firstLineChars="200"/>
    </w:pPr>
    <w:rPr>
      <w:rFonts w:eastAsia="宋体" w:cs="Times New Roman"/>
      <w:kern w:val="0"/>
      <w:sz w:val="28"/>
      <w:szCs w:val="28"/>
    </w:rPr>
  </w:style>
  <w:style w:type="table" w:customStyle="1" w:styleId="54">
    <w:name w:val="Table Normal"/>
    <w:qFormat/>
    <w:uiPriority w:val="0"/>
    <w:tblPr>
      <w:tblCellMar>
        <w:top w:w="0" w:type="dxa"/>
        <w:left w:w="0" w:type="dxa"/>
        <w:bottom w:w="0" w:type="dxa"/>
        <w:right w:w="0" w:type="dxa"/>
      </w:tblCellMar>
    </w:tblPr>
  </w:style>
  <w:style w:type="paragraph" w:customStyle="1" w:styleId="55">
    <w:name w:val="正文样式"/>
    <w:basedOn w:val="1"/>
    <w:qFormat/>
    <w:uiPriority w:val="0"/>
    <w:pPr>
      <w:adjustRightInd w:val="0"/>
      <w:snapToGrid w:val="0"/>
      <w:spacing w:line="360" w:lineRule="auto"/>
      <w:ind w:firstLine="200" w:firstLineChars="200"/>
      <w:jc w:val="left"/>
    </w:pPr>
    <w:rPr>
      <w:sz w:val="24"/>
      <w:szCs w:val="24"/>
    </w:rPr>
  </w:style>
  <w:style w:type="paragraph" w:customStyle="1" w:styleId="56">
    <w:name w:val="纯文本4"/>
    <w:basedOn w:val="1"/>
    <w:qFormat/>
    <w:uiPriority w:val="0"/>
    <w:pPr>
      <w:adjustRightInd w:val="0"/>
      <w:jc w:val="left"/>
    </w:pPr>
    <w:rPr>
      <w:rFonts w:ascii="宋体" w:hAnsi="Courier New"/>
      <w:sz w:val="24"/>
    </w:rPr>
  </w:style>
  <w:style w:type="paragraph" w:customStyle="1" w:styleId="57">
    <w:name w:val="0正文"/>
    <w:basedOn w:val="26"/>
    <w:qFormat/>
    <w:uiPriority w:val="0"/>
    <w:pPr>
      <w:spacing w:before="0" w:beforeAutospacing="0" w:after="0" w:afterAutospacing="0"/>
      <w:ind w:firstLine="482"/>
      <w:jc w:val="both"/>
    </w:pPr>
    <w:rPr>
      <w:rFonts w:ascii="Times New Roman" w:hAnsi="Times New Roman"/>
      <w:kern w:val="2"/>
    </w:rPr>
  </w:style>
  <w:style w:type="paragraph" w:customStyle="1" w:styleId="58">
    <w:name w:val="表格文字2"/>
    <w:basedOn w:val="1"/>
    <w:qFormat/>
    <w:uiPriority w:val="0"/>
    <w:pPr>
      <w:tabs>
        <w:tab w:val="left" w:pos="277"/>
        <w:tab w:val="left" w:pos="600"/>
        <w:tab w:val="left" w:pos="780"/>
        <w:tab w:val="left" w:pos="2517"/>
      </w:tabs>
      <w:adjustRightInd w:val="0"/>
      <w:snapToGrid w:val="0"/>
      <w:jc w:val="center"/>
      <w:textAlignment w:val="baseline"/>
    </w:pPr>
    <w:rPr>
      <w:kern w:val="0"/>
      <w:szCs w:val="21"/>
    </w:rPr>
  </w:style>
  <w:style w:type="paragraph" w:customStyle="1" w:styleId="59">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character" w:customStyle="1" w:styleId="60">
    <w:name w:val="font5155501"/>
    <w:qFormat/>
    <w:uiPriority w:val="0"/>
    <w:rPr>
      <w:rFonts w:hint="default" w:ascii="Times New Roman" w:hAnsi="Times New Roman" w:cs="Times New Roman"/>
      <w:color w:val="000000"/>
      <w:sz w:val="22"/>
      <w:szCs w:val="22"/>
      <w:u w:val="none"/>
    </w:rPr>
  </w:style>
  <w:style w:type="character" w:customStyle="1" w:styleId="61">
    <w:name w:val="font51"/>
    <w:qFormat/>
    <w:uiPriority w:val="0"/>
    <w:rPr>
      <w:rFonts w:hint="default" w:ascii="Times New Roman" w:hAnsi="Times New Roman" w:cs="Times New Roman"/>
      <w:color w:val="000000"/>
      <w:sz w:val="22"/>
      <w:szCs w:val="22"/>
      <w:u w:val="none"/>
      <w:vertAlign w:val="superscript"/>
    </w:rPr>
  </w:style>
  <w:style w:type="character" w:customStyle="1" w:styleId="62">
    <w:name w:val="表格标题_"/>
    <w:link w:val="63"/>
    <w:unhideWhenUsed/>
    <w:qFormat/>
    <w:uiPriority w:val="99"/>
    <w:rPr>
      <w:rFonts w:hint="eastAsia" w:ascii="MingLiU" w:hAnsi="MingLiU" w:eastAsia="MingLiU"/>
      <w:spacing w:val="10"/>
      <w:kern w:val="0"/>
      <w:sz w:val="22"/>
    </w:rPr>
  </w:style>
  <w:style w:type="paragraph" w:customStyle="1" w:styleId="63">
    <w:name w:val="表格标题"/>
    <w:basedOn w:val="1"/>
    <w:link w:val="62"/>
    <w:unhideWhenUsed/>
    <w:qFormat/>
    <w:uiPriority w:val="99"/>
    <w:pPr>
      <w:shd w:val="clear" w:color="auto" w:fill="FFFFFF"/>
      <w:spacing w:line="240" w:lineRule="atLeast"/>
      <w:jc w:val="distribute"/>
    </w:pPr>
    <w:rPr>
      <w:rFonts w:hint="eastAsia" w:ascii="MingLiU" w:hAnsi="MingLiU" w:eastAsia="MingLiU"/>
      <w:spacing w:val="10"/>
      <w:kern w:val="0"/>
      <w:sz w:val="22"/>
    </w:rPr>
  </w:style>
  <w:style w:type="paragraph" w:customStyle="1" w:styleId="64">
    <w:name w:val="p0"/>
    <w:basedOn w:val="1"/>
    <w:qFormat/>
    <w:uiPriority w:val="0"/>
    <w:pPr>
      <w:widowControl/>
    </w:pPr>
    <w:rPr>
      <w:rFonts w:hint="eastAsia"/>
    </w:rPr>
  </w:style>
  <w:style w:type="character" w:customStyle="1" w:styleId="65">
    <w:name w:val="font31"/>
    <w:basedOn w:val="30"/>
    <w:qFormat/>
    <w:uiPriority w:val="0"/>
    <w:rPr>
      <w:rFonts w:hint="eastAsia" w:ascii="宋体" w:hAnsi="宋体" w:eastAsia="宋体" w:cs="宋体"/>
      <w:color w:val="000000"/>
      <w:sz w:val="21"/>
      <w:szCs w:val="21"/>
      <w:u w:val="none"/>
    </w:rPr>
  </w:style>
  <w:style w:type="character" w:customStyle="1" w:styleId="66">
    <w:name w:val="font21"/>
    <w:basedOn w:val="30"/>
    <w:qFormat/>
    <w:uiPriority w:val="0"/>
    <w:rPr>
      <w:rFonts w:hint="default" w:ascii="Times New Roman" w:hAnsi="Times New Roman" w:cs="Times New Roman"/>
      <w:color w:val="000000"/>
      <w:sz w:val="21"/>
      <w:szCs w:val="21"/>
      <w:u w:val="none"/>
    </w:rPr>
  </w:style>
  <w:style w:type="paragraph" w:customStyle="1" w:styleId="67">
    <w:name w:val="样式 标题 1 + 四号 段前: 0 磅 段后: 0 磅 行距: 1.5 倍行距"/>
    <w:basedOn w:val="68"/>
    <w:next w:val="69"/>
    <w:qFormat/>
    <w:uiPriority w:val="0"/>
    <w:pPr>
      <w:snapToGrid w:val="0"/>
      <w:spacing w:line="360" w:lineRule="auto"/>
      <w:ind w:firstLine="200" w:firstLineChars="200"/>
      <w:jc w:val="center"/>
    </w:pPr>
    <w:rPr>
      <w:sz w:val="28"/>
    </w:rPr>
  </w:style>
  <w:style w:type="paragraph" w:customStyle="1" w:styleId="68">
    <w:name w:val="报告表正文"/>
    <w:basedOn w:val="1"/>
    <w:qFormat/>
    <w:uiPriority w:val="0"/>
    <w:pPr>
      <w:adjustRightInd w:val="0"/>
      <w:spacing w:line="312" w:lineRule="auto"/>
      <w:ind w:left="113" w:right="113" w:firstLine="482"/>
      <w:textAlignment w:val="baseline"/>
    </w:pPr>
    <w:rPr>
      <w:kern w:val="0"/>
    </w:rPr>
  </w:style>
  <w:style w:type="paragraph" w:customStyle="1" w:styleId="69">
    <w:name w:val="文本正文"/>
    <w:basedOn w:val="1"/>
    <w:qFormat/>
    <w:uiPriority w:val="0"/>
    <w:pPr>
      <w:spacing w:line="480" w:lineRule="exact"/>
      <w:ind w:firstLine="560" w:firstLineChars="200"/>
    </w:pPr>
    <w:rPr>
      <w:rFonts w:ascii="仿宋_GB2312" w:hAnsi="宋体" w:eastAsia="仿宋_GB2312" w:cs="Courier New"/>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5" Type="http://schemas.openxmlformats.org/officeDocument/2006/relationships/fontTable" Target="fontTable.xml"/><Relationship Id="rId74" Type="http://schemas.openxmlformats.org/officeDocument/2006/relationships/customXml" Target="../customXml/item1.xml"/><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2.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1.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wmf"/><Relationship Id="rId24" Type="http://schemas.openxmlformats.org/officeDocument/2006/relationships/oleObject" Target="embeddings/oleObject1.bin"/><Relationship Id="rId23" Type="http://schemas.openxmlformats.org/officeDocument/2006/relationships/image" Target="media/image8.png"/><Relationship Id="rId22" Type="http://schemas.openxmlformats.org/officeDocument/2006/relationships/image" Target="media/image7.emf"/><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197</Pages>
  <Words>12320</Words>
  <Characters>12976</Characters>
  <Lines>0</Lines>
  <Paragraphs>0</Paragraphs>
  <TotalTime>8</TotalTime>
  <ScaleCrop>false</ScaleCrop>
  <LinksUpToDate>false</LinksUpToDate>
  <CharactersWithSpaces>13141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2024-05-08T00:33:00Z</dcterms:created>
  <dc:creator>Administrator</dc:creator>
  <cp:lastModifiedBy>zyf</cp:lastModifiedBy>
  <cp:lastPrinted>2026-02-11T06:09:00Z</cp:lastPrinted>
  <dcterms:modified xsi:type="dcterms:W3CDTF">2026-03-10T09:38:49Z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13AA74516B5E415CBA34A25DCB912229_12</vt:lpwstr>
  </property>
  <property fmtid="{D5CDD505-2E9C-101B-9397-08002B2CF9AE}" pid="4" name="KSOTemplateDocerSaveRecord">
    <vt:lpwstr>eyJoZGlkIjoiNTY4MTM2OGU2YjYxMTA3OTkxNzk5NjQ3NmFkNTFmMTUiLCJ1c2VySWQiOiI4MzQzMjIwODIifQ==</vt:lpwstr>
  </property>
</Properties>
</file>